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charts/chart4.xml" ContentType="application/vnd.openxmlformats-officedocument.drawingml.chart+xml"/>
  <Override PartName="/word/theme/themeOverride2.xml" ContentType="application/vnd.openxmlformats-officedocument.themeOverride+xml"/>
  <Override PartName="/word/charts/chart5.xml" ContentType="application/vnd.openxmlformats-officedocument.drawingml.chart+xml"/>
  <Override PartName="/word/theme/themeOverride3.xml" ContentType="application/vnd.openxmlformats-officedocument.themeOverride+xml"/>
  <Override PartName="/word/drawings/drawing2.xml" ContentType="application/vnd.openxmlformats-officedocument.drawingml.chartshapes+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drawings/drawing3.xml" ContentType="application/vnd.openxmlformats-officedocument.drawingml.chartshapes+xml"/>
  <Override PartName="/word/charts/chart9.xml" ContentType="application/vnd.openxmlformats-officedocument.drawingml.chart+xml"/>
  <Override PartName="/word/drawings/drawing4.xml" ContentType="application/vnd.openxmlformats-officedocument.drawingml.chartshapes+xml"/>
  <Override PartName="/word/charts/chart10.xml" ContentType="application/vnd.openxmlformats-officedocument.drawingml.chart+xml"/>
  <Override PartName="/word/charts/chart11.xml" ContentType="application/vnd.openxmlformats-officedocument.drawingml.chart+xml"/>
  <Override PartName="/word/theme/themeOverride4.xml" ContentType="application/vnd.openxmlformats-officedocument.themeOverride+xml"/>
  <Override PartName="/word/drawings/drawing5.xml" ContentType="application/vnd.openxmlformats-officedocument.drawingml.chartshapes+xml"/>
  <Override PartName="/word/charts/chart12.xml" ContentType="application/vnd.openxmlformats-officedocument.drawingml.chart+xml"/>
  <Override PartName="/word/theme/themeOverride5.xml" ContentType="application/vnd.openxmlformats-officedocument.themeOverride+xml"/>
  <Override PartName="/word/drawings/drawing6.xml" ContentType="application/vnd.openxmlformats-officedocument.drawingml.chartshapes+xml"/>
  <Override PartName="/word/charts/chart13.xml" ContentType="application/vnd.openxmlformats-officedocument.drawingml.chart+xml"/>
  <Override PartName="/word/theme/themeOverride6.xml" ContentType="application/vnd.openxmlformats-officedocument.themeOverride+xml"/>
  <Override PartName="/word/drawings/drawing7.xml" ContentType="application/vnd.openxmlformats-officedocument.drawingml.chartshapes+xml"/>
  <Override PartName="/word/charts/chart14.xml" ContentType="application/vnd.openxmlformats-officedocument.drawingml.chart+xml"/>
  <Override PartName="/word/drawings/drawing8.xml" ContentType="application/vnd.openxmlformats-officedocument.drawingml.chartshapes+xml"/>
  <Override PartName="/word/charts/chart15.xml" ContentType="application/vnd.openxmlformats-officedocument.drawingml.chart+xml"/>
  <Override PartName="/word/theme/themeOverride7.xml" ContentType="application/vnd.openxmlformats-officedocument.themeOverride+xml"/>
  <Override PartName="/word/drawings/drawing9.xml" ContentType="application/vnd.openxmlformats-officedocument.drawingml.chartshapes+xml"/>
  <Override PartName="/word/charts/chart16.xml" ContentType="application/vnd.openxmlformats-officedocument.drawingml.chart+xml"/>
  <Override PartName="/word/drawings/drawing10.xml" ContentType="application/vnd.openxmlformats-officedocument.drawingml.chartshapes+xml"/>
  <Override PartName="/word/charts/chart17.xml" ContentType="application/vnd.openxmlformats-officedocument.drawingml.chart+xml"/>
  <Override PartName="/word/drawings/drawing1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7D68" w:rsidRPr="001E460D" w:rsidRDefault="009E7D68" w:rsidP="00B82252">
      <w:pPr>
        <w:pStyle w:val="Title"/>
      </w:pPr>
      <w:bookmarkStart w:id="0" w:name="_Toc405288554"/>
      <w:r>
        <w:t>Paper 3</w:t>
      </w:r>
      <w:r w:rsidRPr="001E460D">
        <w:t>: State and territory mental health activity</w:t>
      </w:r>
      <w:bookmarkEnd w:id="0"/>
    </w:p>
    <w:p w:rsidR="009E7D68" w:rsidRPr="009E7D68" w:rsidRDefault="009E7D68" w:rsidP="00B82252">
      <w:pPr>
        <w:pStyle w:val="ChapterBodyCopy"/>
        <w:rPr>
          <w:rFonts w:asciiTheme="minorHAnsi" w:hAnsiTheme="minorHAnsi"/>
        </w:rPr>
      </w:pPr>
      <w:r w:rsidRPr="009E7D68">
        <w:rPr>
          <w:rFonts w:asciiTheme="minorHAnsi" w:hAnsiTheme="minorHAnsi"/>
        </w:rPr>
        <w:t xml:space="preserve">Gaining a comprehensive picture of what is funded and delivered at the state and territory level proved difficult. This paper presents a synopsis of the data about service provision and workforce which was initially made available to us by some states and territories. </w:t>
      </w:r>
    </w:p>
    <w:p w:rsidR="009E7D68" w:rsidRPr="00743578" w:rsidRDefault="009E7D68" w:rsidP="00B82252">
      <w:pPr>
        <w:pStyle w:val="Heading1"/>
      </w:pPr>
      <w:r>
        <w:br w:type="page"/>
      </w:r>
      <w:bookmarkStart w:id="1" w:name="_Toc405288555"/>
      <w:r>
        <w:lastRenderedPageBreak/>
        <w:t xml:space="preserve">Delivery of state and territory </w:t>
      </w:r>
      <w:proofErr w:type="spellStart"/>
      <w:r>
        <w:t>specialised</w:t>
      </w:r>
      <w:proofErr w:type="spellEnd"/>
      <w:r>
        <w:t xml:space="preserve"> mental health care</w:t>
      </w:r>
      <w:bookmarkEnd w:id="1"/>
      <w:r w:rsidRPr="00743578">
        <w:t xml:space="preserve"> </w:t>
      </w:r>
    </w:p>
    <w:p w:rsidR="009E7D68" w:rsidRPr="00A61D14" w:rsidRDefault="009E7D68" w:rsidP="00B82252">
      <w:pPr>
        <w:rPr>
          <w:b/>
        </w:rPr>
      </w:pPr>
      <w:proofErr w:type="spellStart"/>
      <w:r w:rsidRPr="00A61D14">
        <w:t>Specialised</w:t>
      </w:r>
      <w:proofErr w:type="spellEnd"/>
      <w:r w:rsidRPr="00A61D14">
        <w:t xml:space="preserve"> mental health care in Australia is delivered in a range of facilities including public and private psychiatric hospital</w:t>
      </w:r>
      <w:r>
        <w:t>s</w:t>
      </w:r>
      <w:r w:rsidRPr="00A61D14">
        <w:t xml:space="preserve">, psychiatric units or wards in public and private acute hospitals, community mental health care services and residential mental health services. </w:t>
      </w:r>
    </w:p>
    <w:p w:rsidR="009E7D68" w:rsidRDefault="009E7D68" w:rsidP="00B82252">
      <w:r w:rsidRPr="00A06C83">
        <w:t>In 2011</w:t>
      </w:r>
      <w:r>
        <w:t>–</w:t>
      </w:r>
      <w:r w:rsidRPr="00A06C83">
        <w:t>12 there were 1</w:t>
      </w:r>
      <w:r>
        <w:t>,</w:t>
      </w:r>
      <w:r w:rsidRPr="00A06C83">
        <w:t xml:space="preserve">514 </w:t>
      </w:r>
      <w:proofErr w:type="spellStart"/>
      <w:r w:rsidRPr="00A06C83">
        <w:t>specialised</w:t>
      </w:r>
      <w:proofErr w:type="spellEnd"/>
      <w:r w:rsidRPr="00A06C83">
        <w:t xml:space="preserve"> mental health facilities nation-wide, the majority of which were public sector facilities (1</w:t>
      </w:r>
      <w:r>
        <w:t>,</w:t>
      </w:r>
      <w:r w:rsidRPr="00A06C83">
        <w:t>459 facilities). There were 6</w:t>
      </w:r>
      <w:r>
        <w:t>,</w:t>
      </w:r>
      <w:r w:rsidRPr="00A06C83">
        <w:t xml:space="preserve">709 public sector </w:t>
      </w:r>
      <w:proofErr w:type="spellStart"/>
      <w:r w:rsidRPr="00A06C83">
        <w:t>specialised</w:t>
      </w:r>
      <w:proofErr w:type="spellEnd"/>
      <w:r w:rsidRPr="00A06C83">
        <w:t xml:space="preserve"> mental health hospital beds available in Australia and 2</w:t>
      </w:r>
      <w:r>
        <w:t>,</w:t>
      </w:r>
      <w:r w:rsidRPr="00A06C83">
        <w:t>072 beds available in private psychiatric hospitals. There were 2</w:t>
      </w:r>
      <w:r>
        <w:t>,</w:t>
      </w:r>
      <w:r w:rsidRPr="00A06C83">
        <w:t>352 residential mental health s</w:t>
      </w:r>
      <w:r>
        <w:t>ervice beds nationally (Figure 1</w:t>
      </w:r>
      <w:r w:rsidRPr="00A06C83">
        <w:t xml:space="preserve">). In all jurisdictions the majority of public sector </w:t>
      </w:r>
      <w:proofErr w:type="spellStart"/>
      <w:r w:rsidRPr="00A06C83">
        <w:t>specialised</w:t>
      </w:r>
      <w:proofErr w:type="spellEnd"/>
      <w:r w:rsidRPr="00A06C83">
        <w:t xml:space="preserve"> mental health facilities were community mental health care services, ranging from 88.1</w:t>
      </w:r>
      <w:r>
        <w:t xml:space="preserve"> per cent</w:t>
      </w:r>
      <w:r w:rsidRPr="00A06C83">
        <w:t xml:space="preserve"> of services in New South Wales to 45.7</w:t>
      </w:r>
      <w:r>
        <w:t xml:space="preserve"> per cent</w:t>
      </w:r>
      <w:r w:rsidRPr="00A06C83">
        <w:t xml:space="preserve"> of services in Tasmania.</w:t>
      </w:r>
      <w:r w:rsidRPr="00372F8C">
        <w:rPr>
          <w:noProof/>
          <w:vertAlign w:val="superscript"/>
        </w:rPr>
        <w:t>1</w:t>
      </w:r>
    </w:p>
    <w:p w:rsidR="009E7D68" w:rsidRDefault="009E7D68" w:rsidP="00865BCD">
      <w:pPr>
        <w:pStyle w:val="Caption"/>
        <w:spacing w:after="100"/>
      </w:pPr>
      <w:r>
        <w:t>Figure 1:</w:t>
      </w:r>
      <w:r w:rsidRPr="00A61D14">
        <w:t xml:space="preserve"> Number of </w:t>
      </w:r>
      <w:proofErr w:type="spellStart"/>
      <w:r w:rsidRPr="00A61D14">
        <w:t>specialised</w:t>
      </w:r>
      <w:proofErr w:type="spellEnd"/>
      <w:r w:rsidRPr="00A61D14">
        <w:t xml:space="preserve"> mental health care facilities, available beds and activity in Australia, 2011–12 </w:t>
      </w:r>
    </w:p>
    <w:p w:rsidR="009E7D68" w:rsidRPr="002C468B" w:rsidRDefault="009E7D68" w:rsidP="00B82252">
      <w:pPr>
        <w:jc w:val="left"/>
        <w:rPr>
          <w:sz w:val="16"/>
          <w:szCs w:val="16"/>
        </w:rPr>
      </w:pPr>
      <w:r w:rsidRPr="00172CAF">
        <w:rPr>
          <w:noProof/>
          <w:lang w:val="en-AU"/>
        </w:rPr>
        <w:drawing>
          <wp:inline distT="0" distB="0" distL="0" distR="0" wp14:anchorId="2C7BFA8D" wp14:editId="2B47BDEE">
            <wp:extent cx="5396230" cy="3188335"/>
            <wp:effectExtent l="0" t="0" r="52070" b="0"/>
            <wp:docPr id="43" name="Diagram 43" descr="Chart showing the allocation of bed and patient activity split into 4 groups of specialised mental health care services: public hospitals; private psychiatric hospitals; residential mental health services; and community mental health care services. Public acute hospitals with a psychiatric unit or ward had the most beds (4,836) and patient days (1,529,806) in 2011–12 compared to other services. Similar service numbers were reported for government funded (81 services) and non-government funded (84 services) residential mental health services. " title="Number of specialised mental health care facilities, available beds and activity in Australia, 2011–1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9E7D68" w:rsidRDefault="009E7D68" w:rsidP="00B82252"/>
    <w:p w:rsidR="009E7D68" w:rsidRPr="0098627E" w:rsidRDefault="009E7D68" w:rsidP="00B82252">
      <w:pPr>
        <w:jc w:val="left"/>
        <w:rPr>
          <w:sz w:val="16"/>
          <w:szCs w:val="16"/>
        </w:rPr>
      </w:pPr>
      <w:r w:rsidRPr="0098627E">
        <w:rPr>
          <w:sz w:val="16"/>
          <w:szCs w:val="16"/>
        </w:rPr>
        <w:t>Source: Mental Health Establishments NMDS</w:t>
      </w:r>
    </w:p>
    <w:p w:rsidR="009E7D68" w:rsidRPr="00743578" w:rsidRDefault="009E7D68" w:rsidP="00B82252">
      <w:pPr>
        <w:pStyle w:val="Heading2"/>
      </w:pPr>
      <w:r>
        <w:rPr>
          <w:sz w:val="18"/>
          <w:szCs w:val="18"/>
        </w:rPr>
        <w:br w:type="page"/>
      </w:r>
      <w:r>
        <w:lastRenderedPageBreak/>
        <w:t>Types of service delivery</w:t>
      </w:r>
      <w:r w:rsidRPr="00743578">
        <w:t xml:space="preserve"> </w:t>
      </w:r>
    </w:p>
    <w:p w:rsidR="009E7D68" w:rsidRPr="00A06C83" w:rsidRDefault="009E7D68" w:rsidP="00B82252">
      <w:r w:rsidRPr="00A06C83">
        <w:t>Mental health-related services can be provided by states and territories in a variety of ways includ</w:t>
      </w:r>
      <w:r>
        <w:t xml:space="preserve">ing </w:t>
      </w:r>
      <w:proofErr w:type="spellStart"/>
      <w:r>
        <w:t>hospitalisation</w:t>
      </w:r>
      <w:proofErr w:type="spellEnd"/>
      <w:r>
        <w:t>, community-</w:t>
      </w:r>
      <w:r w:rsidRPr="00A06C83">
        <w:t xml:space="preserve">based treatment, residential care and NGO support services. </w:t>
      </w:r>
    </w:p>
    <w:p w:rsidR="009E7D68" w:rsidRPr="00A61D14" w:rsidRDefault="009E7D68" w:rsidP="00B82252">
      <w:pPr>
        <w:pStyle w:val="Heading3"/>
      </w:pPr>
      <w:r w:rsidRPr="00A61D14">
        <w:t>Admitted pat</w:t>
      </w:r>
      <w:r w:rsidRPr="00085FD8">
        <w:t>i</w:t>
      </w:r>
      <w:r w:rsidRPr="00A61D14">
        <w:t>ent care</w:t>
      </w:r>
    </w:p>
    <w:p w:rsidR="009E7D68" w:rsidRPr="00A06C83" w:rsidRDefault="009E7D68" w:rsidP="00B82252">
      <w:r w:rsidRPr="00A06C83">
        <w:t>People with mental health prob</w:t>
      </w:r>
      <w:r>
        <w:t>lems may require treatment as an inpatient. This may mean receiving</w:t>
      </w:r>
      <w:r w:rsidRPr="00A06C83">
        <w:t xml:space="preserve"> </w:t>
      </w:r>
      <w:proofErr w:type="spellStart"/>
      <w:r w:rsidRPr="00A06C83">
        <w:t>specialised</w:t>
      </w:r>
      <w:proofErr w:type="spellEnd"/>
      <w:r w:rsidRPr="00A06C83">
        <w:t xml:space="preserve"> psychiatric care in a p</w:t>
      </w:r>
      <w:r>
        <w:t>sychiatric hospital or at</w:t>
      </w:r>
      <w:r w:rsidRPr="00A06C83">
        <w:t xml:space="preserve"> a psychiatric u</w:t>
      </w:r>
      <w:r>
        <w:t xml:space="preserve">nit within a hospital. People may </w:t>
      </w:r>
      <w:r w:rsidRPr="00A06C83">
        <w:t xml:space="preserve">also be admitted to a general ward where workers are not specifically trained to care for the mentally ill. Under these circumstances, the admissions are classified as without </w:t>
      </w:r>
      <w:proofErr w:type="spellStart"/>
      <w:r w:rsidRPr="00A06C83">
        <w:t>specialised</w:t>
      </w:r>
      <w:proofErr w:type="spellEnd"/>
      <w:r w:rsidRPr="00A06C83">
        <w:t xml:space="preserve"> psychiatric care.</w:t>
      </w:r>
    </w:p>
    <w:p w:rsidR="009E7D68" w:rsidRPr="00A06C83" w:rsidRDefault="009E7D68" w:rsidP="00B82252">
      <w:r w:rsidRPr="00A06C83">
        <w:t>In 201</w:t>
      </w:r>
      <w:r>
        <w:t>2–</w:t>
      </w:r>
      <w:r w:rsidRPr="00A06C83">
        <w:t>1</w:t>
      </w:r>
      <w:r>
        <w:t>3</w:t>
      </w:r>
      <w:r w:rsidRPr="00A06C83">
        <w:t xml:space="preserve"> there were 24</w:t>
      </w:r>
      <w:r>
        <w:t>1,389</w:t>
      </w:r>
      <w:r w:rsidRPr="00A06C83">
        <w:t xml:space="preserve"> mental health-related separations in Australian hospitals. Of these, 60.</w:t>
      </w:r>
      <w:r>
        <w:t>9 per cent</w:t>
      </w:r>
      <w:r w:rsidRPr="00A06C83">
        <w:t xml:space="preserve"> received </w:t>
      </w:r>
      <w:proofErr w:type="spellStart"/>
      <w:r w:rsidRPr="00A06C83">
        <w:t>specialised</w:t>
      </w:r>
      <w:proofErr w:type="spellEnd"/>
      <w:r w:rsidRPr="00A06C83">
        <w:t xml:space="preserve"> psychiatric care. The rate of separations with </w:t>
      </w:r>
      <w:proofErr w:type="spellStart"/>
      <w:r w:rsidRPr="00A06C83">
        <w:t>specialised</w:t>
      </w:r>
      <w:proofErr w:type="spellEnd"/>
      <w:r w:rsidRPr="00A06C83">
        <w:t xml:space="preserve"> psychiatric care varied across jurisdictions from 7.</w:t>
      </w:r>
      <w:r>
        <w:t>4</w:t>
      </w:r>
      <w:r w:rsidRPr="00A06C83">
        <w:t xml:space="preserve"> separations per 1</w:t>
      </w:r>
      <w:r>
        <w:t>,</w:t>
      </w:r>
      <w:r w:rsidRPr="00A06C83">
        <w:t xml:space="preserve">000 </w:t>
      </w:r>
      <w:proofErr w:type="gramStart"/>
      <w:r w:rsidRPr="00A06C83">
        <w:t>population</w:t>
      </w:r>
      <w:proofErr w:type="gramEnd"/>
      <w:r w:rsidRPr="00A06C83">
        <w:t xml:space="preserve"> in Queensland to 5.</w:t>
      </w:r>
      <w:r>
        <w:t>7</w:t>
      </w:r>
      <w:r w:rsidRPr="00A06C83">
        <w:t xml:space="preserve"> in </w:t>
      </w:r>
      <w:r>
        <w:t xml:space="preserve">both </w:t>
      </w:r>
      <w:r w:rsidRPr="00A06C83">
        <w:t>Victoria</w:t>
      </w:r>
      <w:r>
        <w:t xml:space="preserve"> and South Australia</w:t>
      </w:r>
      <w:r w:rsidRPr="00A06C83">
        <w:t xml:space="preserve">. For separations without </w:t>
      </w:r>
      <w:proofErr w:type="spellStart"/>
      <w:r w:rsidRPr="00A06C83">
        <w:t>speci</w:t>
      </w:r>
      <w:r>
        <w:t>alised</w:t>
      </w:r>
      <w:proofErr w:type="spellEnd"/>
      <w:r>
        <w:t xml:space="preserve"> psychiatric care, </w:t>
      </w:r>
      <w:r w:rsidRPr="00A06C83">
        <w:t>South Australia had the highest rate and Queensland the lowest, with 5.</w:t>
      </w:r>
      <w:r>
        <w:t>3</w:t>
      </w:r>
      <w:r w:rsidRPr="00A06C83">
        <w:t xml:space="preserve"> and 3.</w:t>
      </w:r>
      <w:r>
        <w:t>4</w:t>
      </w:r>
      <w:r w:rsidRPr="00A06C83">
        <w:t xml:space="preserve"> per 1</w:t>
      </w:r>
      <w:r>
        <w:t>,</w:t>
      </w:r>
      <w:r w:rsidRPr="00A06C83">
        <w:t xml:space="preserve">000 </w:t>
      </w:r>
      <w:proofErr w:type="gramStart"/>
      <w:r w:rsidRPr="00A06C83">
        <w:t>po</w:t>
      </w:r>
      <w:r>
        <w:t>pulation</w:t>
      </w:r>
      <w:proofErr w:type="gramEnd"/>
      <w:r>
        <w:t xml:space="preserve"> respectively (Figure 2</w:t>
      </w:r>
      <w:r w:rsidRPr="00A06C83">
        <w:t>).</w:t>
      </w:r>
      <w:r w:rsidRPr="00372F8C">
        <w:rPr>
          <w:noProof/>
          <w:vertAlign w:val="superscript"/>
        </w:rPr>
        <w:t>2</w:t>
      </w:r>
      <w:r w:rsidRPr="00A06C83">
        <w:t xml:space="preserve"> </w:t>
      </w:r>
    </w:p>
    <w:p w:rsidR="009E7D68" w:rsidRDefault="009E7D68" w:rsidP="000B56B4">
      <w:pPr>
        <w:pStyle w:val="Caption"/>
      </w:pPr>
      <w:r>
        <w:t>Figure 2:</w:t>
      </w:r>
      <w:r w:rsidRPr="00A61D14">
        <w:t xml:space="preserve"> Rate of mental health-related separations, with and without </w:t>
      </w:r>
      <w:proofErr w:type="spellStart"/>
      <w:r w:rsidRPr="00A61D14">
        <w:t>specialised</w:t>
      </w:r>
      <w:proofErr w:type="spellEnd"/>
      <w:r w:rsidRPr="00A61D14">
        <w:t xml:space="preserve"> care, </w:t>
      </w:r>
      <w:r>
        <w:br/>
      </w:r>
      <w:r w:rsidRPr="00A61D14">
        <w:t>201</w:t>
      </w:r>
      <w:r>
        <w:t>2</w:t>
      </w:r>
      <w:r w:rsidRPr="00A61D14">
        <w:t>–1</w:t>
      </w:r>
      <w:r>
        <w:t>3</w:t>
      </w:r>
    </w:p>
    <w:p w:rsidR="009E7D68" w:rsidRDefault="009E7D68" w:rsidP="00B82252">
      <w:pPr>
        <w:jc w:val="left"/>
        <w:rPr>
          <w:b/>
          <w:sz w:val="16"/>
          <w:szCs w:val="16"/>
        </w:rPr>
      </w:pPr>
      <w:r>
        <w:rPr>
          <w:noProof/>
          <w:lang w:val="en-AU"/>
        </w:rPr>
        <w:drawing>
          <wp:inline distT="0" distB="0" distL="0" distR="0" wp14:anchorId="7A4E0A9B" wp14:editId="1EF9D086">
            <wp:extent cx="5152390" cy="2823210"/>
            <wp:effectExtent l="0" t="0" r="0" b="0"/>
            <wp:docPr id="35" name="Chart 35" descr="Vertical bar chart showing the rate of hospital separations with and without specialised care for all jurisdictions in 2012–13. Nationally, the highest rate was for mental health-related separations with specialised care (6.4 per 1,000 population) compared to those without specialised care (4.0). Of those states and territories that could be reported Qld had the highest rate of separations with specialised care (6.4 per 1,000 population) and both Vic and SA had the lowest (5.7). SA reported the highest rate of separations without specialised care (5.3) and Qld had the lowest (3.4).  " title="Figure 2: Rate of mental health-related separations, with and without specialised care, 2012-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9E7D68" w:rsidRPr="0098627E" w:rsidRDefault="009E7D68" w:rsidP="00B82252">
      <w:pPr>
        <w:jc w:val="left"/>
        <w:rPr>
          <w:b/>
          <w:sz w:val="16"/>
          <w:szCs w:val="18"/>
        </w:rPr>
      </w:pPr>
      <w:r w:rsidRPr="0098627E">
        <w:rPr>
          <w:sz w:val="16"/>
          <w:szCs w:val="18"/>
        </w:rPr>
        <w:t>Source: National Hospital Morbidity Database</w:t>
      </w:r>
    </w:p>
    <w:p w:rsidR="009E7D68" w:rsidRPr="0098627E" w:rsidRDefault="009E7D68" w:rsidP="00B82252">
      <w:pPr>
        <w:jc w:val="left"/>
        <w:rPr>
          <w:sz w:val="16"/>
          <w:szCs w:val="18"/>
        </w:rPr>
      </w:pPr>
      <w:r w:rsidRPr="0098627E">
        <w:rPr>
          <w:iCs/>
          <w:sz w:val="16"/>
          <w:szCs w:val="18"/>
        </w:rPr>
        <w:t>Note</w:t>
      </w:r>
      <w:r w:rsidRPr="0098627E">
        <w:rPr>
          <w:sz w:val="16"/>
          <w:szCs w:val="18"/>
        </w:rPr>
        <w:t xml:space="preserve">: Tasmania, Northern Territory and Australian Capital Territory hospital figures are not published due to confidentiality reasons. However, the figures are included in the national totals.  </w:t>
      </w:r>
    </w:p>
    <w:p w:rsidR="009E7D68" w:rsidRPr="00054507" w:rsidRDefault="009E7D68" w:rsidP="00B82252">
      <w:pPr>
        <w:pStyle w:val="Heading3"/>
        <w:rPr>
          <w:sz w:val="16"/>
          <w:szCs w:val="16"/>
        </w:rPr>
      </w:pPr>
      <w:r>
        <w:rPr>
          <w:sz w:val="16"/>
          <w:szCs w:val="16"/>
        </w:rPr>
        <w:br w:type="page"/>
      </w:r>
      <w:r w:rsidRPr="00A61D14">
        <w:lastRenderedPageBreak/>
        <w:t>Emergency departments</w:t>
      </w:r>
    </w:p>
    <w:p w:rsidR="009E7D68" w:rsidRDefault="009E7D68" w:rsidP="00B82252">
      <w:r w:rsidRPr="00A06C83">
        <w:t xml:space="preserve">Hospital emergency departments (EDs) also play a role in treating mental illness and can be the initial point of care for a range of reasons. It is estimated that there were </w:t>
      </w:r>
      <w:r>
        <w:t>248,501</w:t>
      </w:r>
      <w:r w:rsidRPr="00A06C83">
        <w:t xml:space="preserve"> mental health-related public </w:t>
      </w:r>
      <w:proofErr w:type="gramStart"/>
      <w:r w:rsidRPr="00A06C83">
        <w:t>hospital</w:t>
      </w:r>
      <w:proofErr w:type="gramEnd"/>
      <w:r w:rsidRPr="00A06C83">
        <w:t xml:space="preserve"> ED occasions of service in 201</w:t>
      </w:r>
      <w:r>
        <w:t>1–</w:t>
      </w:r>
      <w:r w:rsidRPr="00A06C83">
        <w:t>1</w:t>
      </w:r>
      <w:r>
        <w:t>2</w:t>
      </w:r>
      <w:r w:rsidRPr="00A06C83">
        <w:t>.</w:t>
      </w:r>
      <w:r w:rsidRPr="00372F8C">
        <w:rPr>
          <w:noProof/>
          <w:vertAlign w:val="superscript"/>
        </w:rPr>
        <w:t>3</w:t>
      </w:r>
      <w:r w:rsidRPr="00A06C83">
        <w:t xml:space="preserve"> There was substantial variation between jurisdictions in the rate of emergency department occasions</w:t>
      </w:r>
      <w:r>
        <w:t>,</w:t>
      </w:r>
      <w:r w:rsidRPr="00A06C83">
        <w:t xml:space="preserve"> ranging from </w:t>
      </w:r>
      <w:r>
        <w:t>198.0</w:t>
      </w:r>
      <w:r w:rsidRPr="00A06C83">
        <w:t xml:space="preserve"> per 10</w:t>
      </w:r>
      <w:r>
        <w:t>,</w:t>
      </w:r>
      <w:r w:rsidRPr="00A06C83">
        <w:t xml:space="preserve">000 population in the Northern Territory to </w:t>
      </w:r>
      <w:r>
        <w:t>70.8</w:t>
      </w:r>
      <w:r w:rsidRPr="00A06C83">
        <w:t xml:space="preserve"> in </w:t>
      </w:r>
      <w:r>
        <w:t>New South Wales (Figure 3</w:t>
      </w:r>
      <w:r w:rsidRPr="00A06C83">
        <w:t>).</w:t>
      </w:r>
      <w:r w:rsidRPr="00372F8C">
        <w:rPr>
          <w:noProof/>
          <w:vertAlign w:val="superscript"/>
        </w:rPr>
        <w:t>3</w:t>
      </w:r>
      <w:r w:rsidRPr="00A06C83">
        <w:t xml:space="preserve"> </w:t>
      </w:r>
    </w:p>
    <w:p w:rsidR="009E7D68" w:rsidRDefault="009E7D68" w:rsidP="000B56B4">
      <w:pPr>
        <w:pStyle w:val="Caption"/>
      </w:pPr>
      <w:r w:rsidRPr="00A61D14">
        <w:t xml:space="preserve">Figure </w:t>
      </w:r>
      <w:r>
        <w:t>3:</w:t>
      </w:r>
      <w:r w:rsidRPr="00A61D14">
        <w:t xml:space="preserve"> Mental health-related emergency department occasions in public hospitals, </w:t>
      </w:r>
      <w:r>
        <w:br/>
      </w:r>
      <w:r w:rsidRPr="00A61D14">
        <w:t>2011–12</w:t>
      </w:r>
    </w:p>
    <w:p w:rsidR="009E7D68" w:rsidRPr="00A06C83" w:rsidRDefault="009E7D68" w:rsidP="00B82252">
      <w:pPr>
        <w:jc w:val="left"/>
      </w:pPr>
    </w:p>
    <w:p w:rsidR="009E7D68" w:rsidRDefault="009E7D68" w:rsidP="00B82252">
      <w:r>
        <w:rPr>
          <w:noProof/>
          <w:lang w:val="en-AU"/>
        </w:rPr>
        <w:drawing>
          <wp:inline distT="0" distB="0" distL="0" distR="0" wp14:anchorId="70C17407" wp14:editId="488D1818">
            <wp:extent cx="5396230" cy="3469005"/>
            <wp:effectExtent l="0" t="0" r="0" b="0"/>
            <wp:docPr id="37" name="Chart 37" descr="Vertical bar chart which shows the rate of mental health-related emergency department occasions by state/territory. In 2011–12 the national rate of emergency department occasions was 83.8 per 10,000 population.  The NT reported the highest rate  (198.0) followed by Qld (103.8), ACT (98.1), SA (96.2), Tas (86.1), WA (82.9), Vic (75.6) and NSW (70.8)." title="Figure 3: Mental health-related emergency department occasions in public hospitals, 2011-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9E7D68" w:rsidRPr="0098627E" w:rsidRDefault="009E7D68" w:rsidP="00B82252">
      <w:pPr>
        <w:jc w:val="left"/>
        <w:rPr>
          <w:sz w:val="16"/>
          <w:szCs w:val="18"/>
        </w:rPr>
      </w:pPr>
      <w:r w:rsidRPr="0098627E">
        <w:rPr>
          <w:sz w:val="16"/>
          <w:szCs w:val="18"/>
        </w:rPr>
        <w:t>Source: State and Territory supplied National Non-Admitted Patient Emergency Department Care Database</w:t>
      </w:r>
    </w:p>
    <w:p w:rsidR="009E7D68" w:rsidRPr="00743578" w:rsidRDefault="009E7D68" w:rsidP="00B82252">
      <w:pPr>
        <w:pStyle w:val="Heading3"/>
      </w:pPr>
      <w:r w:rsidRPr="00AD5D50">
        <w:br w:type="page"/>
      </w:r>
      <w:r w:rsidRPr="00743578">
        <w:lastRenderedPageBreak/>
        <w:t>Community mental health care</w:t>
      </w:r>
    </w:p>
    <w:p w:rsidR="009E7D68" w:rsidRPr="00A06C83" w:rsidRDefault="009E7D68" w:rsidP="00B82252">
      <w:r w:rsidRPr="00A06C83">
        <w:t>Mental illness is frequently treated in community and hospital-based ambulatory care settings. Collectively, these services are referred to as community mental health care. In 201</w:t>
      </w:r>
      <w:r>
        <w:t>2</w:t>
      </w:r>
      <w:r w:rsidRPr="00A06C83">
        <w:t>–1</w:t>
      </w:r>
      <w:r>
        <w:t>3</w:t>
      </w:r>
      <w:r w:rsidRPr="00A06C83">
        <w:t>, approximately 30</w:t>
      </w:r>
      <w:r>
        <w:t>1,</w:t>
      </w:r>
      <w:r w:rsidRPr="00A06C83">
        <w:t xml:space="preserve">000 patients accessed community mental health care services, resulting in over </w:t>
      </w:r>
      <w:r>
        <w:t>6.2</w:t>
      </w:r>
      <w:r w:rsidRPr="00A06C83">
        <w:t xml:space="preserve"> million service contacts between these patients and community mental health care </w:t>
      </w:r>
      <w:r>
        <w:t>service providers. Between 2009–</w:t>
      </w:r>
      <w:r w:rsidRPr="00A06C83">
        <w:t>10 and 201</w:t>
      </w:r>
      <w:r>
        <w:t>2–</w:t>
      </w:r>
      <w:r w:rsidRPr="00A06C83">
        <w:t>1</w:t>
      </w:r>
      <w:r>
        <w:t>3</w:t>
      </w:r>
      <w:r w:rsidRPr="00A06C83">
        <w:t>, the national rate of community mental health care service contacts has increased. However, this trend should be interpreted wi</w:t>
      </w:r>
      <w:r>
        <w:t>th caution as Victorian data is</w:t>
      </w:r>
      <w:r w:rsidRPr="00A06C83">
        <w:t xml:space="preserve"> excluded </w:t>
      </w:r>
      <w:r>
        <w:t>from the national total in 2012–13</w:t>
      </w:r>
      <w:r w:rsidRPr="00A06C83">
        <w:t>.</w:t>
      </w:r>
      <w:r w:rsidRPr="00372F8C">
        <w:rPr>
          <w:noProof/>
          <w:vertAlign w:val="superscript"/>
        </w:rPr>
        <w:t>4</w:t>
      </w:r>
    </w:p>
    <w:p w:rsidR="009E7D68" w:rsidRDefault="009E7D68" w:rsidP="00B82252">
      <w:r w:rsidRPr="00A06C83">
        <w:t>In 201</w:t>
      </w:r>
      <w:r>
        <w:t>2–</w:t>
      </w:r>
      <w:r w:rsidRPr="00A06C83">
        <w:t>1</w:t>
      </w:r>
      <w:r>
        <w:t>3</w:t>
      </w:r>
      <w:r w:rsidRPr="00A06C83">
        <w:t xml:space="preserve"> the rate of community mental health care service contacts varied across jurisdictions, from 69</w:t>
      </w:r>
      <w:r>
        <w:t>8</w:t>
      </w:r>
      <w:r w:rsidRPr="00A06C83">
        <w:t>.</w:t>
      </w:r>
      <w:r>
        <w:t>5</w:t>
      </w:r>
      <w:r w:rsidRPr="00A06C83">
        <w:t xml:space="preserve"> service contacts per 1</w:t>
      </w:r>
      <w:r>
        <w:t>,</w:t>
      </w:r>
      <w:r w:rsidRPr="00A06C83">
        <w:t xml:space="preserve">000 </w:t>
      </w:r>
      <w:proofErr w:type="gramStart"/>
      <w:r w:rsidRPr="00A06C83">
        <w:t>population</w:t>
      </w:r>
      <w:proofErr w:type="gramEnd"/>
      <w:r w:rsidRPr="00A06C83">
        <w:t xml:space="preserve"> in the Australian Capital Territory to </w:t>
      </w:r>
      <w:r>
        <w:t xml:space="preserve">255.1 </w:t>
      </w:r>
      <w:r w:rsidRPr="00A06C83">
        <w:t xml:space="preserve">in </w:t>
      </w:r>
      <w:r>
        <w:t>the Northern Territory (Figure 4).</w:t>
      </w:r>
    </w:p>
    <w:p w:rsidR="009E7D68" w:rsidRPr="008328AA" w:rsidRDefault="009E7D68" w:rsidP="000B56B4">
      <w:pPr>
        <w:pStyle w:val="Caption"/>
      </w:pPr>
      <w:r>
        <w:t>Figure 4:</w:t>
      </w:r>
      <w:r w:rsidRPr="008328AA">
        <w:t xml:space="preserve"> Rate of community ment</w:t>
      </w:r>
      <w:r>
        <w:t>al health care service contacts</w:t>
      </w:r>
      <w:r w:rsidRPr="008328AA">
        <w:t xml:space="preserve">, </w:t>
      </w:r>
      <w:r>
        <w:t>2012–13</w:t>
      </w:r>
    </w:p>
    <w:p w:rsidR="009E7D68" w:rsidRPr="0098627E" w:rsidRDefault="009E7D68" w:rsidP="00B82252">
      <w:pPr>
        <w:jc w:val="left"/>
        <w:rPr>
          <w:sz w:val="16"/>
          <w:szCs w:val="18"/>
        </w:rPr>
      </w:pPr>
      <w:r>
        <w:rPr>
          <w:noProof/>
          <w:lang w:val="en-AU"/>
        </w:rPr>
        <w:drawing>
          <wp:inline distT="0" distB="0" distL="0" distR="0" wp14:anchorId="67E22B9B" wp14:editId="6AAFBFCF">
            <wp:extent cx="5368925" cy="3221355"/>
            <wp:effectExtent l="0" t="0" r="3175" b="0"/>
            <wp:docPr id="38" name="Chart 38" descr="Vertical bar chart showing the rate of community mental health care service contacts for states and territories in 2012–13. Nationally, there were 371.1 service contacts per 1,000 population. The ACT reported the highest rate of service contacts (698.5 per 1,000 population) followed by NSW (406.8), SA (398.2), Qld (334.2), WA (324.6) and the NT (255.1). Data for Vic and Tas were not available for 2012–13." title="Figure 4: Rate of community mental health care service contacts, 2012–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r w:rsidRPr="0098627E">
        <w:rPr>
          <w:sz w:val="16"/>
          <w:szCs w:val="18"/>
        </w:rPr>
        <w:t>Source: Community Mental Health Care NMDS</w:t>
      </w:r>
    </w:p>
    <w:p w:rsidR="009E7D68" w:rsidRPr="0098627E" w:rsidRDefault="009E7D68" w:rsidP="00B82252">
      <w:pPr>
        <w:jc w:val="left"/>
        <w:rPr>
          <w:sz w:val="16"/>
          <w:szCs w:val="18"/>
        </w:rPr>
      </w:pPr>
      <w:r w:rsidRPr="0098627E">
        <w:rPr>
          <w:sz w:val="16"/>
          <w:szCs w:val="18"/>
        </w:rPr>
        <w:t xml:space="preserve">Note: Data were not available for Victoria in </w:t>
      </w:r>
      <w:r>
        <w:rPr>
          <w:sz w:val="16"/>
          <w:szCs w:val="18"/>
        </w:rPr>
        <w:t>2012–13</w:t>
      </w:r>
      <w:r w:rsidRPr="0098627E">
        <w:rPr>
          <w:sz w:val="16"/>
          <w:szCs w:val="18"/>
        </w:rPr>
        <w:t xml:space="preserve"> due to service level collection gaps resulting from protected industrial action during this period. </w:t>
      </w:r>
      <w:r w:rsidRPr="00D70090">
        <w:rPr>
          <w:sz w:val="16"/>
          <w:szCs w:val="18"/>
        </w:rPr>
        <w:t xml:space="preserve">Industrial action in Tasmania in 2012–13 affected the quality and quantity of Tasmania’s </w:t>
      </w:r>
      <w:r>
        <w:rPr>
          <w:sz w:val="16"/>
          <w:szCs w:val="18"/>
        </w:rPr>
        <w:t>c</w:t>
      </w:r>
      <w:r w:rsidRPr="00D70090">
        <w:rPr>
          <w:sz w:val="16"/>
          <w:szCs w:val="18"/>
        </w:rPr>
        <w:t>ommunity mental health care data and rates are not published for this jurisdiction</w:t>
      </w:r>
      <w:r>
        <w:rPr>
          <w:sz w:val="16"/>
          <w:szCs w:val="18"/>
        </w:rPr>
        <w:t>.</w:t>
      </w:r>
    </w:p>
    <w:p w:rsidR="009E7D68" w:rsidRPr="00743578" w:rsidRDefault="009E7D68" w:rsidP="00B82252">
      <w:pPr>
        <w:pStyle w:val="Heading3"/>
      </w:pPr>
      <w:r>
        <w:br w:type="page"/>
      </w:r>
      <w:r w:rsidRPr="00D0421C">
        <w:lastRenderedPageBreak/>
        <w:t>Residential</w:t>
      </w:r>
      <w:r w:rsidRPr="00743578">
        <w:t xml:space="preserve"> care</w:t>
      </w:r>
    </w:p>
    <w:p w:rsidR="009E7D68" w:rsidRPr="00D0421C" w:rsidRDefault="009E7D68" w:rsidP="00B82252">
      <w:r w:rsidRPr="00D0421C">
        <w:t xml:space="preserve">Residential mental health care services provide 24/7 </w:t>
      </w:r>
      <w:proofErr w:type="spellStart"/>
      <w:r w:rsidRPr="00D0421C">
        <w:t>specialised</w:t>
      </w:r>
      <w:proofErr w:type="spellEnd"/>
      <w:r w:rsidRPr="00D0421C">
        <w:t xml:space="preserve"> mental health care on an overnight basis in a domestic-like environment. Residential mental health services may include rehabilitation, treatment or extended care.</w:t>
      </w:r>
    </w:p>
    <w:p w:rsidR="009E7D68" w:rsidRDefault="009E7D68" w:rsidP="00B82252">
      <w:r w:rsidRPr="00D0421C">
        <w:t>During 2012</w:t>
      </w:r>
      <w:r>
        <w:t>–</w:t>
      </w:r>
      <w:r w:rsidRPr="00D0421C">
        <w:t>13</w:t>
      </w:r>
      <w:r>
        <w:t>,</w:t>
      </w:r>
      <w:r w:rsidRPr="00D0421C">
        <w:t xml:space="preserve"> Tasmania ha</w:t>
      </w:r>
      <w:r>
        <w:t>d</w:t>
      </w:r>
      <w:r w:rsidRPr="00D0421C">
        <w:t xml:space="preserve"> the highest rate of episodes of care (20.9 per 10</w:t>
      </w:r>
      <w:r>
        <w:t>,</w:t>
      </w:r>
      <w:r w:rsidRPr="00D0421C">
        <w:t xml:space="preserve">000 </w:t>
      </w:r>
      <w:proofErr w:type="gramStart"/>
      <w:r w:rsidRPr="00D0421C">
        <w:t>population</w:t>
      </w:r>
      <w:proofErr w:type="gramEnd"/>
      <w:r w:rsidRPr="00D0421C">
        <w:t xml:space="preserve">). This reflects the mental health service profile mix of Tasmania, which has a substantial residential care component. New South Wales had the lowest rate for episodes </w:t>
      </w:r>
      <w:r>
        <w:t>(</w:t>
      </w:r>
      <w:r w:rsidRPr="00D0421C">
        <w:t>0.4</w:t>
      </w:r>
      <w:r>
        <w:t> per 10,000 population);</w:t>
      </w:r>
      <w:r w:rsidRPr="00D0421C">
        <w:t xml:space="preserve"> again, reflecting the service pro</w:t>
      </w:r>
      <w:r>
        <w:t>file mix for the state (Figure 5</w:t>
      </w:r>
      <w:r w:rsidRPr="00D0421C">
        <w:t>).</w:t>
      </w:r>
      <w:r w:rsidRPr="00372F8C">
        <w:rPr>
          <w:noProof/>
          <w:vertAlign w:val="superscript"/>
        </w:rPr>
        <w:t>5</w:t>
      </w:r>
    </w:p>
    <w:p w:rsidR="009E7D68" w:rsidRDefault="009E7D68" w:rsidP="000B56B4">
      <w:pPr>
        <w:pStyle w:val="Caption"/>
        <w:rPr>
          <w:noProof/>
        </w:rPr>
      </w:pPr>
      <w:r>
        <w:rPr>
          <w:noProof/>
        </w:rPr>
        <w:t>Figure 5:</w:t>
      </w:r>
      <w:r w:rsidRPr="00612EE4">
        <w:rPr>
          <w:noProof/>
        </w:rPr>
        <w:t xml:space="preserve"> Rate of residential mental health care episodes, states and territories, 201</w:t>
      </w:r>
      <w:r>
        <w:rPr>
          <w:noProof/>
        </w:rPr>
        <w:t>2</w:t>
      </w:r>
      <w:r w:rsidRPr="00612EE4">
        <w:rPr>
          <w:noProof/>
        </w:rPr>
        <w:t>–1</w:t>
      </w:r>
      <w:r>
        <w:rPr>
          <w:noProof/>
        </w:rPr>
        <w:t>3</w:t>
      </w:r>
      <w:r w:rsidRPr="00612EE4">
        <w:rPr>
          <w:noProof/>
        </w:rPr>
        <w:t xml:space="preserve"> </w:t>
      </w:r>
    </w:p>
    <w:p w:rsidR="009E7D68" w:rsidRDefault="009E7D68" w:rsidP="00B82252">
      <w:pPr>
        <w:jc w:val="left"/>
        <w:rPr>
          <w:noProof/>
          <w:sz w:val="16"/>
          <w:szCs w:val="18"/>
        </w:rPr>
      </w:pPr>
      <w:r>
        <w:rPr>
          <w:noProof/>
          <w:lang w:val="en-AU"/>
        </w:rPr>
        <w:drawing>
          <wp:inline distT="0" distB="0" distL="0" distR="0" wp14:anchorId="735E549E" wp14:editId="04E12B3C">
            <wp:extent cx="5431155" cy="3258185"/>
            <wp:effectExtent l="0" t="0" r="0" b="0"/>
            <wp:docPr id="39" name="Chart 39" descr="Vertical bar chart showing the rate of residential mental health care episodes for states and territories in 2012–13. Tas had the highest rate of episodes (20.9 per 10,000 population) followed by SA (10.7), Vic (5.3), NT (4.2), ACT (1.8), WA (1.1) and NSW (0.4). Qld does not report any residential mental health services.  Nationally, there were 2.9 episodes per 10,000 population reported in 2012–13. " title="Figure 5: Rate of residential mental health care episodes, states and territories, 2012–13 "/>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r w:rsidRPr="0098627E">
        <w:rPr>
          <w:noProof/>
          <w:sz w:val="16"/>
          <w:szCs w:val="18"/>
        </w:rPr>
        <w:t>Source: Residential Mental Health Care NMDS</w:t>
      </w:r>
    </w:p>
    <w:p w:rsidR="009E7D68" w:rsidRPr="003D4028" w:rsidRDefault="009E7D68" w:rsidP="00B82252">
      <w:pPr>
        <w:jc w:val="left"/>
        <w:rPr>
          <w:noProof/>
          <w:sz w:val="18"/>
          <w:szCs w:val="18"/>
        </w:rPr>
      </w:pPr>
      <w:r>
        <w:rPr>
          <w:noProof/>
          <w:sz w:val="16"/>
          <w:szCs w:val="18"/>
        </w:rPr>
        <w:t xml:space="preserve">Note: Queensland does not report any residential mental health services. </w:t>
      </w:r>
    </w:p>
    <w:p w:rsidR="009E7D68" w:rsidRPr="00444A3A" w:rsidRDefault="009E7D68" w:rsidP="00B82252">
      <w:pPr>
        <w:pStyle w:val="Heading2"/>
        <w:rPr>
          <w:sz w:val="22"/>
        </w:rPr>
      </w:pPr>
      <w:r w:rsidRPr="00743578">
        <w:t>Who delivers these services?</w:t>
      </w:r>
    </w:p>
    <w:p w:rsidR="009E7D68" w:rsidRPr="00A06C83" w:rsidRDefault="009E7D68" w:rsidP="00B82252">
      <w:pPr>
        <w:rPr>
          <w:lang w:eastAsia="en-US"/>
        </w:rPr>
      </w:pPr>
      <w:r w:rsidRPr="00A06C83">
        <w:rPr>
          <w:lang w:eastAsia="en-US"/>
        </w:rPr>
        <w:t>A range of different health care professionals, including psychiatrists, psychologists, nurses, general practitioners and social workers, provide the various mental health-related support services in Austra</w:t>
      </w:r>
      <w:r>
        <w:rPr>
          <w:lang w:eastAsia="en-US"/>
        </w:rPr>
        <w:t>lia. However, workforce data is</w:t>
      </w:r>
      <w:r w:rsidRPr="00A06C83">
        <w:rPr>
          <w:lang w:eastAsia="en-US"/>
        </w:rPr>
        <w:t xml:space="preserve"> currently only available for psychiatrists, nurses and registered psychologists who work principally in mental health care and related areas.</w:t>
      </w:r>
    </w:p>
    <w:p w:rsidR="009E7D68" w:rsidRPr="00A06C83" w:rsidRDefault="009E7D68" w:rsidP="00B82252">
      <w:r w:rsidRPr="00A06C83">
        <w:t>In order to enable meaningful comparison, the rate (per 100</w:t>
      </w:r>
      <w:r>
        <w:t>,</w:t>
      </w:r>
      <w:r w:rsidRPr="00A06C83">
        <w:t xml:space="preserve">000 </w:t>
      </w:r>
      <w:proofErr w:type="gramStart"/>
      <w:r w:rsidRPr="00A06C83">
        <w:t>population</w:t>
      </w:r>
      <w:proofErr w:type="gramEnd"/>
      <w:r w:rsidRPr="00A06C83">
        <w:t>) of full-time-equivalent (FTE) figures is used. The FTE measures the number of 38 hour-week workloads completed, regardless of full-time or part-time work.</w:t>
      </w:r>
    </w:p>
    <w:p w:rsidR="009E7D68" w:rsidRPr="00676092" w:rsidRDefault="009E7D68" w:rsidP="00B82252">
      <w:r w:rsidRPr="00A61D14">
        <w:t>In all jurisdictions psychiatrists had the lowest rate of employed FTE per 100</w:t>
      </w:r>
      <w:r>
        <w:t>,</w:t>
      </w:r>
      <w:r w:rsidRPr="00A61D14">
        <w:t>000 in 201</w:t>
      </w:r>
      <w:r>
        <w:t>2</w:t>
      </w:r>
      <w:r w:rsidRPr="00A61D14">
        <w:t xml:space="preserve">, ranging from </w:t>
      </w:r>
      <w:r>
        <w:t>8.2</w:t>
      </w:r>
      <w:r w:rsidRPr="00A61D14">
        <w:t xml:space="preserve"> in the Northern Territory to 15.</w:t>
      </w:r>
      <w:r>
        <w:t>1</w:t>
      </w:r>
      <w:r w:rsidRPr="00A61D14">
        <w:t xml:space="preserve"> in South Australia. The rate of mental health nurses (per 100</w:t>
      </w:r>
      <w:r>
        <w:t>,</w:t>
      </w:r>
      <w:r w:rsidRPr="00A61D14">
        <w:t xml:space="preserve">000 </w:t>
      </w:r>
      <w:proofErr w:type="gramStart"/>
      <w:r w:rsidRPr="00A61D14">
        <w:t>population</w:t>
      </w:r>
      <w:proofErr w:type="gramEnd"/>
      <w:r w:rsidRPr="00A61D14">
        <w:t xml:space="preserve">) ranged from </w:t>
      </w:r>
      <w:r>
        <w:t>62.1</w:t>
      </w:r>
      <w:r w:rsidRPr="00A61D14">
        <w:t xml:space="preserve"> in the Australian Capital Territory, to </w:t>
      </w:r>
      <w:r>
        <w:t>86.3</w:t>
      </w:r>
      <w:r w:rsidRPr="00A61D14">
        <w:t xml:space="preserve"> in </w:t>
      </w:r>
      <w:r>
        <w:t xml:space="preserve">Western </w:t>
      </w:r>
      <w:r w:rsidRPr="00A61D14">
        <w:t>Australia. The rate (per 100</w:t>
      </w:r>
      <w:r>
        <w:t>,</w:t>
      </w:r>
      <w:r w:rsidRPr="00A61D14">
        <w:t xml:space="preserve">000 </w:t>
      </w:r>
      <w:proofErr w:type="gramStart"/>
      <w:r w:rsidRPr="00A61D14">
        <w:t>population</w:t>
      </w:r>
      <w:proofErr w:type="gramEnd"/>
      <w:r w:rsidRPr="00A61D14">
        <w:t xml:space="preserve">) for registered psychologists ranged from </w:t>
      </w:r>
      <w:r>
        <w:t>59.3</w:t>
      </w:r>
      <w:r w:rsidRPr="00A61D14">
        <w:t xml:space="preserve"> in South Australia to </w:t>
      </w:r>
      <w:r>
        <w:t>138.4</w:t>
      </w:r>
      <w:r w:rsidRPr="00A61D14">
        <w:t xml:space="preserve"> in the Austra</w:t>
      </w:r>
      <w:r>
        <w:t>lian Capital Territory (Figure 6</w:t>
      </w:r>
      <w:r w:rsidRPr="00A61D14">
        <w:t>).</w:t>
      </w:r>
      <w:r w:rsidRPr="00372F8C">
        <w:rPr>
          <w:noProof/>
          <w:vertAlign w:val="superscript"/>
        </w:rPr>
        <w:t>6</w:t>
      </w:r>
    </w:p>
    <w:p w:rsidR="009E7D68" w:rsidRDefault="009E7D68" w:rsidP="000B56B4">
      <w:pPr>
        <w:pStyle w:val="Caption"/>
      </w:pPr>
      <w:r>
        <w:lastRenderedPageBreak/>
        <w:t>Figure 6:</w:t>
      </w:r>
      <w:r w:rsidRPr="00D86351">
        <w:t xml:space="preserve"> Rate of employed FTE staff by profession type, states and territories, 2012 </w:t>
      </w:r>
    </w:p>
    <w:p w:rsidR="009E7D68" w:rsidRDefault="009E7D68" w:rsidP="00AE050C">
      <w:r>
        <w:rPr>
          <w:noProof/>
          <w:lang w:val="en-AU"/>
        </w:rPr>
        <w:drawing>
          <wp:inline distT="0" distB="0" distL="0" distR="0" wp14:anchorId="4D445D9C" wp14:editId="52C80815">
            <wp:extent cx="5517515" cy="3705860"/>
            <wp:effectExtent l="0" t="0" r="6985" b="8890"/>
            <wp:docPr id="42" name="Chart 42" descr="Vertical bar chart showing the rate of employed FTE staff for states and territories in 2012. For the majority of states and territories the rate of employed FTE staff was highest for registered psychologists with the ACT reporting the highest rate (138.4 per 100,000 population) and SA the lowest (59.3). However for WA, SA and Tas the rate was highest for mental health nurses (86.3, 85.5 and 81.5, respectively). Psychiatrists had the lowest rate for all states and territories ranging from 15.1 in SA to 82 in the NT. " title="Figure 6: Rate of employed FTE staff by profession type, states and territories, 2012 "/>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9E7D68" w:rsidRPr="0098627E" w:rsidRDefault="009E7D68" w:rsidP="00B82252">
      <w:pPr>
        <w:jc w:val="left"/>
        <w:rPr>
          <w:sz w:val="16"/>
          <w:szCs w:val="18"/>
        </w:rPr>
      </w:pPr>
      <w:r w:rsidRPr="0098627E">
        <w:rPr>
          <w:sz w:val="16"/>
          <w:szCs w:val="18"/>
        </w:rPr>
        <w:t>Source: National Health Workforce Data Set</w:t>
      </w:r>
    </w:p>
    <w:p w:rsidR="009E7D68" w:rsidRPr="00743578" w:rsidRDefault="009E7D68" w:rsidP="00B82252">
      <w:pPr>
        <w:pStyle w:val="Heading3"/>
      </w:pPr>
      <w:r w:rsidRPr="00743578">
        <w:t xml:space="preserve">Consumer and </w:t>
      </w:r>
      <w:proofErr w:type="spellStart"/>
      <w:r w:rsidRPr="00743578">
        <w:t>carer</w:t>
      </w:r>
      <w:proofErr w:type="spellEnd"/>
      <w:r w:rsidRPr="00743578">
        <w:t xml:space="preserve"> participation in mental health care</w:t>
      </w:r>
    </w:p>
    <w:p w:rsidR="009E7D68" w:rsidRPr="00A06C83" w:rsidRDefault="009E7D68" w:rsidP="00B82252">
      <w:r w:rsidRPr="00A06C83">
        <w:t xml:space="preserve">Peer workers are people who have lived experience of mental illness, often directly or within their family, and are employed specifically to share this experience and knowledge to help other people and families experiencing mental ill-health. Peer workers are employed around the country, but in a range of ways. </w:t>
      </w:r>
    </w:p>
    <w:p w:rsidR="009E7D68" w:rsidRPr="00A06C83" w:rsidRDefault="009E7D68" w:rsidP="00B82252">
      <w:r w:rsidRPr="00A06C83">
        <w:t xml:space="preserve">The number of </w:t>
      </w:r>
      <w:proofErr w:type="spellStart"/>
      <w:r w:rsidRPr="00A06C83">
        <w:t>specialised</w:t>
      </w:r>
      <w:proofErr w:type="spellEnd"/>
      <w:r w:rsidRPr="00A06C83">
        <w:t xml:space="preserve"> mental health service </w:t>
      </w:r>
      <w:proofErr w:type="spellStart"/>
      <w:r w:rsidRPr="00A06C83">
        <w:t>organisations</w:t>
      </w:r>
      <w:proofErr w:type="spellEnd"/>
      <w:r w:rsidRPr="00A06C83">
        <w:t xml:space="preserve"> employing consumer and </w:t>
      </w:r>
      <w:proofErr w:type="spellStart"/>
      <w:r w:rsidRPr="00A06C83">
        <w:t>carer</w:t>
      </w:r>
      <w:proofErr w:type="spellEnd"/>
      <w:r w:rsidRPr="00A06C83">
        <w:t xml:space="preserve"> workers has risen by 3.8 and 4.3</w:t>
      </w:r>
      <w:r>
        <w:t xml:space="preserve"> per cent respectively from 2007–08 to 2011–12.</w:t>
      </w:r>
      <w:r w:rsidRPr="00372F8C">
        <w:rPr>
          <w:noProof/>
          <w:vertAlign w:val="superscript"/>
        </w:rPr>
        <w:t>1</w:t>
      </w:r>
    </w:p>
    <w:p w:rsidR="009E7D68" w:rsidRPr="00A06C83" w:rsidRDefault="009E7D68" w:rsidP="00B82252">
      <w:r>
        <w:t>In 2011–</w:t>
      </w:r>
      <w:r w:rsidRPr="00A06C83">
        <w:t>12 there were 47</w:t>
      </w:r>
      <w:r>
        <w:t>.5</w:t>
      </w:r>
      <w:r w:rsidRPr="00A06C83">
        <w:t xml:space="preserve"> </w:t>
      </w:r>
      <w:r>
        <w:t xml:space="preserve">full-time-equivalent (FTE) </w:t>
      </w:r>
      <w:r w:rsidRPr="00A06C83">
        <w:t>peer workers employed for every 10</w:t>
      </w:r>
      <w:r>
        <w:t>,</w:t>
      </w:r>
      <w:r w:rsidRPr="00A06C83">
        <w:t xml:space="preserve">000 FTE staff in the mental health workforce. Although an increase in employment of </w:t>
      </w:r>
      <w:proofErr w:type="spellStart"/>
      <w:r w:rsidRPr="00A06C83">
        <w:t>carer</w:t>
      </w:r>
      <w:proofErr w:type="spellEnd"/>
      <w:r w:rsidRPr="00A06C83">
        <w:t xml:space="preserve"> and consumer workers can be seen across the majority of jurisdictions, the greatest increase can be observed in Tasmania, increasing from 0.5 </w:t>
      </w:r>
      <w:r>
        <w:t xml:space="preserve">FTE </w:t>
      </w:r>
      <w:r w:rsidRPr="00A06C83">
        <w:t xml:space="preserve">peer workers per </w:t>
      </w:r>
      <w:r>
        <w:t>10,000 FTE in 2007–</w:t>
      </w:r>
      <w:r w:rsidRPr="00A06C83">
        <w:t>08 to 32 workers per 10</w:t>
      </w:r>
      <w:r>
        <w:t>,</w:t>
      </w:r>
      <w:r w:rsidRPr="00A06C83">
        <w:t>000 FTE in 2011–12.</w:t>
      </w:r>
      <w:r w:rsidRPr="00372F8C">
        <w:rPr>
          <w:noProof/>
          <w:vertAlign w:val="superscript"/>
        </w:rPr>
        <w:t>1</w:t>
      </w:r>
    </w:p>
    <w:p w:rsidR="009E7D68" w:rsidRPr="00743578" w:rsidRDefault="009E7D68" w:rsidP="00B82252">
      <w:pPr>
        <w:pStyle w:val="Heading2"/>
      </w:pPr>
      <w:r>
        <w:t>State and territory expenditure</w:t>
      </w:r>
    </w:p>
    <w:p w:rsidR="009E7D68" w:rsidRDefault="009E7D68" w:rsidP="00B82252">
      <w:pPr>
        <w:keepLines/>
      </w:pPr>
      <w:r w:rsidRPr="00A06C83">
        <w:t>Of state and territory expenditure in 2011</w:t>
      </w:r>
      <w:r>
        <w:t>–</w:t>
      </w:r>
      <w:r w:rsidRPr="00A06C83">
        <w:t>12, the largest proportion was spent on public hospital services for admitted patients ($1.9 billion), followed by community mental health care services ($1.8 billion)</w:t>
      </w:r>
      <w:r>
        <w:t xml:space="preserve"> (see Figure 7)</w:t>
      </w:r>
      <w:r w:rsidRPr="00A06C83">
        <w:t xml:space="preserve">. Across the jurisdictions, per capita expenditure on </w:t>
      </w:r>
      <w:proofErr w:type="spellStart"/>
      <w:r w:rsidRPr="00A06C83">
        <w:t>specialised</w:t>
      </w:r>
      <w:proofErr w:type="spellEnd"/>
      <w:r w:rsidRPr="00A06C83">
        <w:t xml:space="preserve"> mental health services ranged from $182 per person in Victoria to $243 per person in Western </w:t>
      </w:r>
      <w:proofErr w:type="gramStart"/>
      <w:r w:rsidRPr="00A06C83">
        <w:t>Australia,</w:t>
      </w:r>
      <w:proofErr w:type="gramEnd"/>
      <w:r w:rsidRPr="00A06C83">
        <w:t xml:space="preserve"> compared to a national average of $198 per person (Figure </w:t>
      </w:r>
      <w:r>
        <w:t>8</w:t>
      </w:r>
      <w:r w:rsidRPr="00A06C83">
        <w:t>).</w:t>
      </w:r>
      <w:r>
        <w:t xml:space="preserve"> </w:t>
      </w:r>
      <w:r w:rsidRPr="00A06C83">
        <w:t>Between 2009</w:t>
      </w:r>
      <w:r>
        <w:t>–</w:t>
      </w:r>
      <w:r w:rsidRPr="00A06C83">
        <w:t>10 and 2011</w:t>
      </w:r>
      <w:r>
        <w:t>–</w:t>
      </w:r>
      <w:r w:rsidRPr="00A06C83">
        <w:t xml:space="preserve">12 change in per person expenditure varied across jurisdictions, from an annual average decrease </w:t>
      </w:r>
      <w:r>
        <w:t xml:space="preserve">of </w:t>
      </w:r>
      <w:r w:rsidRPr="00A06C83">
        <w:t>3.7</w:t>
      </w:r>
      <w:r>
        <w:t xml:space="preserve"> per cent</w:t>
      </w:r>
      <w:r w:rsidRPr="00A06C83">
        <w:t xml:space="preserve"> in Tasmania to an annual average increase of 6.3</w:t>
      </w:r>
      <w:r>
        <w:t xml:space="preserve"> per cent</w:t>
      </w:r>
      <w:r w:rsidRPr="00A06C83">
        <w:t xml:space="preserve"> in the Northern Territory; compared to the national average of 2.6</w:t>
      </w:r>
      <w:r>
        <w:t xml:space="preserve"> per cent</w:t>
      </w:r>
      <w:r w:rsidRPr="00A06C83">
        <w:t xml:space="preserve"> average annual increase.</w:t>
      </w:r>
      <w:r w:rsidRPr="00372F8C">
        <w:rPr>
          <w:noProof/>
          <w:vertAlign w:val="superscript"/>
        </w:rPr>
        <w:t>7</w:t>
      </w:r>
      <w:r w:rsidRPr="00A06C83">
        <w:t xml:space="preserve"> </w:t>
      </w:r>
    </w:p>
    <w:p w:rsidR="009E7D68" w:rsidRPr="004C1DD0" w:rsidRDefault="009E7D68" w:rsidP="000B56B4">
      <w:pPr>
        <w:pStyle w:val="Caption"/>
        <w:rPr>
          <w:lang w:val="en-AU"/>
        </w:rPr>
      </w:pPr>
      <w:r>
        <w:rPr>
          <w:lang w:val="en-AU"/>
        </w:rPr>
        <w:lastRenderedPageBreak/>
        <w:t>Figure 7:</w:t>
      </w:r>
      <w:r w:rsidRPr="002C7A05">
        <w:rPr>
          <w:lang w:val="en-AU"/>
        </w:rPr>
        <w:t xml:space="preserve"> Proportion of expenditure, by service type, state and territory specialised mental health</w:t>
      </w:r>
      <w:r>
        <w:rPr>
          <w:lang w:val="en-AU"/>
        </w:rPr>
        <w:t xml:space="preserve"> </w:t>
      </w:r>
      <w:r w:rsidRPr="002C7A05">
        <w:rPr>
          <w:lang w:val="en-AU"/>
        </w:rPr>
        <w:t xml:space="preserve">services, constant prices, 2011–12  </w:t>
      </w:r>
    </w:p>
    <w:p w:rsidR="009E7D68" w:rsidRDefault="009E7D68" w:rsidP="00AE050C">
      <w:r w:rsidRPr="00266ED5">
        <w:rPr>
          <w:noProof/>
          <w:lang w:val="en-AU"/>
        </w:rPr>
        <w:drawing>
          <wp:inline distT="0" distB="0" distL="0" distR="0" wp14:anchorId="5EEAE25F" wp14:editId="73FB410F">
            <wp:extent cx="5396230" cy="2820670"/>
            <wp:effectExtent l="0" t="0" r="0" b="0"/>
            <wp:docPr id="29" name="Chart 29" descr="Vertical bar chart showing the proportion of expenditure by service type for state and territory mental health services. In 2011–12, the majority of expenditure was for public hospital services in NSW (53.5%), WA (44.0%) and Tas (37.7%). Community mental health services accounted for the highest proportion of expenditure in Vic (38.9%), Qld (45.0%), SA (42.2%), ACT (44.7%) and NT (47.9%). The proportion of expenditure for grants to non-government organisations ranged from 13.3% in the ACT to 4.9% in NSW. The proportion of expenditure for all other services ranged from 24.3% in Tas to 5.8% in NSW. " title="Figure 7: Proportion of expenditure, by service type, state and territory specialised mental health services, constant prices, 2011–12  "/>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9E7D68" w:rsidRPr="0098627E" w:rsidRDefault="009E7D68" w:rsidP="002064F9">
      <w:pPr>
        <w:pStyle w:val="Heading3"/>
        <w:rPr>
          <w:b w:val="0"/>
          <w:color w:val="auto"/>
          <w:sz w:val="16"/>
          <w:szCs w:val="18"/>
          <w:lang w:val="en-AU"/>
        </w:rPr>
      </w:pPr>
      <w:r w:rsidRPr="0098627E">
        <w:rPr>
          <w:b w:val="0"/>
          <w:color w:val="auto"/>
          <w:sz w:val="16"/>
          <w:szCs w:val="18"/>
          <w:lang w:val="en-AU"/>
        </w:rPr>
        <w:t>Source: Mental Health Establishments NMDS</w:t>
      </w:r>
    </w:p>
    <w:p w:rsidR="009E7D68" w:rsidRDefault="009E7D68" w:rsidP="00B82252">
      <w:pPr>
        <w:keepLines/>
      </w:pPr>
    </w:p>
    <w:p w:rsidR="009E7D68" w:rsidRDefault="009E7D68" w:rsidP="000B56B4">
      <w:pPr>
        <w:pStyle w:val="Caption"/>
      </w:pPr>
      <w:r>
        <w:t>Figure 8:</w:t>
      </w:r>
      <w:r w:rsidRPr="00266ED5">
        <w:t xml:space="preserve"> Per capita expenditure, state and territory </w:t>
      </w:r>
      <w:proofErr w:type="spellStart"/>
      <w:r w:rsidRPr="00266ED5">
        <w:t>specialised</w:t>
      </w:r>
      <w:proofErr w:type="spellEnd"/>
      <w:r w:rsidRPr="00266ED5">
        <w:t xml:space="preserve"> mental health services, constant prices, 2009–10 to 2011–12 </w:t>
      </w:r>
    </w:p>
    <w:p w:rsidR="009E7D68" w:rsidRDefault="009E7D68" w:rsidP="00F225F2">
      <w:pPr>
        <w:jc w:val="left"/>
        <w:rPr>
          <w:sz w:val="16"/>
          <w:szCs w:val="18"/>
        </w:rPr>
      </w:pPr>
      <w:r w:rsidRPr="00A06C83">
        <w:rPr>
          <w:rFonts w:ascii="Rooney Light" w:hAnsi="Rooney Light"/>
          <w:noProof/>
          <w:lang w:val="en-AU"/>
        </w:rPr>
        <w:drawing>
          <wp:inline distT="0" distB="0" distL="0" distR="0" wp14:anchorId="08FBC188" wp14:editId="3D3C333B">
            <wp:extent cx="5396230" cy="2726055"/>
            <wp:effectExtent l="0" t="0" r="0" b="0"/>
            <wp:docPr id="30" name="Chart 30" descr="Vertical bar chart showing the per capita expenditure from 2009–10 to 2011–12 for all jurisdictions. For all states and territories per capita expenditure increased slightly between 2009–10 and 2010–11. Tas reported the highest per capita expenditure in 2009–10 ($226.57 per person) and 2010–11 ($234.43), and Vic reported the lowest ($178.89 and $182.79 respectively). In 2011–12 per capita expenditure increased for all states and territories except for Vic, SA and Tas. The highest per capita expenditure for 2011–12 was reported in WA ($243.32) and the lowest in Vic ($181.65)." title="Figure 8: Per capita expenditure, state and territory specialised mental health services, constant prices, 2009–10 to 2011–12 "/>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r w:rsidRPr="0098627E">
        <w:rPr>
          <w:sz w:val="16"/>
          <w:szCs w:val="18"/>
        </w:rPr>
        <w:t>Source: Mental Health Establishments NMDS</w:t>
      </w:r>
    </w:p>
    <w:p w:rsidR="009E7D68" w:rsidRDefault="009E7D68">
      <w:pPr>
        <w:autoSpaceDE/>
        <w:autoSpaceDN/>
        <w:adjustRightInd/>
        <w:spacing w:before="0"/>
        <w:jc w:val="left"/>
        <w:textAlignment w:val="auto"/>
        <w:rPr>
          <w:sz w:val="16"/>
          <w:szCs w:val="18"/>
        </w:rPr>
      </w:pPr>
      <w:r>
        <w:rPr>
          <w:sz w:val="16"/>
          <w:szCs w:val="18"/>
        </w:rPr>
        <w:br w:type="page"/>
      </w:r>
    </w:p>
    <w:p w:rsidR="009E7D68" w:rsidRPr="00484A79" w:rsidRDefault="009E7D68" w:rsidP="00F225F2">
      <w:pPr>
        <w:pStyle w:val="Heading1"/>
        <w:rPr>
          <w:sz w:val="16"/>
          <w:szCs w:val="16"/>
        </w:rPr>
      </w:pPr>
      <w:bookmarkStart w:id="2" w:name="_Toc405288556"/>
      <w:r w:rsidRPr="00484A79">
        <w:lastRenderedPageBreak/>
        <w:t>How do we know if mental health service activity is making a difference?</w:t>
      </w:r>
      <w:bookmarkEnd w:id="2"/>
    </w:p>
    <w:p w:rsidR="009E7D68" w:rsidRPr="00A06C83" w:rsidRDefault="009E7D68" w:rsidP="00F225F2">
      <w:r w:rsidRPr="00A06C83">
        <w:t xml:space="preserve">Two outcome orientated national mental health indicator sets from the suite of Mental Health </w:t>
      </w:r>
      <w:r>
        <w:t>I</w:t>
      </w:r>
      <w:r w:rsidRPr="00A06C83">
        <w:t xml:space="preserve">ndicators are typically used to monitor the activity of </w:t>
      </w:r>
      <w:r>
        <w:t xml:space="preserve">the </w:t>
      </w:r>
      <w:r w:rsidRPr="00A06C83">
        <w:t>Australian mental health sector. The Fourth National Mental Health Plan indicators monitor the mental health sector more generally, while the Mental Health Service KPIs specifically monitor the progress and outcomes of state and territory mental health services. However, not all indicators are able to be reported at this time.</w:t>
      </w:r>
    </w:p>
    <w:p w:rsidR="009E7D68" w:rsidRPr="00A06C83" w:rsidRDefault="009E7D68" w:rsidP="00F225F2">
      <w:r w:rsidRPr="00A06C83">
        <w:t xml:space="preserve">Two example indicators are reported here: MHS KPI 2 - </w:t>
      </w:r>
      <w:r>
        <w:t>p</w:t>
      </w:r>
      <w:r w:rsidRPr="00A06C83">
        <w:t>ercent</w:t>
      </w:r>
      <w:r>
        <w:t>age</w:t>
      </w:r>
      <w:r w:rsidRPr="00A06C83">
        <w:t xml:space="preserve"> of people readmitted to an acute psychiatric inpatient unit within 28 days of discharge, </w:t>
      </w:r>
      <w:r>
        <w:t xml:space="preserve">and </w:t>
      </w:r>
      <w:r w:rsidRPr="00A06C83">
        <w:t xml:space="preserve">MHS KPI 12 - </w:t>
      </w:r>
      <w:r>
        <w:t>p</w:t>
      </w:r>
      <w:r w:rsidRPr="00A06C83">
        <w:t>ercent</w:t>
      </w:r>
      <w:r>
        <w:t>age</w:t>
      </w:r>
      <w:r w:rsidRPr="00A06C83">
        <w:t xml:space="preserve"> of patients leaving acute inpatient care that are followed up by a community mental health service contact within </w:t>
      </w:r>
      <w:r>
        <w:t xml:space="preserve">seven </w:t>
      </w:r>
      <w:r w:rsidRPr="00A06C83">
        <w:t>days of discharge.</w:t>
      </w:r>
    </w:p>
    <w:p w:rsidR="009E7D68" w:rsidRPr="00A06C83" w:rsidRDefault="009E7D68" w:rsidP="007F2B6C">
      <w:r w:rsidRPr="00A06C83">
        <w:t>In 201</w:t>
      </w:r>
      <w:r>
        <w:t>1–</w:t>
      </w:r>
      <w:r w:rsidRPr="00A06C83">
        <w:t>1</w:t>
      </w:r>
      <w:r>
        <w:t>2</w:t>
      </w:r>
      <w:r w:rsidRPr="00A06C83">
        <w:t>, the percentage of admissions to state and territory acute psychiatric inpatient units that were followed by a readmission within 28 days was 1</w:t>
      </w:r>
      <w:r>
        <w:t>4.4 per cent</w:t>
      </w:r>
      <w:r w:rsidRPr="00A06C83">
        <w:t xml:space="preserve"> nationally</w:t>
      </w:r>
      <w:r>
        <w:t xml:space="preserve"> (MHS KPI 2)</w:t>
      </w:r>
      <w:r w:rsidRPr="00A06C83">
        <w:t>. This figure has been stable since 2005</w:t>
      </w:r>
      <w:r>
        <w:t>–</w:t>
      </w:r>
      <w:r w:rsidRPr="00A06C83">
        <w:t>06. Readmission rates are often used as an indicator of mental health system performance. High rates may point to deficiencies in hospital treatment or community follow</w:t>
      </w:r>
      <w:r>
        <w:t>-</w:t>
      </w:r>
      <w:r w:rsidRPr="00A06C83">
        <w:t>up care, or a combination of the two.</w:t>
      </w:r>
      <w:r w:rsidRPr="00372F8C">
        <w:rPr>
          <w:noProof/>
          <w:vertAlign w:val="superscript"/>
        </w:rPr>
        <w:t>8</w:t>
      </w:r>
    </w:p>
    <w:p w:rsidR="009E7D68" w:rsidRPr="00BA2D53" w:rsidRDefault="009E7D68" w:rsidP="00F225F2">
      <w:pPr>
        <w:jc w:val="left"/>
      </w:pPr>
      <w:r w:rsidRPr="00A06C83">
        <w:t>Two states had</w:t>
      </w:r>
      <w:r>
        <w:t xml:space="preserve"> readmission rates lower than ten per cent</w:t>
      </w:r>
      <w:r w:rsidRPr="00A06C83">
        <w:t xml:space="preserve"> in 201</w:t>
      </w:r>
      <w:r>
        <w:t>1–</w:t>
      </w:r>
      <w:r w:rsidRPr="00A06C83">
        <w:t>1</w:t>
      </w:r>
      <w:r>
        <w:t>2</w:t>
      </w:r>
      <w:r w:rsidRPr="00A06C83">
        <w:t xml:space="preserve">: the </w:t>
      </w:r>
      <w:r>
        <w:t>Northern</w:t>
      </w:r>
      <w:r w:rsidRPr="00A06C83">
        <w:t xml:space="preserve"> Territory (</w:t>
      </w:r>
      <w:r>
        <w:t>9.8 per cent</w:t>
      </w:r>
      <w:r w:rsidRPr="00A06C83">
        <w:t>) and South Australia (9</w:t>
      </w:r>
      <w:r>
        <w:t>.3 per cent) (Figure 9</w:t>
      </w:r>
      <w:r w:rsidRPr="00A06C83">
        <w:t>).</w:t>
      </w:r>
      <w:r w:rsidRPr="00372F8C">
        <w:rPr>
          <w:noProof/>
          <w:vertAlign w:val="superscript"/>
        </w:rPr>
        <w:t>9</w:t>
      </w:r>
      <w:r w:rsidRPr="00BA2D53">
        <w:t xml:space="preserve"> </w:t>
      </w:r>
    </w:p>
    <w:p w:rsidR="009E7D68" w:rsidRDefault="009E7D68" w:rsidP="000B56B4">
      <w:pPr>
        <w:pStyle w:val="Caption"/>
      </w:pPr>
      <w:r w:rsidRPr="00702617">
        <w:t>Figur</w:t>
      </w:r>
      <w:r>
        <w:t>e 9:</w:t>
      </w:r>
      <w:r w:rsidRPr="00702617">
        <w:t xml:space="preserve"> </w:t>
      </w:r>
      <w:r w:rsidRPr="000B56B4">
        <w:t>Proportion</w:t>
      </w:r>
      <w:r>
        <w:t xml:space="preserve"> of separations with a </w:t>
      </w:r>
      <w:r w:rsidRPr="00702617">
        <w:t>readmi</w:t>
      </w:r>
      <w:r>
        <w:t>ssion</w:t>
      </w:r>
      <w:r w:rsidRPr="00702617">
        <w:t xml:space="preserve"> to an acute psychiatric inpatient unit within 28 days of discharge, 201</w:t>
      </w:r>
      <w:r>
        <w:t>1–</w:t>
      </w:r>
      <w:r w:rsidRPr="00702617">
        <w:t>1</w:t>
      </w:r>
      <w:r>
        <w:t>2</w:t>
      </w:r>
      <w:r w:rsidRPr="00702617">
        <w:t xml:space="preserve"> </w:t>
      </w:r>
    </w:p>
    <w:p w:rsidR="009E7D68" w:rsidRPr="00D1609B" w:rsidRDefault="009E7D68" w:rsidP="007F2B6C">
      <w:r>
        <w:rPr>
          <w:noProof/>
          <w:lang w:val="en-AU"/>
        </w:rPr>
        <w:drawing>
          <wp:inline distT="0" distB="0" distL="0" distR="0" wp14:anchorId="49863A72" wp14:editId="3D7D035A">
            <wp:extent cx="5528945" cy="3167380"/>
            <wp:effectExtent l="0" t="0" r="0" b="0"/>
            <wp:docPr id="51" name="Chart 51" descr="Vertical bar chart showing the proportion of separations readmitted to an acute psychiatric inpatient unit with 28 days of discharge for states and territories. Nationally, 14.4% of separations were readmitted within 28 days of discharge in 2011–12. The highest rate of readmission was reported in NSW (15.7%), followed by Qld (15.1%), Vic (14.3%), Tas (14.1%), WA (13.7%), ACT (12.6%), NT (9.8%) and SA (9.3%). " title="Figure 9: Proportion of separations with a readmission to an acute psychiatric inpatient unit within 28 days of discharge, 2011–12 "/>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r>
        <w:br w:type="page"/>
      </w:r>
      <w:r w:rsidRPr="00D1609B">
        <w:lastRenderedPageBreak/>
        <w:t>Discharge from hospital is a critical transition point in the delivery of mental health care. People leaving hospital after an admission for an episode of mental illness have a heightened level of vulnerability and, without adequate follow-up, may relapse or be readmitted.</w:t>
      </w:r>
      <w:r>
        <w:rPr>
          <w:noProof/>
          <w:vertAlign w:val="superscript"/>
        </w:rPr>
        <w:t>8</w:t>
      </w:r>
      <w:r w:rsidRPr="00D1609B">
        <w:t xml:space="preserve">  In 2011–12, 54.6 per cent of Australian admissions to state and territory acute psychiatric inpatient units were followed by an episode of community care (in the seven days after discharge). This percentage has been improving incrementally since 2005–06. There is substantial variation across jurisdictions, with 2011–12 one week post-discharge follow-up rates ranging from a low of 27.4 per cent in Tasmania to a high of 77.7 per cent in the Australian Capital Territory (Figure 10).</w:t>
      </w:r>
      <w:r>
        <w:rPr>
          <w:noProof/>
          <w:vertAlign w:val="superscript"/>
        </w:rPr>
        <w:t>9</w:t>
      </w:r>
    </w:p>
    <w:p w:rsidR="009E7D68" w:rsidRDefault="009E7D68" w:rsidP="000B56B4">
      <w:pPr>
        <w:pStyle w:val="Caption"/>
      </w:pPr>
      <w:r>
        <w:t>Figure 10:</w:t>
      </w:r>
      <w:r w:rsidRPr="009B7702">
        <w:t xml:space="preserve"> </w:t>
      </w:r>
      <w:r>
        <w:t xml:space="preserve">Proportion of separations from </w:t>
      </w:r>
      <w:r w:rsidRPr="009B7702">
        <w:t xml:space="preserve">acute inpatient care </w:t>
      </w:r>
      <w:r>
        <w:t xml:space="preserve">units </w:t>
      </w:r>
      <w:r w:rsidRPr="009B7702">
        <w:t>that are followed up by a community mental health service contact within 7 days, 201</w:t>
      </w:r>
      <w:r>
        <w:t>1–</w:t>
      </w:r>
      <w:r w:rsidRPr="009B7702">
        <w:t>1</w:t>
      </w:r>
      <w:r>
        <w:t>2</w:t>
      </w:r>
      <w:r w:rsidRPr="009B7702">
        <w:t xml:space="preserve"> </w:t>
      </w:r>
    </w:p>
    <w:p w:rsidR="009E7D68" w:rsidRDefault="009E7D68" w:rsidP="00F225F2">
      <w:pPr>
        <w:pStyle w:val="Heading1"/>
      </w:pPr>
      <w:bookmarkStart w:id="3" w:name="_Toc405288557"/>
      <w:r>
        <w:rPr>
          <w:noProof/>
          <w:lang w:val="en-AU"/>
        </w:rPr>
        <w:drawing>
          <wp:inline distT="0" distB="0" distL="0" distR="0" wp14:anchorId="7FF668A9" wp14:editId="2B1A1AD9">
            <wp:extent cx="5478145" cy="3665220"/>
            <wp:effectExtent l="0" t="0" r="8255" b="0"/>
            <wp:docPr id="52" name="Chart 52" descr="Vertical bar chart showing the proportion of separations from acute inpatient care units that have been followed up by a community mental health service contact within 7 days. Nationally, 54.6% of acute inpatient care separations received post-discharge community care within 7 days. The ACT had the highest rate of post-discharge community care (77.7%), followed by Qld (64.4%), NSW (52.4%), WA (50.7%), SA (50.5%), NT (44.1%) and Tas (27.4%). Data were not available for Vic in 2011–12. " title="Figure 10: Proportion of separations from acute inpatient care units that are followed up by a community mental health service contact within 7 days, 2011–12 "/>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r>
        <w:br w:type="page"/>
      </w:r>
      <w:r>
        <w:lastRenderedPageBreak/>
        <w:t>Additional Summary Data</w:t>
      </w:r>
      <w:bookmarkEnd w:id="3"/>
    </w:p>
    <w:p w:rsidR="009E7D68" w:rsidRPr="00D07D7D" w:rsidRDefault="009E7D68" w:rsidP="00F225F2">
      <w:pPr>
        <w:pStyle w:val="Heading2"/>
      </w:pPr>
      <w:r w:rsidRPr="00D07D7D">
        <w:t>Expenditure constant prices</w:t>
      </w:r>
    </w:p>
    <w:p w:rsidR="009E7D68" w:rsidRDefault="009E7D68" w:rsidP="000B56B4">
      <w:pPr>
        <w:pStyle w:val="Caption"/>
        <w:rPr>
          <w:noProof/>
        </w:rPr>
      </w:pPr>
      <w:r>
        <w:rPr>
          <w:noProof/>
        </w:rPr>
        <w:t>Figure 11:</w:t>
      </w:r>
      <w:r w:rsidRPr="00D13DBA">
        <w:rPr>
          <w:noProof/>
        </w:rPr>
        <w:t xml:space="preserve"> Recurrent expenditure per capita on state and territory specialised mental health services, constant prices, by service type 2011–12 </w:t>
      </w:r>
    </w:p>
    <w:p w:rsidR="009E7D68" w:rsidRPr="0002337C" w:rsidRDefault="009E7D68" w:rsidP="00F225F2">
      <w:pPr>
        <w:jc w:val="left"/>
        <w:rPr>
          <w:b/>
          <w:noProof/>
          <w:sz w:val="16"/>
          <w:szCs w:val="16"/>
        </w:rPr>
      </w:pPr>
      <w:r w:rsidRPr="0002337C">
        <w:rPr>
          <w:noProof/>
          <w:sz w:val="16"/>
          <w:szCs w:val="16"/>
          <w:lang w:val="en-AU"/>
        </w:rPr>
        <w:drawing>
          <wp:inline distT="0" distB="0" distL="0" distR="0" wp14:anchorId="2384CFA0" wp14:editId="391DE9F8">
            <wp:extent cx="5396230" cy="2702560"/>
            <wp:effectExtent l="0" t="0" r="0" b="2540"/>
            <wp:docPr id="44" name="Chart 44" descr="Vertical bar chart showing the recurrent per capita expenditure for state and territory mental health services for 2011–12.  Overall, WA had the highest expenditure per capita on all mental health services ($243.32 per person) and Vic had the lowest ($181.65). For Vic, Qld, SA, ACT and the NT the highest per capita expenditure was for community mental health services, followed by public hospital services and grants to non-government organisations. The highest per capita expenditure for NSW, WA and Tas was for public hospital services, followed by community mental health services and grants to non-government organisations.  " title="Figure 11: Recurrent expenditure per capita on state and territory specialised mental health services, constant prices, by service type 2011–12 "/>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r w:rsidRPr="0002337C">
        <w:rPr>
          <w:noProof/>
          <w:sz w:val="16"/>
          <w:szCs w:val="16"/>
        </w:rPr>
        <w:t>Source: Mental Health Establishments NMDS</w:t>
      </w:r>
    </w:p>
    <w:p w:rsidR="009E7D68" w:rsidRDefault="009E7D68" w:rsidP="000B56B4">
      <w:pPr>
        <w:pStyle w:val="Caption"/>
      </w:pPr>
      <w:r>
        <w:t>Figure 12:</w:t>
      </w:r>
      <w:r w:rsidRPr="00D13DBA">
        <w:t xml:space="preserve"> Expenditure on MBS-</w:t>
      </w:r>
      <w:proofErr w:type="spellStart"/>
      <w:r w:rsidRPr="00D13DBA">
        <w:t>subsidised</w:t>
      </w:r>
      <w:proofErr w:type="spellEnd"/>
      <w:r w:rsidRPr="00D13DBA">
        <w:t xml:space="preserve"> mental health services, per capita, constant prices, by practitioner type, 201</w:t>
      </w:r>
      <w:r>
        <w:t>2</w:t>
      </w:r>
      <w:r w:rsidRPr="00D13DBA">
        <w:t>–1</w:t>
      </w:r>
      <w:r>
        <w:t>3</w:t>
      </w:r>
      <w:r w:rsidRPr="00D13DBA">
        <w:t xml:space="preserve"> </w:t>
      </w:r>
    </w:p>
    <w:p w:rsidR="009E7D68" w:rsidRDefault="009E7D68" w:rsidP="00BB51A9">
      <w:r>
        <w:rPr>
          <w:noProof/>
          <w:lang w:val="en-AU"/>
        </w:rPr>
        <w:drawing>
          <wp:inline distT="0" distB="0" distL="0" distR="0" wp14:anchorId="4BA59573" wp14:editId="2A634C1F">
            <wp:extent cx="5355590" cy="3049905"/>
            <wp:effectExtent l="0" t="0" r="0" b="0"/>
            <wp:docPr id="53" name="Chart 53" descr="Vertical bar chart showing the per capita expenditure on MBS-subsidised mental health services by provider type and jurisdiction for 2012–13. For the majority of jurisdictions the highest per capita expenditure reported was for psychiatrists except for WA, Tas and ACT where the highest reported per capita expenditure was for clinical psychologists. Other allied health providers had the lowest per capita expenditure for all jurisdictions.  " title="Figure 12: Expenditure on MBS-subsidised mental health services, per capita, constant prices, by practitioner type, 2012–13 "/>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9E7D68" w:rsidRDefault="009E7D68" w:rsidP="00BB51A9">
      <w:pPr>
        <w:rPr>
          <w:noProof/>
          <w:lang w:val="en-AU"/>
        </w:rPr>
      </w:pPr>
      <w:r w:rsidRPr="0002337C">
        <w:rPr>
          <w:noProof/>
          <w:sz w:val="16"/>
          <w:szCs w:val="16"/>
        </w:rPr>
        <w:t>Source: Mental Health Establishments NMDS</w:t>
      </w:r>
      <w:r>
        <w:rPr>
          <w:noProof/>
          <w:lang w:val="en-AU"/>
        </w:rPr>
        <w:t xml:space="preserve"> </w:t>
      </w:r>
    </w:p>
    <w:p w:rsidR="009E7D68" w:rsidRDefault="009E7D68" w:rsidP="00BB51A9">
      <w:r>
        <w:br w:type="page"/>
      </w:r>
      <w:r>
        <w:rPr>
          <w:rStyle w:val="Heading3Char"/>
        </w:rPr>
        <w:lastRenderedPageBreak/>
        <w:t>Figure 13:</w:t>
      </w:r>
      <w:r w:rsidRPr="00987E94">
        <w:rPr>
          <w:rStyle w:val="Heading3Char"/>
        </w:rPr>
        <w:t xml:space="preserve"> Expenditure on MBS-</w:t>
      </w:r>
      <w:proofErr w:type="spellStart"/>
      <w:r w:rsidRPr="00987E94">
        <w:rPr>
          <w:rStyle w:val="Heading3Char"/>
        </w:rPr>
        <w:t>subsidised</w:t>
      </w:r>
      <w:proofErr w:type="spellEnd"/>
      <w:r w:rsidRPr="00987E94">
        <w:rPr>
          <w:rStyle w:val="Heading3Char"/>
        </w:rPr>
        <w:t xml:space="preserve"> mental health services, per capita, constant prices, by practitioner type and remoteness, 2012–13</w:t>
      </w:r>
      <w:r w:rsidRPr="00D13DBA">
        <w:t xml:space="preserve"> </w:t>
      </w:r>
    </w:p>
    <w:p w:rsidR="009E7D68" w:rsidRDefault="009E7D68" w:rsidP="00F225F2">
      <w:pPr>
        <w:jc w:val="left"/>
        <w:rPr>
          <w:sz w:val="16"/>
          <w:szCs w:val="16"/>
        </w:rPr>
      </w:pPr>
      <w:r w:rsidRPr="0002337C">
        <w:rPr>
          <w:noProof/>
          <w:sz w:val="16"/>
          <w:szCs w:val="16"/>
          <w:lang w:val="en-AU"/>
        </w:rPr>
        <w:drawing>
          <wp:inline distT="0" distB="0" distL="0" distR="0" wp14:anchorId="3E6C17F4" wp14:editId="53DFCB8C">
            <wp:extent cx="5460643" cy="3039414"/>
            <wp:effectExtent l="0" t="0" r="6985" b="8890"/>
            <wp:docPr id="54" name="Chart 54" descr="Vertical bar chart showing the per capita expenditure on MBS-subsidised mental health services by provider type and remoteness area for 2012–13. Overall, per capita expenditure was highest for psychiatrists, clinical psychologists, general practitioners and other psychologists in major cities followed by inner regional, outer regional, remote and very remote areas. Other allied health providers had the highest per capita expenditure in inner regional areas, followed by major cities, outer regional, remote and very remote areas. " title="Figure 13: Expenditure on MBS-subsidised mental health services, per capita, constant prices, by practitioner type and remoteness, 2012–13 "/>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9E7D68" w:rsidRPr="0002337C" w:rsidRDefault="009E7D68" w:rsidP="00F225F2">
      <w:pPr>
        <w:jc w:val="left"/>
        <w:rPr>
          <w:sz w:val="16"/>
          <w:szCs w:val="16"/>
        </w:rPr>
      </w:pPr>
      <w:r w:rsidRPr="0002337C">
        <w:rPr>
          <w:sz w:val="16"/>
          <w:szCs w:val="16"/>
        </w:rPr>
        <w:t>Source: Medicare Benefits Schedule data</w:t>
      </w:r>
    </w:p>
    <w:p w:rsidR="009E7D68" w:rsidRDefault="009E7D68" w:rsidP="000B56B4">
      <w:pPr>
        <w:pStyle w:val="Caption"/>
      </w:pPr>
      <w:r>
        <w:t>Figure 14:</w:t>
      </w:r>
      <w:r w:rsidRPr="00D13DBA">
        <w:t xml:space="preserve"> Expenditure on PBS-</w:t>
      </w:r>
      <w:proofErr w:type="spellStart"/>
      <w:r w:rsidRPr="00D13DBA">
        <w:t>subsidised</w:t>
      </w:r>
      <w:proofErr w:type="spellEnd"/>
      <w:r w:rsidRPr="00D13DBA">
        <w:t xml:space="preserve"> mental health medications, pe</w:t>
      </w:r>
      <w:r>
        <w:t xml:space="preserve">r capita, constant prices, </w:t>
      </w:r>
      <w:proofErr w:type="gramStart"/>
      <w:r>
        <w:t>2010</w:t>
      </w:r>
      <w:proofErr w:type="gramEnd"/>
      <w:r>
        <w:t>–11</w:t>
      </w:r>
      <w:r w:rsidRPr="00D13DBA">
        <w:t xml:space="preserve"> to 201</w:t>
      </w:r>
      <w:r>
        <w:t>2–</w:t>
      </w:r>
      <w:r w:rsidRPr="00D13DBA">
        <w:t>1</w:t>
      </w:r>
      <w:r>
        <w:t>3</w:t>
      </w:r>
      <w:r w:rsidRPr="00D13DBA">
        <w:t xml:space="preserve"> </w:t>
      </w:r>
    </w:p>
    <w:p w:rsidR="009E7D68" w:rsidRDefault="009E7D68" w:rsidP="00F225F2">
      <w:pPr>
        <w:jc w:val="left"/>
        <w:rPr>
          <w:sz w:val="16"/>
          <w:szCs w:val="16"/>
        </w:rPr>
      </w:pPr>
      <w:r w:rsidRPr="0002337C">
        <w:rPr>
          <w:noProof/>
          <w:sz w:val="16"/>
          <w:szCs w:val="16"/>
          <w:lang w:val="en-AU"/>
        </w:rPr>
        <w:drawing>
          <wp:inline distT="0" distB="0" distL="0" distR="0" wp14:anchorId="4B90A6E1" wp14:editId="075EEA98">
            <wp:extent cx="5434885" cy="2923504"/>
            <wp:effectExtent l="0" t="0" r="0" b="0"/>
            <wp:docPr id="55" name="Chart 55" descr="Vertical bar chart showing the per capita expenditure on PBS-subsidised mental health medications from 2010–11 to 2012–13. There was an increase in PBS-subsidised medication per capita expenditure between 2010–11 and 2011–12 for the majority of states and territories except for Vic and the ACT. All states and territories had a decrease in the per capita expenditure between 2011–12 and 2012–13.  " title="Figure 14: Expenditure on PBS-subsidised mental health medications, per capita, constant prices, 2010–11 to 2012–13 "/>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9E7D68" w:rsidRPr="0002337C" w:rsidRDefault="009E7D68" w:rsidP="00F225F2">
      <w:pPr>
        <w:jc w:val="left"/>
        <w:rPr>
          <w:sz w:val="16"/>
          <w:szCs w:val="16"/>
        </w:rPr>
      </w:pPr>
      <w:r w:rsidRPr="0002337C">
        <w:rPr>
          <w:sz w:val="16"/>
          <w:szCs w:val="16"/>
        </w:rPr>
        <w:t>Source: Pharmaceutical Benefits Scheme and Repatriation Pharmaceutical Benefits Scheme</w:t>
      </w:r>
    </w:p>
    <w:p w:rsidR="009E7D68" w:rsidRPr="00D07D7D" w:rsidRDefault="009E7D68" w:rsidP="00F225F2">
      <w:pPr>
        <w:pStyle w:val="Heading2"/>
      </w:pPr>
      <w:r w:rsidRPr="00D07D7D">
        <w:lastRenderedPageBreak/>
        <w:t>Workforce</w:t>
      </w:r>
    </w:p>
    <w:p w:rsidR="009E7D68" w:rsidRDefault="009E7D68" w:rsidP="000B56B4">
      <w:pPr>
        <w:pStyle w:val="Caption"/>
      </w:pPr>
      <w:r>
        <w:t>Figure 15:</w:t>
      </w:r>
      <w:r w:rsidRPr="00D13DBA">
        <w:t xml:space="preserve"> Employed general practitioners, psychiatrists, psychologists and mental health nurses, FTE per 100</w:t>
      </w:r>
      <w:r>
        <w:t>,</w:t>
      </w:r>
      <w:r w:rsidRPr="00D13DBA">
        <w:t xml:space="preserve">000 population by remoteness, 2011 </w:t>
      </w:r>
    </w:p>
    <w:p w:rsidR="009E7D68" w:rsidRPr="004E5292" w:rsidRDefault="009E7D68" w:rsidP="00F225F2">
      <w:pPr>
        <w:jc w:val="left"/>
        <w:rPr>
          <w:b/>
          <w:sz w:val="16"/>
          <w:szCs w:val="16"/>
        </w:rPr>
      </w:pPr>
      <w:r>
        <w:rPr>
          <w:noProof/>
          <w:lang w:val="en-AU"/>
        </w:rPr>
        <w:drawing>
          <wp:inline distT="0" distB="0" distL="0" distR="0" wp14:anchorId="5F5A8F6D" wp14:editId="303D2A01">
            <wp:extent cx="5396230" cy="2716223"/>
            <wp:effectExtent l="0" t="0" r="0" b="8255"/>
            <wp:docPr id="48" name="Chart 48" descr="Vertical bar chart showing general practitioners, psychiatrists, psychologists and mental health nurses FTE per 100,000 population by remoteness in 2011.  The FTE per 100,000 population for general practitioners increased with increasing remoteness ranging from 108.2 FTE per 100,000 population in Major cities to 134.3 FTE per 100,00 population in Remote and Very remote areas. For all other staffing categories, FTE per 100,000 population decreased with increasing remoteness." title="Figure 15: Employed general practitioners, psychiatrists, psychologists and mental health nurses, FTE per 100 000 population by remoteness, 2011 "/>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9E7D68" w:rsidRDefault="009E7D68" w:rsidP="00F225F2">
      <w:pPr>
        <w:jc w:val="left"/>
        <w:rPr>
          <w:sz w:val="16"/>
          <w:szCs w:val="16"/>
        </w:rPr>
      </w:pPr>
      <w:r w:rsidRPr="0002337C">
        <w:rPr>
          <w:sz w:val="16"/>
          <w:szCs w:val="16"/>
        </w:rPr>
        <w:t>Source: National Health Workforce Data Set</w:t>
      </w:r>
    </w:p>
    <w:p w:rsidR="009E7D68" w:rsidRPr="0002337C" w:rsidRDefault="009E7D68" w:rsidP="00F225F2">
      <w:pPr>
        <w:jc w:val="left"/>
        <w:rPr>
          <w:sz w:val="16"/>
          <w:szCs w:val="16"/>
        </w:rPr>
      </w:pPr>
      <w:r>
        <w:rPr>
          <w:sz w:val="16"/>
          <w:szCs w:val="16"/>
        </w:rPr>
        <w:t>Note: General practitioners data are 2012 figures; all other workforce categories are 2011 figures.</w:t>
      </w:r>
    </w:p>
    <w:p w:rsidR="009E7D68" w:rsidRDefault="009E7D68" w:rsidP="000B56B4">
      <w:pPr>
        <w:pStyle w:val="Caption"/>
      </w:pPr>
      <w:r w:rsidRPr="00290A44">
        <w:t>Figure 1</w:t>
      </w:r>
      <w:r>
        <w:t>6:</w:t>
      </w:r>
      <w:r w:rsidRPr="00290A44">
        <w:t xml:space="preserve"> Employed general practitioners, psychiatrists, psychologists and mental health nurses, FTE per 100</w:t>
      </w:r>
      <w:r>
        <w:t>,</w:t>
      </w:r>
      <w:r w:rsidRPr="00290A44">
        <w:t xml:space="preserve">000 population by remoteness, 2012 </w:t>
      </w:r>
    </w:p>
    <w:p w:rsidR="009E7D68" w:rsidRPr="0002337C" w:rsidRDefault="009E7D68" w:rsidP="00F225F2">
      <w:pPr>
        <w:jc w:val="left"/>
        <w:rPr>
          <w:sz w:val="16"/>
          <w:szCs w:val="16"/>
        </w:rPr>
      </w:pPr>
      <w:r w:rsidRPr="0002337C">
        <w:rPr>
          <w:noProof/>
          <w:sz w:val="16"/>
          <w:szCs w:val="16"/>
          <w:lang w:val="en-AU"/>
        </w:rPr>
        <w:drawing>
          <wp:inline distT="0" distB="0" distL="0" distR="0" wp14:anchorId="3581474C" wp14:editId="3B990DC5">
            <wp:extent cx="5696585" cy="3430270"/>
            <wp:effectExtent l="0" t="0" r="0" b="0"/>
            <wp:docPr id="56" name="Chart 56" descr="Vertical bar chart showing general practitioners, psychiatrists, psychologists and mental health nurses FTE per 100,000 population by remoteness in 2012.  The FTE per 100,000 population for general practitioners increased with increasing remoteness ranging from 108.2 FTE per 100,000 population in Major cities to 134.3 FTE per 100,00 population in Remote and Very remote areas. For all other staffing categories, FTE per 100,000 population decreased with increasing remoteness." title="Figure 16: Employed general practitioners, psychiatrists, psychologists and mental health nurses, FTE per 100 000 population by remoteness, 2012 "/>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r w:rsidRPr="0002337C">
        <w:rPr>
          <w:sz w:val="16"/>
          <w:szCs w:val="16"/>
        </w:rPr>
        <w:t xml:space="preserve">Source: National Health Workforce Data Set </w:t>
      </w:r>
    </w:p>
    <w:p w:rsidR="009E7D68" w:rsidRPr="00EF0848" w:rsidRDefault="009E7D68" w:rsidP="00F225F2">
      <w:pPr>
        <w:pStyle w:val="Heading2"/>
        <w:rPr>
          <w:sz w:val="22"/>
        </w:rPr>
      </w:pPr>
      <w:r>
        <w:rPr>
          <w:rFonts w:asciiTheme="minorHAnsi" w:hAnsiTheme="minorHAnsi"/>
          <w:sz w:val="20"/>
        </w:rPr>
        <w:br w:type="page"/>
      </w:r>
      <w:r w:rsidRPr="00A06C83">
        <w:lastRenderedPageBreak/>
        <w:t>Services</w:t>
      </w:r>
    </w:p>
    <w:p w:rsidR="009E7D68" w:rsidRDefault="009E7D68" w:rsidP="000B56B4">
      <w:pPr>
        <w:pStyle w:val="Caption"/>
      </w:pPr>
      <w:r>
        <w:t>Figure 17:</w:t>
      </w:r>
      <w:r w:rsidRPr="00D13DBA">
        <w:t xml:space="preserve"> Public sector </w:t>
      </w:r>
      <w:proofErr w:type="spellStart"/>
      <w:r w:rsidRPr="00D13DBA">
        <w:t>specialised</w:t>
      </w:r>
      <w:proofErr w:type="spellEnd"/>
      <w:r w:rsidRPr="00D13DBA">
        <w:t xml:space="preserve"> mental health hospital beds per 100</w:t>
      </w:r>
      <w:r>
        <w:t>,</w:t>
      </w:r>
      <w:r w:rsidRPr="00D13DBA">
        <w:t xml:space="preserve">000 </w:t>
      </w:r>
      <w:proofErr w:type="gramStart"/>
      <w:r w:rsidRPr="00D13DBA">
        <w:t>population</w:t>
      </w:r>
      <w:proofErr w:type="gramEnd"/>
      <w:r w:rsidRPr="00D13DBA">
        <w:t xml:space="preserve">, by hospital type, 2011–12 </w:t>
      </w:r>
    </w:p>
    <w:p w:rsidR="009E7D68" w:rsidRPr="0002337C" w:rsidRDefault="009E7D68" w:rsidP="00F225F2">
      <w:pPr>
        <w:jc w:val="left"/>
        <w:rPr>
          <w:sz w:val="16"/>
          <w:szCs w:val="16"/>
        </w:rPr>
      </w:pPr>
      <w:r w:rsidRPr="0002337C">
        <w:rPr>
          <w:noProof/>
          <w:sz w:val="16"/>
          <w:szCs w:val="16"/>
          <w:lang w:val="en-AU"/>
        </w:rPr>
        <w:drawing>
          <wp:inline distT="0" distB="0" distL="0" distR="0" wp14:anchorId="79B20C44" wp14:editId="3E8D7467">
            <wp:extent cx="5396230" cy="2757805"/>
            <wp:effectExtent l="0" t="0" r="0" b="4445"/>
            <wp:docPr id="49" name="Chart 49" descr="Vertical bar chart showing public sector specialised mental health hospital beds per 100,000 population by hospital type and jurisdiction for 2011–12. For all jurisdictions, there were more public acute hospital beds per 100,000 population than public psychiatric hospital beds. Tas had the highest number of public acute hospital beds per 100,000 (25.6) with NT having the lowest (13.8). SA had the highest number of public psychiatric hospital beds per 100,000 population (14.0).  Tas, ACT and NT did not report any public psychiatric beds." title="Vertical bar chart showing general practitioners, psychiatrists, psychologists and mental health nurses FTE per 100,000 population by remoteness in 2012.  The FTE per 100,000 population for general practitioners increased with increasing remoteness ranging from 108.2 FTE per 100,000 population in Major cities to 134.3 FTE per 100,00 population in Remote and Very remote areas. For all other staffing categories, FTE per 100,000 population decreased with increasing remoteness."/>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r w:rsidRPr="0002337C">
        <w:rPr>
          <w:noProof/>
          <w:sz w:val="16"/>
          <w:szCs w:val="16"/>
        </w:rPr>
        <w:t>Source: Mental Health Establishments NMDS</w:t>
      </w:r>
    </w:p>
    <w:p w:rsidR="009E7D68" w:rsidRDefault="009E7D68" w:rsidP="000B56B4">
      <w:pPr>
        <w:pStyle w:val="Caption"/>
      </w:pPr>
      <w:r>
        <w:t>Figure 18:</w:t>
      </w:r>
      <w:r w:rsidRPr="00D13DBA">
        <w:t xml:space="preserve"> Public sector </w:t>
      </w:r>
      <w:proofErr w:type="spellStart"/>
      <w:r w:rsidRPr="00D13DBA">
        <w:t>specialised</w:t>
      </w:r>
      <w:proofErr w:type="spellEnd"/>
      <w:r w:rsidRPr="00D13DBA">
        <w:t xml:space="preserve"> mental health hospital beds per 100</w:t>
      </w:r>
      <w:r>
        <w:t>,</w:t>
      </w:r>
      <w:r w:rsidRPr="00D13DBA">
        <w:t xml:space="preserve">000 </w:t>
      </w:r>
      <w:proofErr w:type="gramStart"/>
      <w:r w:rsidRPr="00D13DBA">
        <w:t>population</w:t>
      </w:r>
      <w:proofErr w:type="gramEnd"/>
      <w:r w:rsidRPr="00D13DBA">
        <w:t xml:space="preserve">, 2007–08 to 2011–12 </w:t>
      </w:r>
    </w:p>
    <w:p w:rsidR="009E7D68" w:rsidRPr="0002337C" w:rsidRDefault="009E7D68" w:rsidP="00F225F2">
      <w:pPr>
        <w:jc w:val="left"/>
        <w:rPr>
          <w:sz w:val="16"/>
          <w:szCs w:val="16"/>
        </w:rPr>
      </w:pPr>
      <w:r w:rsidRPr="0002337C">
        <w:rPr>
          <w:noProof/>
          <w:sz w:val="16"/>
          <w:szCs w:val="16"/>
          <w:lang w:val="en-AU"/>
        </w:rPr>
        <w:drawing>
          <wp:inline distT="0" distB="0" distL="0" distR="0" wp14:anchorId="53B77C3E" wp14:editId="412634C9">
            <wp:extent cx="5396230" cy="2757805"/>
            <wp:effectExtent l="0" t="0" r="0" b="4445"/>
            <wp:docPr id="50" name="Chart 50" descr="Vertical bar chart showing public sector specialised mental health hospital beds per 100,000 population over time from 2007–08 to 2011–12 by jurisdiction. For all jurisdictions excluding NSW the number of mental health hospital beds per 100,000 population decreased between 2007–08 and 2011–12. Nationally, the number of public sector specialised mental health hospital beds decreased from 31.2 beds per 100,000 population in 2007–08 to 29.8 per 100,000 population in 2011–12." title="Figure 18: Public sector specialised mental health hospital beds per 100 000 population, 2007–08 to 2011–12 "/>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r w:rsidRPr="0002337C">
        <w:rPr>
          <w:noProof/>
          <w:sz w:val="16"/>
          <w:szCs w:val="16"/>
        </w:rPr>
        <w:t>Source: Mental Health Establishments NMDS</w:t>
      </w:r>
    </w:p>
    <w:p w:rsidR="009E7D68" w:rsidRDefault="009E7D68" w:rsidP="000B56B4">
      <w:pPr>
        <w:pStyle w:val="Caption"/>
      </w:pPr>
      <w:r>
        <w:br w:type="page"/>
      </w:r>
      <w:r w:rsidRPr="00D13DBA">
        <w:lastRenderedPageBreak/>
        <w:t xml:space="preserve">Table </w:t>
      </w:r>
      <w:r w:rsidRPr="00D13DBA">
        <w:fldChar w:fldCharType="begin"/>
      </w:r>
      <w:r w:rsidRPr="00D13DBA">
        <w:instrText xml:space="preserve"> SEQ Table \* ARABIC </w:instrText>
      </w:r>
      <w:r w:rsidRPr="00D13DBA">
        <w:fldChar w:fldCharType="separate"/>
      </w:r>
      <w:r w:rsidR="00F41AC1">
        <w:rPr>
          <w:noProof/>
        </w:rPr>
        <w:t>1</w:t>
      </w:r>
      <w:r w:rsidRPr="00D13DBA">
        <w:fldChar w:fldCharType="end"/>
      </w:r>
      <w:r>
        <w:t>:</w:t>
      </w:r>
      <w:r w:rsidRPr="00D13DBA">
        <w:t xml:space="preserve"> M</w:t>
      </w:r>
      <w:r>
        <w:t>ental health-r</w:t>
      </w:r>
      <w:r w:rsidRPr="00D13DBA">
        <w:t xml:space="preserve">elated </w:t>
      </w:r>
      <w:r>
        <w:t>s</w:t>
      </w:r>
      <w:r w:rsidRPr="00D13DBA">
        <w:t xml:space="preserve">ervices </w:t>
      </w:r>
      <w:r>
        <w:t>–</w:t>
      </w:r>
      <w:r w:rsidRPr="00D13DBA">
        <w:t xml:space="preserve"> 2011</w:t>
      </w:r>
      <w:r>
        <w:t>–</w:t>
      </w:r>
      <w:r w:rsidRPr="00D13DBA">
        <w:t>12</w:t>
      </w:r>
    </w:p>
    <w:p w:rsidR="009E7D68" w:rsidRPr="001B23FE" w:rsidRDefault="009E7D68" w:rsidP="00F225F2">
      <w:pPr>
        <w:jc w:val="left"/>
      </w:pPr>
    </w:p>
    <w:tbl>
      <w:tblPr>
        <w:tblStyle w:val="NMHCTable"/>
        <w:tblW w:w="8505" w:type="dxa"/>
        <w:tblLayout w:type="fixed"/>
        <w:tblLook w:val="06A0" w:firstRow="1" w:lastRow="0" w:firstColumn="1" w:lastColumn="0" w:noHBand="1" w:noVBand="1"/>
        <w:tblCaption w:val="Mental health-related services by jurisdication"/>
        <w:tblDescription w:val="Read the first column for type of service and read across the column for NSW, Victoria, Queensland, Western Australia, South Australia, Tasmania, the Australian Capital Territory and the Northern Territory."/>
      </w:tblPr>
      <w:tblGrid>
        <w:gridCol w:w="2512"/>
        <w:gridCol w:w="750"/>
        <w:gridCol w:w="749"/>
        <w:gridCol w:w="749"/>
        <w:gridCol w:w="749"/>
        <w:gridCol w:w="749"/>
        <w:gridCol w:w="749"/>
        <w:gridCol w:w="749"/>
        <w:gridCol w:w="749"/>
      </w:tblGrid>
      <w:tr w:rsidR="009E7D68" w:rsidTr="005526E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512" w:type="dxa"/>
            <w:shd w:val="clear" w:color="auto" w:fill="2D5EA8"/>
          </w:tcPr>
          <w:p w:rsidR="009E7D68" w:rsidRPr="008F78E9" w:rsidRDefault="009E7D68" w:rsidP="00106F00">
            <w:pPr>
              <w:jc w:val="left"/>
              <w:rPr>
                <w:color w:val="FFFFFF" w:themeColor="background1"/>
              </w:rPr>
            </w:pPr>
          </w:p>
        </w:tc>
        <w:tc>
          <w:tcPr>
            <w:tcW w:w="750" w:type="dxa"/>
            <w:shd w:val="clear" w:color="auto" w:fill="2D5EA8"/>
          </w:tcPr>
          <w:p w:rsidR="009E7D68" w:rsidRPr="008F78E9" w:rsidRDefault="009E7D68" w:rsidP="00106F00">
            <w:pPr>
              <w:jc w:val="center"/>
              <w:cnfStyle w:val="100000000000" w:firstRow="1" w:lastRow="0" w:firstColumn="0" w:lastColumn="0" w:oddVBand="0" w:evenVBand="0" w:oddHBand="0" w:evenHBand="0" w:firstRowFirstColumn="0" w:firstRowLastColumn="0" w:lastRowFirstColumn="0" w:lastRowLastColumn="0"/>
              <w:rPr>
                <w:color w:val="FFFFFF" w:themeColor="background1"/>
              </w:rPr>
            </w:pPr>
            <w:r w:rsidRPr="008F78E9">
              <w:rPr>
                <w:color w:val="FFFFFF" w:themeColor="background1"/>
              </w:rPr>
              <w:t>NSW</w:t>
            </w:r>
          </w:p>
        </w:tc>
        <w:tc>
          <w:tcPr>
            <w:tcW w:w="749" w:type="dxa"/>
            <w:shd w:val="clear" w:color="auto" w:fill="2D5EA8"/>
          </w:tcPr>
          <w:p w:rsidR="009E7D68" w:rsidRPr="008F78E9" w:rsidRDefault="009E7D68" w:rsidP="00106F00">
            <w:pPr>
              <w:jc w:val="center"/>
              <w:cnfStyle w:val="100000000000" w:firstRow="1" w:lastRow="0" w:firstColumn="0" w:lastColumn="0" w:oddVBand="0" w:evenVBand="0" w:oddHBand="0" w:evenHBand="0" w:firstRowFirstColumn="0" w:firstRowLastColumn="0" w:lastRowFirstColumn="0" w:lastRowLastColumn="0"/>
              <w:rPr>
                <w:color w:val="FFFFFF" w:themeColor="background1"/>
              </w:rPr>
            </w:pPr>
            <w:r w:rsidRPr="008F78E9">
              <w:rPr>
                <w:color w:val="FFFFFF" w:themeColor="background1"/>
              </w:rPr>
              <w:t>VIC</w:t>
            </w:r>
          </w:p>
        </w:tc>
        <w:tc>
          <w:tcPr>
            <w:tcW w:w="749" w:type="dxa"/>
            <w:shd w:val="clear" w:color="auto" w:fill="2D5EA8"/>
          </w:tcPr>
          <w:p w:rsidR="009E7D68" w:rsidRPr="008F78E9" w:rsidRDefault="009E7D68" w:rsidP="00106F00">
            <w:pPr>
              <w:jc w:val="center"/>
              <w:cnfStyle w:val="100000000000" w:firstRow="1" w:lastRow="0" w:firstColumn="0" w:lastColumn="0" w:oddVBand="0" w:evenVBand="0" w:oddHBand="0" w:evenHBand="0" w:firstRowFirstColumn="0" w:firstRowLastColumn="0" w:lastRowFirstColumn="0" w:lastRowLastColumn="0"/>
              <w:rPr>
                <w:color w:val="FFFFFF" w:themeColor="background1"/>
              </w:rPr>
            </w:pPr>
            <w:r w:rsidRPr="008F78E9">
              <w:rPr>
                <w:color w:val="FFFFFF" w:themeColor="background1"/>
              </w:rPr>
              <w:t>QLD</w:t>
            </w:r>
          </w:p>
        </w:tc>
        <w:tc>
          <w:tcPr>
            <w:tcW w:w="749" w:type="dxa"/>
            <w:shd w:val="clear" w:color="auto" w:fill="2D5EA8"/>
          </w:tcPr>
          <w:p w:rsidR="009E7D68" w:rsidRPr="008F78E9" w:rsidRDefault="009E7D68" w:rsidP="00106F00">
            <w:pPr>
              <w:jc w:val="center"/>
              <w:cnfStyle w:val="100000000000" w:firstRow="1" w:lastRow="0" w:firstColumn="0" w:lastColumn="0" w:oddVBand="0" w:evenVBand="0" w:oddHBand="0" w:evenHBand="0" w:firstRowFirstColumn="0" w:firstRowLastColumn="0" w:lastRowFirstColumn="0" w:lastRowLastColumn="0"/>
              <w:rPr>
                <w:color w:val="FFFFFF" w:themeColor="background1"/>
              </w:rPr>
            </w:pPr>
            <w:r w:rsidRPr="008F78E9">
              <w:rPr>
                <w:color w:val="FFFFFF" w:themeColor="background1"/>
              </w:rPr>
              <w:t>WA</w:t>
            </w:r>
          </w:p>
        </w:tc>
        <w:tc>
          <w:tcPr>
            <w:tcW w:w="749" w:type="dxa"/>
            <w:shd w:val="clear" w:color="auto" w:fill="2D5EA8"/>
          </w:tcPr>
          <w:p w:rsidR="009E7D68" w:rsidRPr="008F78E9" w:rsidRDefault="009E7D68" w:rsidP="00106F00">
            <w:pPr>
              <w:jc w:val="center"/>
              <w:cnfStyle w:val="100000000000" w:firstRow="1" w:lastRow="0" w:firstColumn="0" w:lastColumn="0" w:oddVBand="0" w:evenVBand="0" w:oddHBand="0" w:evenHBand="0" w:firstRowFirstColumn="0" w:firstRowLastColumn="0" w:lastRowFirstColumn="0" w:lastRowLastColumn="0"/>
              <w:rPr>
                <w:color w:val="FFFFFF" w:themeColor="background1"/>
              </w:rPr>
            </w:pPr>
            <w:r w:rsidRPr="008F78E9">
              <w:rPr>
                <w:color w:val="FFFFFF" w:themeColor="background1"/>
              </w:rPr>
              <w:t>SA</w:t>
            </w:r>
          </w:p>
        </w:tc>
        <w:tc>
          <w:tcPr>
            <w:tcW w:w="749" w:type="dxa"/>
            <w:shd w:val="clear" w:color="auto" w:fill="2D5EA8"/>
          </w:tcPr>
          <w:p w:rsidR="009E7D68" w:rsidRPr="008F78E9" w:rsidRDefault="009E7D68" w:rsidP="00106F00">
            <w:pPr>
              <w:jc w:val="center"/>
              <w:cnfStyle w:val="100000000000" w:firstRow="1" w:lastRow="0" w:firstColumn="0" w:lastColumn="0" w:oddVBand="0" w:evenVBand="0" w:oddHBand="0" w:evenHBand="0" w:firstRowFirstColumn="0" w:firstRowLastColumn="0" w:lastRowFirstColumn="0" w:lastRowLastColumn="0"/>
              <w:rPr>
                <w:color w:val="FFFFFF" w:themeColor="background1"/>
              </w:rPr>
            </w:pPr>
            <w:r w:rsidRPr="008F78E9">
              <w:rPr>
                <w:color w:val="FFFFFF" w:themeColor="background1"/>
              </w:rPr>
              <w:t>Tas.</w:t>
            </w:r>
          </w:p>
        </w:tc>
        <w:tc>
          <w:tcPr>
            <w:tcW w:w="749" w:type="dxa"/>
            <w:shd w:val="clear" w:color="auto" w:fill="2D5EA8"/>
          </w:tcPr>
          <w:p w:rsidR="009E7D68" w:rsidRPr="008F78E9" w:rsidRDefault="009E7D68" w:rsidP="00106F00">
            <w:pPr>
              <w:jc w:val="center"/>
              <w:cnfStyle w:val="100000000000" w:firstRow="1" w:lastRow="0" w:firstColumn="0" w:lastColumn="0" w:oddVBand="0" w:evenVBand="0" w:oddHBand="0" w:evenHBand="0" w:firstRowFirstColumn="0" w:firstRowLastColumn="0" w:lastRowFirstColumn="0" w:lastRowLastColumn="0"/>
              <w:rPr>
                <w:color w:val="FFFFFF" w:themeColor="background1"/>
              </w:rPr>
            </w:pPr>
            <w:r w:rsidRPr="008F78E9">
              <w:rPr>
                <w:color w:val="FFFFFF" w:themeColor="background1"/>
              </w:rPr>
              <w:t>ACT</w:t>
            </w:r>
          </w:p>
        </w:tc>
        <w:tc>
          <w:tcPr>
            <w:tcW w:w="749" w:type="dxa"/>
            <w:shd w:val="clear" w:color="auto" w:fill="2D5EA8"/>
          </w:tcPr>
          <w:p w:rsidR="009E7D68" w:rsidRPr="008F78E9" w:rsidRDefault="009E7D68" w:rsidP="00106F00">
            <w:pPr>
              <w:jc w:val="center"/>
              <w:cnfStyle w:val="100000000000" w:firstRow="1" w:lastRow="0" w:firstColumn="0" w:lastColumn="0" w:oddVBand="0" w:evenVBand="0" w:oddHBand="0" w:evenHBand="0" w:firstRowFirstColumn="0" w:firstRowLastColumn="0" w:lastRowFirstColumn="0" w:lastRowLastColumn="0"/>
              <w:rPr>
                <w:color w:val="FFFFFF" w:themeColor="background1"/>
              </w:rPr>
            </w:pPr>
            <w:r w:rsidRPr="008F78E9">
              <w:rPr>
                <w:color w:val="FFFFFF" w:themeColor="background1"/>
              </w:rPr>
              <w:t>NT</w:t>
            </w:r>
          </w:p>
        </w:tc>
      </w:tr>
      <w:tr w:rsidR="009E7D68" w:rsidTr="005526E7">
        <w:tc>
          <w:tcPr>
            <w:cnfStyle w:val="001000000000" w:firstRow="0" w:lastRow="0" w:firstColumn="1" w:lastColumn="0" w:oddVBand="0" w:evenVBand="0" w:oddHBand="0" w:evenHBand="0" w:firstRowFirstColumn="0" w:firstRowLastColumn="0" w:lastRowFirstColumn="0" w:lastRowLastColumn="0"/>
            <w:tcW w:w="2512" w:type="dxa"/>
            <w:tcBorders>
              <w:top w:val="single" w:sz="8" w:space="0" w:color="2D5EA8"/>
              <w:bottom w:val="single" w:sz="4" w:space="0" w:color="auto"/>
            </w:tcBorders>
            <w:shd w:val="clear" w:color="auto" w:fill="B9E6FB"/>
          </w:tcPr>
          <w:p w:rsidR="009E7D68" w:rsidRDefault="009E7D68" w:rsidP="00106F00">
            <w:pPr>
              <w:jc w:val="left"/>
            </w:pPr>
            <w:r>
              <w:t>Hospital Services</w:t>
            </w:r>
          </w:p>
        </w:tc>
        <w:tc>
          <w:tcPr>
            <w:tcW w:w="750" w:type="dxa"/>
            <w:tcBorders>
              <w:top w:val="single" w:sz="8" w:space="0" w:color="2D5EA8"/>
              <w:bottom w:val="single" w:sz="4" w:space="0" w:color="auto"/>
            </w:tcBorders>
            <w:shd w:val="clear" w:color="auto" w:fill="B9E6FB"/>
          </w:tcPr>
          <w:p w:rsidR="009E7D68" w:rsidRDefault="009E7D68" w:rsidP="00106F00">
            <w:pPr>
              <w:jc w:val="center"/>
              <w:cnfStyle w:val="000000000000" w:firstRow="0" w:lastRow="0" w:firstColumn="0" w:lastColumn="0" w:oddVBand="0" w:evenVBand="0" w:oddHBand="0" w:evenHBand="0" w:firstRowFirstColumn="0" w:firstRowLastColumn="0" w:lastRowFirstColumn="0" w:lastRowLastColumn="0"/>
            </w:pPr>
          </w:p>
        </w:tc>
        <w:tc>
          <w:tcPr>
            <w:tcW w:w="749" w:type="dxa"/>
            <w:tcBorders>
              <w:top w:val="single" w:sz="8" w:space="0" w:color="2D5EA8"/>
              <w:bottom w:val="single" w:sz="4" w:space="0" w:color="auto"/>
            </w:tcBorders>
            <w:shd w:val="clear" w:color="auto" w:fill="B9E6FB"/>
          </w:tcPr>
          <w:p w:rsidR="009E7D68" w:rsidRDefault="009E7D68" w:rsidP="00106F00">
            <w:pPr>
              <w:jc w:val="center"/>
              <w:cnfStyle w:val="000000000000" w:firstRow="0" w:lastRow="0" w:firstColumn="0" w:lastColumn="0" w:oddVBand="0" w:evenVBand="0" w:oddHBand="0" w:evenHBand="0" w:firstRowFirstColumn="0" w:firstRowLastColumn="0" w:lastRowFirstColumn="0" w:lastRowLastColumn="0"/>
            </w:pPr>
          </w:p>
        </w:tc>
        <w:tc>
          <w:tcPr>
            <w:tcW w:w="749" w:type="dxa"/>
            <w:tcBorders>
              <w:top w:val="single" w:sz="8" w:space="0" w:color="2D5EA8"/>
              <w:bottom w:val="single" w:sz="4" w:space="0" w:color="auto"/>
            </w:tcBorders>
            <w:shd w:val="clear" w:color="auto" w:fill="B9E6FB"/>
          </w:tcPr>
          <w:p w:rsidR="009E7D68" w:rsidRDefault="009E7D68" w:rsidP="00106F00">
            <w:pPr>
              <w:jc w:val="center"/>
              <w:cnfStyle w:val="000000000000" w:firstRow="0" w:lastRow="0" w:firstColumn="0" w:lastColumn="0" w:oddVBand="0" w:evenVBand="0" w:oddHBand="0" w:evenHBand="0" w:firstRowFirstColumn="0" w:firstRowLastColumn="0" w:lastRowFirstColumn="0" w:lastRowLastColumn="0"/>
            </w:pPr>
          </w:p>
        </w:tc>
        <w:tc>
          <w:tcPr>
            <w:tcW w:w="749" w:type="dxa"/>
            <w:tcBorders>
              <w:top w:val="single" w:sz="8" w:space="0" w:color="2D5EA8"/>
              <w:bottom w:val="single" w:sz="4" w:space="0" w:color="auto"/>
            </w:tcBorders>
            <w:shd w:val="clear" w:color="auto" w:fill="B9E6FB"/>
          </w:tcPr>
          <w:p w:rsidR="009E7D68" w:rsidRDefault="009E7D68" w:rsidP="00106F00">
            <w:pPr>
              <w:jc w:val="center"/>
              <w:cnfStyle w:val="000000000000" w:firstRow="0" w:lastRow="0" w:firstColumn="0" w:lastColumn="0" w:oddVBand="0" w:evenVBand="0" w:oddHBand="0" w:evenHBand="0" w:firstRowFirstColumn="0" w:firstRowLastColumn="0" w:lastRowFirstColumn="0" w:lastRowLastColumn="0"/>
            </w:pPr>
          </w:p>
        </w:tc>
        <w:tc>
          <w:tcPr>
            <w:tcW w:w="749" w:type="dxa"/>
            <w:tcBorders>
              <w:top w:val="single" w:sz="8" w:space="0" w:color="2D5EA8"/>
              <w:bottom w:val="single" w:sz="4" w:space="0" w:color="auto"/>
            </w:tcBorders>
            <w:shd w:val="clear" w:color="auto" w:fill="B9E6FB"/>
          </w:tcPr>
          <w:p w:rsidR="009E7D68" w:rsidRDefault="009E7D68" w:rsidP="00106F00">
            <w:pPr>
              <w:jc w:val="center"/>
              <w:cnfStyle w:val="000000000000" w:firstRow="0" w:lastRow="0" w:firstColumn="0" w:lastColumn="0" w:oddVBand="0" w:evenVBand="0" w:oddHBand="0" w:evenHBand="0" w:firstRowFirstColumn="0" w:firstRowLastColumn="0" w:lastRowFirstColumn="0" w:lastRowLastColumn="0"/>
            </w:pPr>
          </w:p>
        </w:tc>
        <w:tc>
          <w:tcPr>
            <w:tcW w:w="749" w:type="dxa"/>
            <w:tcBorders>
              <w:top w:val="single" w:sz="8" w:space="0" w:color="2D5EA8"/>
              <w:bottom w:val="single" w:sz="4" w:space="0" w:color="auto"/>
            </w:tcBorders>
            <w:shd w:val="clear" w:color="auto" w:fill="B9E6FB"/>
          </w:tcPr>
          <w:p w:rsidR="009E7D68" w:rsidRDefault="009E7D68" w:rsidP="00106F00">
            <w:pPr>
              <w:jc w:val="center"/>
              <w:cnfStyle w:val="000000000000" w:firstRow="0" w:lastRow="0" w:firstColumn="0" w:lastColumn="0" w:oddVBand="0" w:evenVBand="0" w:oddHBand="0" w:evenHBand="0" w:firstRowFirstColumn="0" w:firstRowLastColumn="0" w:lastRowFirstColumn="0" w:lastRowLastColumn="0"/>
            </w:pPr>
          </w:p>
        </w:tc>
        <w:tc>
          <w:tcPr>
            <w:tcW w:w="749" w:type="dxa"/>
            <w:tcBorders>
              <w:top w:val="single" w:sz="8" w:space="0" w:color="2D5EA8"/>
              <w:bottom w:val="single" w:sz="4" w:space="0" w:color="auto"/>
            </w:tcBorders>
            <w:shd w:val="clear" w:color="auto" w:fill="B9E6FB"/>
          </w:tcPr>
          <w:p w:rsidR="009E7D68" w:rsidRDefault="009E7D68" w:rsidP="00106F00">
            <w:pPr>
              <w:jc w:val="center"/>
              <w:cnfStyle w:val="000000000000" w:firstRow="0" w:lastRow="0" w:firstColumn="0" w:lastColumn="0" w:oddVBand="0" w:evenVBand="0" w:oddHBand="0" w:evenHBand="0" w:firstRowFirstColumn="0" w:firstRowLastColumn="0" w:lastRowFirstColumn="0" w:lastRowLastColumn="0"/>
            </w:pPr>
          </w:p>
        </w:tc>
        <w:tc>
          <w:tcPr>
            <w:tcW w:w="749" w:type="dxa"/>
            <w:tcBorders>
              <w:top w:val="single" w:sz="8" w:space="0" w:color="2D5EA8"/>
              <w:bottom w:val="single" w:sz="4" w:space="0" w:color="auto"/>
            </w:tcBorders>
            <w:shd w:val="clear" w:color="auto" w:fill="B9E6FB"/>
          </w:tcPr>
          <w:p w:rsidR="009E7D68" w:rsidRDefault="009E7D68" w:rsidP="00106F00">
            <w:pPr>
              <w:jc w:val="center"/>
              <w:cnfStyle w:val="000000000000" w:firstRow="0" w:lastRow="0" w:firstColumn="0" w:lastColumn="0" w:oddVBand="0" w:evenVBand="0" w:oddHBand="0" w:evenHBand="0" w:firstRowFirstColumn="0" w:firstRowLastColumn="0" w:lastRowFirstColumn="0" w:lastRowLastColumn="0"/>
            </w:pPr>
          </w:p>
        </w:tc>
      </w:tr>
      <w:tr w:rsidR="009E7D68" w:rsidTr="005526E7">
        <w:tc>
          <w:tcPr>
            <w:cnfStyle w:val="001000000000" w:firstRow="0" w:lastRow="0" w:firstColumn="1" w:lastColumn="0" w:oddVBand="0" w:evenVBand="0" w:oddHBand="0" w:evenHBand="0" w:firstRowFirstColumn="0" w:firstRowLastColumn="0" w:lastRowFirstColumn="0" w:lastRowLastColumn="0"/>
            <w:tcW w:w="2512" w:type="dxa"/>
            <w:tcBorders>
              <w:top w:val="single" w:sz="4" w:space="0" w:color="auto"/>
              <w:bottom w:val="single" w:sz="4" w:space="0" w:color="auto"/>
            </w:tcBorders>
          </w:tcPr>
          <w:p w:rsidR="009E7D68" w:rsidRPr="008F78E9" w:rsidRDefault="009E7D68">
            <w:pPr>
              <w:jc w:val="left"/>
              <w:rPr>
                <w:b w:val="0"/>
              </w:rPr>
            </w:pPr>
            <w:r w:rsidRPr="008F78E9">
              <w:rPr>
                <w:b w:val="0"/>
              </w:rPr>
              <w:t xml:space="preserve">Total public sector </w:t>
            </w:r>
            <w:proofErr w:type="spellStart"/>
            <w:r w:rsidRPr="008F78E9">
              <w:rPr>
                <w:b w:val="0"/>
              </w:rPr>
              <w:t>specialised</w:t>
            </w:r>
            <w:proofErr w:type="spellEnd"/>
            <w:r w:rsidRPr="008F78E9">
              <w:rPr>
                <w:b w:val="0"/>
              </w:rPr>
              <w:t xml:space="preserve"> mental health hospital beds (per 100</w:t>
            </w:r>
            <w:r>
              <w:rPr>
                <w:b w:val="0"/>
              </w:rPr>
              <w:t>,</w:t>
            </w:r>
            <w:r w:rsidRPr="008F78E9">
              <w:rPr>
                <w:b w:val="0"/>
              </w:rPr>
              <w:t>000 pop)</w:t>
            </w:r>
          </w:p>
        </w:tc>
        <w:tc>
          <w:tcPr>
            <w:tcW w:w="750" w:type="dxa"/>
            <w:tcBorders>
              <w:top w:val="single" w:sz="4" w:space="0" w:color="auto"/>
              <w:bottom w:val="single" w:sz="4" w:space="0" w:color="auto"/>
            </w:tcBorders>
          </w:tcPr>
          <w:p w:rsidR="009E7D68" w:rsidRDefault="009E7D68" w:rsidP="00106F00">
            <w:pPr>
              <w:jc w:val="center"/>
              <w:cnfStyle w:val="000000000000" w:firstRow="0" w:lastRow="0" w:firstColumn="0" w:lastColumn="0" w:oddVBand="0" w:evenVBand="0" w:oddHBand="0" w:evenHBand="0" w:firstRowFirstColumn="0" w:firstRowLastColumn="0" w:lastRowFirstColumn="0" w:lastRowLastColumn="0"/>
            </w:pPr>
            <w:r>
              <w:t>36.5</w:t>
            </w:r>
          </w:p>
        </w:tc>
        <w:tc>
          <w:tcPr>
            <w:tcW w:w="749" w:type="dxa"/>
            <w:tcBorders>
              <w:top w:val="single" w:sz="4" w:space="0" w:color="auto"/>
              <w:bottom w:val="single" w:sz="4" w:space="0" w:color="auto"/>
            </w:tcBorders>
          </w:tcPr>
          <w:p w:rsidR="009E7D68" w:rsidRDefault="009E7D68" w:rsidP="00106F00">
            <w:pPr>
              <w:jc w:val="center"/>
              <w:cnfStyle w:val="000000000000" w:firstRow="0" w:lastRow="0" w:firstColumn="0" w:lastColumn="0" w:oddVBand="0" w:evenVBand="0" w:oddHBand="0" w:evenHBand="0" w:firstRowFirstColumn="0" w:firstRowLastColumn="0" w:lastRowFirstColumn="0" w:lastRowLastColumn="0"/>
            </w:pPr>
            <w:r>
              <w:t>22.2</w:t>
            </w:r>
          </w:p>
        </w:tc>
        <w:tc>
          <w:tcPr>
            <w:tcW w:w="749" w:type="dxa"/>
            <w:tcBorders>
              <w:top w:val="single" w:sz="4" w:space="0" w:color="auto"/>
              <w:bottom w:val="single" w:sz="4" w:space="0" w:color="auto"/>
            </w:tcBorders>
          </w:tcPr>
          <w:p w:rsidR="009E7D68" w:rsidRDefault="009E7D68" w:rsidP="00106F00">
            <w:pPr>
              <w:jc w:val="center"/>
              <w:cnfStyle w:val="000000000000" w:firstRow="0" w:lastRow="0" w:firstColumn="0" w:lastColumn="0" w:oddVBand="0" w:evenVBand="0" w:oddHBand="0" w:evenHBand="0" w:firstRowFirstColumn="0" w:firstRowLastColumn="0" w:lastRowFirstColumn="0" w:lastRowLastColumn="0"/>
            </w:pPr>
            <w:r>
              <w:t>31.0</w:t>
            </w:r>
          </w:p>
        </w:tc>
        <w:tc>
          <w:tcPr>
            <w:tcW w:w="749" w:type="dxa"/>
            <w:tcBorders>
              <w:top w:val="single" w:sz="4" w:space="0" w:color="auto"/>
              <w:bottom w:val="single" w:sz="4" w:space="0" w:color="auto"/>
            </w:tcBorders>
          </w:tcPr>
          <w:p w:rsidR="009E7D68" w:rsidRDefault="009E7D68" w:rsidP="00106F00">
            <w:pPr>
              <w:jc w:val="center"/>
              <w:cnfStyle w:val="000000000000" w:firstRow="0" w:lastRow="0" w:firstColumn="0" w:lastColumn="0" w:oddVBand="0" w:evenVBand="0" w:oddHBand="0" w:evenHBand="0" w:firstRowFirstColumn="0" w:firstRowLastColumn="0" w:lastRowFirstColumn="0" w:lastRowLastColumn="0"/>
            </w:pPr>
            <w:r>
              <w:t>29.7</w:t>
            </w:r>
          </w:p>
        </w:tc>
        <w:tc>
          <w:tcPr>
            <w:tcW w:w="749" w:type="dxa"/>
            <w:tcBorders>
              <w:top w:val="single" w:sz="4" w:space="0" w:color="auto"/>
              <w:bottom w:val="single" w:sz="4" w:space="0" w:color="auto"/>
            </w:tcBorders>
          </w:tcPr>
          <w:p w:rsidR="009E7D68" w:rsidRDefault="009E7D68" w:rsidP="00106F00">
            <w:pPr>
              <w:jc w:val="center"/>
              <w:cnfStyle w:val="000000000000" w:firstRow="0" w:lastRow="0" w:firstColumn="0" w:lastColumn="0" w:oddVBand="0" w:evenVBand="0" w:oddHBand="0" w:evenHBand="0" w:firstRowFirstColumn="0" w:firstRowLastColumn="0" w:lastRowFirstColumn="0" w:lastRowLastColumn="0"/>
            </w:pPr>
            <w:r>
              <w:t>29.2</w:t>
            </w:r>
          </w:p>
        </w:tc>
        <w:tc>
          <w:tcPr>
            <w:tcW w:w="749" w:type="dxa"/>
            <w:tcBorders>
              <w:top w:val="single" w:sz="4" w:space="0" w:color="auto"/>
              <w:bottom w:val="single" w:sz="4" w:space="0" w:color="auto"/>
            </w:tcBorders>
          </w:tcPr>
          <w:p w:rsidR="009E7D68" w:rsidRDefault="009E7D68" w:rsidP="00106F00">
            <w:pPr>
              <w:jc w:val="center"/>
              <w:cnfStyle w:val="000000000000" w:firstRow="0" w:lastRow="0" w:firstColumn="0" w:lastColumn="0" w:oddVBand="0" w:evenVBand="0" w:oddHBand="0" w:evenHBand="0" w:firstRowFirstColumn="0" w:firstRowLastColumn="0" w:lastRowFirstColumn="0" w:lastRowLastColumn="0"/>
            </w:pPr>
            <w:r>
              <w:t>25.6</w:t>
            </w:r>
          </w:p>
        </w:tc>
        <w:tc>
          <w:tcPr>
            <w:tcW w:w="749" w:type="dxa"/>
            <w:tcBorders>
              <w:top w:val="single" w:sz="4" w:space="0" w:color="auto"/>
              <w:bottom w:val="single" w:sz="4" w:space="0" w:color="auto"/>
            </w:tcBorders>
          </w:tcPr>
          <w:p w:rsidR="009E7D68" w:rsidRDefault="009E7D68" w:rsidP="00106F00">
            <w:pPr>
              <w:jc w:val="center"/>
              <w:cnfStyle w:val="000000000000" w:firstRow="0" w:lastRow="0" w:firstColumn="0" w:lastColumn="0" w:oddVBand="0" w:evenVBand="0" w:oddHBand="0" w:evenHBand="0" w:firstRowFirstColumn="0" w:firstRowLastColumn="0" w:lastRowFirstColumn="0" w:lastRowLastColumn="0"/>
            </w:pPr>
            <w:r>
              <w:t>17.5</w:t>
            </w:r>
          </w:p>
        </w:tc>
        <w:tc>
          <w:tcPr>
            <w:tcW w:w="749" w:type="dxa"/>
            <w:tcBorders>
              <w:top w:val="single" w:sz="4" w:space="0" w:color="auto"/>
              <w:bottom w:val="single" w:sz="4" w:space="0" w:color="auto"/>
            </w:tcBorders>
          </w:tcPr>
          <w:p w:rsidR="009E7D68" w:rsidRDefault="009E7D68" w:rsidP="00106F00">
            <w:pPr>
              <w:jc w:val="center"/>
              <w:cnfStyle w:val="000000000000" w:firstRow="0" w:lastRow="0" w:firstColumn="0" w:lastColumn="0" w:oddVBand="0" w:evenVBand="0" w:oddHBand="0" w:evenHBand="0" w:firstRowFirstColumn="0" w:firstRowLastColumn="0" w:lastRowFirstColumn="0" w:lastRowLastColumn="0"/>
            </w:pPr>
            <w:r>
              <w:t>13.8</w:t>
            </w:r>
          </w:p>
        </w:tc>
      </w:tr>
      <w:tr w:rsidR="009E7D68" w:rsidTr="005526E7">
        <w:tc>
          <w:tcPr>
            <w:cnfStyle w:val="001000000000" w:firstRow="0" w:lastRow="0" w:firstColumn="1" w:lastColumn="0" w:oddVBand="0" w:evenVBand="0" w:oddHBand="0" w:evenHBand="0" w:firstRowFirstColumn="0" w:firstRowLastColumn="0" w:lastRowFirstColumn="0" w:lastRowLastColumn="0"/>
            <w:tcW w:w="2512" w:type="dxa"/>
            <w:tcBorders>
              <w:top w:val="single" w:sz="4" w:space="0" w:color="auto"/>
              <w:bottom w:val="single" w:sz="4" w:space="0" w:color="auto"/>
            </w:tcBorders>
          </w:tcPr>
          <w:p w:rsidR="009E7D68" w:rsidRPr="008F78E9" w:rsidRDefault="009E7D68">
            <w:pPr>
              <w:jc w:val="left"/>
              <w:rPr>
                <w:b w:val="0"/>
              </w:rPr>
            </w:pPr>
            <w:r w:rsidRPr="008F78E9">
              <w:rPr>
                <w:b w:val="0"/>
              </w:rPr>
              <w:t xml:space="preserve">Public acute hospital </w:t>
            </w:r>
            <w:proofErr w:type="spellStart"/>
            <w:r w:rsidRPr="008F78E9">
              <w:rPr>
                <w:b w:val="0"/>
              </w:rPr>
              <w:t>specialised</w:t>
            </w:r>
            <w:proofErr w:type="spellEnd"/>
            <w:r w:rsidRPr="008F78E9">
              <w:rPr>
                <w:b w:val="0"/>
              </w:rPr>
              <w:t xml:space="preserve"> mental health beds (per 100</w:t>
            </w:r>
            <w:r>
              <w:rPr>
                <w:b w:val="0"/>
              </w:rPr>
              <w:t>,</w:t>
            </w:r>
            <w:r w:rsidRPr="008F78E9">
              <w:rPr>
                <w:b w:val="0"/>
              </w:rPr>
              <w:t>000 pop)</w:t>
            </w:r>
          </w:p>
        </w:tc>
        <w:tc>
          <w:tcPr>
            <w:tcW w:w="750" w:type="dxa"/>
            <w:tcBorders>
              <w:top w:val="single" w:sz="4" w:space="0" w:color="auto"/>
              <w:bottom w:val="single" w:sz="4" w:space="0" w:color="auto"/>
            </w:tcBorders>
          </w:tcPr>
          <w:p w:rsidR="009E7D68" w:rsidRDefault="009E7D68" w:rsidP="00106F00">
            <w:pPr>
              <w:jc w:val="center"/>
              <w:cnfStyle w:val="000000000000" w:firstRow="0" w:lastRow="0" w:firstColumn="0" w:lastColumn="0" w:oddVBand="0" w:evenVBand="0" w:oddHBand="0" w:evenHBand="0" w:firstRowFirstColumn="0" w:firstRowLastColumn="0" w:lastRowFirstColumn="0" w:lastRowLastColumn="0"/>
            </w:pPr>
            <w:r>
              <w:t>24.1</w:t>
            </w:r>
          </w:p>
        </w:tc>
        <w:tc>
          <w:tcPr>
            <w:tcW w:w="749" w:type="dxa"/>
            <w:tcBorders>
              <w:top w:val="single" w:sz="4" w:space="0" w:color="auto"/>
              <w:bottom w:val="single" w:sz="4" w:space="0" w:color="auto"/>
            </w:tcBorders>
          </w:tcPr>
          <w:p w:rsidR="009E7D68" w:rsidRDefault="009E7D68" w:rsidP="00106F00">
            <w:pPr>
              <w:jc w:val="center"/>
              <w:cnfStyle w:val="000000000000" w:firstRow="0" w:lastRow="0" w:firstColumn="0" w:lastColumn="0" w:oddVBand="0" w:evenVBand="0" w:oddHBand="0" w:evenHBand="0" w:firstRowFirstColumn="0" w:firstRowLastColumn="0" w:lastRowFirstColumn="0" w:lastRowLastColumn="0"/>
            </w:pPr>
            <w:r>
              <w:t>19.6</w:t>
            </w:r>
          </w:p>
        </w:tc>
        <w:tc>
          <w:tcPr>
            <w:tcW w:w="749" w:type="dxa"/>
            <w:tcBorders>
              <w:top w:val="single" w:sz="4" w:space="0" w:color="auto"/>
              <w:bottom w:val="single" w:sz="4" w:space="0" w:color="auto"/>
            </w:tcBorders>
          </w:tcPr>
          <w:p w:rsidR="009E7D68" w:rsidRDefault="009E7D68" w:rsidP="00106F00">
            <w:pPr>
              <w:jc w:val="center"/>
              <w:cnfStyle w:val="000000000000" w:firstRow="0" w:lastRow="0" w:firstColumn="0" w:lastColumn="0" w:oddVBand="0" w:evenVBand="0" w:oddHBand="0" w:evenHBand="0" w:firstRowFirstColumn="0" w:firstRowLastColumn="0" w:lastRowFirstColumn="0" w:lastRowLastColumn="0"/>
            </w:pPr>
            <w:r>
              <w:t>23.4</w:t>
            </w:r>
          </w:p>
        </w:tc>
        <w:tc>
          <w:tcPr>
            <w:tcW w:w="749" w:type="dxa"/>
            <w:tcBorders>
              <w:top w:val="single" w:sz="4" w:space="0" w:color="auto"/>
              <w:bottom w:val="single" w:sz="4" w:space="0" w:color="auto"/>
            </w:tcBorders>
          </w:tcPr>
          <w:p w:rsidR="009E7D68" w:rsidRDefault="009E7D68" w:rsidP="00106F00">
            <w:pPr>
              <w:jc w:val="center"/>
              <w:cnfStyle w:val="000000000000" w:firstRow="0" w:lastRow="0" w:firstColumn="0" w:lastColumn="0" w:oddVBand="0" w:evenVBand="0" w:oddHBand="0" w:evenHBand="0" w:firstRowFirstColumn="0" w:firstRowLastColumn="0" w:lastRowFirstColumn="0" w:lastRowLastColumn="0"/>
            </w:pPr>
            <w:r>
              <w:t>19.4</w:t>
            </w:r>
          </w:p>
        </w:tc>
        <w:tc>
          <w:tcPr>
            <w:tcW w:w="749" w:type="dxa"/>
            <w:tcBorders>
              <w:top w:val="single" w:sz="4" w:space="0" w:color="auto"/>
              <w:bottom w:val="single" w:sz="4" w:space="0" w:color="auto"/>
            </w:tcBorders>
          </w:tcPr>
          <w:p w:rsidR="009E7D68" w:rsidRDefault="009E7D68" w:rsidP="00106F00">
            <w:pPr>
              <w:jc w:val="center"/>
              <w:cnfStyle w:val="000000000000" w:firstRow="0" w:lastRow="0" w:firstColumn="0" w:lastColumn="0" w:oddVBand="0" w:evenVBand="0" w:oddHBand="0" w:evenHBand="0" w:firstRowFirstColumn="0" w:firstRowLastColumn="0" w:lastRowFirstColumn="0" w:lastRowLastColumn="0"/>
            </w:pPr>
            <w:r>
              <w:t>15.2</w:t>
            </w:r>
          </w:p>
        </w:tc>
        <w:tc>
          <w:tcPr>
            <w:tcW w:w="749" w:type="dxa"/>
            <w:tcBorders>
              <w:top w:val="single" w:sz="4" w:space="0" w:color="auto"/>
              <w:bottom w:val="single" w:sz="4" w:space="0" w:color="auto"/>
            </w:tcBorders>
          </w:tcPr>
          <w:p w:rsidR="009E7D68" w:rsidRDefault="009E7D68" w:rsidP="00106F00">
            <w:pPr>
              <w:jc w:val="center"/>
              <w:cnfStyle w:val="000000000000" w:firstRow="0" w:lastRow="0" w:firstColumn="0" w:lastColumn="0" w:oddVBand="0" w:evenVBand="0" w:oddHBand="0" w:evenHBand="0" w:firstRowFirstColumn="0" w:firstRowLastColumn="0" w:lastRowFirstColumn="0" w:lastRowLastColumn="0"/>
            </w:pPr>
            <w:r>
              <w:t>25.6</w:t>
            </w:r>
          </w:p>
        </w:tc>
        <w:tc>
          <w:tcPr>
            <w:tcW w:w="749" w:type="dxa"/>
            <w:tcBorders>
              <w:top w:val="single" w:sz="4" w:space="0" w:color="auto"/>
              <w:bottom w:val="single" w:sz="4" w:space="0" w:color="auto"/>
            </w:tcBorders>
          </w:tcPr>
          <w:p w:rsidR="009E7D68" w:rsidRDefault="009E7D68" w:rsidP="00106F00">
            <w:pPr>
              <w:jc w:val="center"/>
              <w:cnfStyle w:val="000000000000" w:firstRow="0" w:lastRow="0" w:firstColumn="0" w:lastColumn="0" w:oddVBand="0" w:evenVBand="0" w:oddHBand="0" w:evenHBand="0" w:firstRowFirstColumn="0" w:firstRowLastColumn="0" w:lastRowFirstColumn="0" w:lastRowLastColumn="0"/>
            </w:pPr>
            <w:r>
              <w:t>17.5</w:t>
            </w:r>
          </w:p>
        </w:tc>
        <w:tc>
          <w:tcPr>
            <w:tcW w:w="749" w:type="dxa"/>
            <w:tcBorders>
              <w:top w:val="single" w:sz="4" w:space="0" w:color="auto"/>
              <w:bottom w:val="single" w:sz="4" w:space="0" w:color="auto"/>
            </w:tcBorders>
          </w:tcPr>
          <w:p w:rsidR="009E7D68" w:rsidRDefault="009E7D68" w:rsidP="00106F00">
            <w:pPr>
              <w:jc w:val="center"/>
              <w:cnfStyle w:val="000000000000" w:firstRow="0" w:lastRow="0" w:firstColumn="0" w:lastColumn="0" w:oddVBand="0" w:evenVBand="0" w:oddHBand="0" w:evenHBand="0" w:firstRowFirstColumn="0" w:firstRowLastColumn="0" w:lastRowFirstColumn="0" w:lastRowLastColumn="0"/>
            </w:pPr>
            <w:r>
              <w:t>13.8</w:t>
            </w:r>
          </w:p>
        </w:tc>
      </w:tr>
      <w:tr w:rsidR="009E7D68" w:rsidTr="005526E7">
        <w:tc>
          <w:tcPr>
            <w:cnfStyle w:val="001000000000" w:firstRow="0" w:lastRow="0" w:firstColumn="1" w:lastColumn="0" w:oddVBand="0" w:evenVBand="0" w:oddHBand="0" w:evenHBand="0" w:firstRowFirstColumn="0" w:firstRowLastColumn="0" w:lastRowFirstColumn="0" w:lastRowLastColumn="0"/>
            <w:tcW w:w="2512" w:type="dxa"/>
            <w:tcBorders>
              <w:top w:val="single" w:sz="4" w:space="0" w:color="auto"/>
              <w:bottom w:val="single" w:sz="4" w:space="0" w:color="auto"/>
            </w:tcBorders>
          </w:tcPr>
          <w:p w:rsidR="009E7D68" w:rsidRPr="008F78E9" w:rsidRDefault="009E7D68">
            <w:pPr>
              <w:jc w:val="left"/>
              <w:rPr>
                <w:b w:val="0"/>
              </w:rPr>
            </w:pPr>
            <w:r w:rsidRPr="008F78E9">
              <w:rPr>
                <w:b w:val="0"/>
              </w:rPr>
              <w:t xml:space="preserve">Public psychiatric hospital </w:t>
            </w:r>
            <w:proofErr w:type="spellStart"/>
            <w:r w:rsidRPr="008F78E9">
              <w:rPr>
                <w:b w:val="0"/>
              </w:rPr>
              <w:t>specialised</w:t>
            </w:r>
            <w:proofErr w:type="spellEnd"/>
            <w:r w:rsidRPr="008F78E9">
              <w:rPr>
                <w:b w:val="0"/>
              </w:rPr>
              <w:t xml:space="preserve"> mental health beds (per 100</w:t>
            </w:r>
            <w:r>
              <w:rPr>
                <w:b w:val="0"/>
              </w:rPr>
              <w:t>,</w:t>
            </w:r>
            <w:r w:rsidRPr="008F78E9">
              <w:rPr>
                <w:b w:val="0"/>
              </w:rPr>
              <w:t>000 pop)</w:t>
            </w:r>
          </w:p>
        </w:tc>
        <w:tc>
          <w:tcPr>
            <w:tcW w:w="750" w:type="dxa"/>
            <w:tcBorders>
              <w:top w:val="single" w:sz="4" w:space="0" w:color="auto"/>
              <w:bottom w:val="single" w:sz="4" w:space="0" w:color="auto"/>
            </w:tcBorders>
          </w:tcPr>
          <w:p w:rsidR="009E7D68" w:rsidRDefault="009E7D68" w:rsidP="00106F00">
            <w:pPr>
              <w:jc w:val="center"/>
              <w:cnfStyle w:val="000000000000" w:firstRow="0" w:lastRow="0" w:firstColumn="0" w:lastColumn="0" w:oddVBand="0" w:evenVBand="0" w:oddHBand="0" w:evenHBand="0" w:firstRowFirstColumn="0" w:firstRowLastColumn="0" w:lastRowFirstColumn="0" w:lastRowLastColumn="0"/>
            </w:pPr>
            <w:r>
              <w:t>12.4</w:t>
            </w:r>
          </w:p>
        </w:tc>
        <w:tc>
          <w:tcPr>
            <w:tcW w:w="749" w:type="dxa"/>
            <w:tcBorders>
              <w:top w:val="single" w:sz="4" w:space="0" w:color="auto"/>
              <w:bottom w:val="single" w:sz="4" w:space="0" w:color="auto"/>
            </w:tcBorders>
          </w:tcPr>
          <w:p w:rsidR="009E7D68" w:rsidRDefault="009E7D68" w:rsidP="00106F00">
            <w:pPr>
              <w:jc w:val="center"/>
              <w:cnfStyle w:val="000000000000" w:firstRow="0" w:lastRow="0" w:firstColumn="0" w:lastColumn="0" w:oddVBand="0" w:evenVBand="0" w:oddHBand="0" w:evenHBand="0" w:firstRowFirstColumn="0" w:firstRowLastColumn="0" w:lastRowFirstColumn="0" w:lastRowLastColumn="0"/>
            </w:pPr>
            <w:r>
              <w:t>2.7</w:t>
            </w:r>
          </w:p>
        </w:tc>
        <w:tc>
          <w:tcPr>
            <w:tcW w:w="749" w:type="dxa"/>
            <w:tcBorders>
              <w:top w:val="single" w:sz="4" w:space="0" w:color="auto"/>
              <w:bottom w:val="single" w:sz="4" w:space="0" w:color="auto"/>
            </w:tcBorders>
          </w:tcPr>
          <w:p w:rsidR="009E7D68" w:rsidRDefault="009E7D68" w:rsidP="00106F00">
            <w:pPr>
              <w:jc w:val="center"/>
              <w:cnfStyle w:val="000000000000" w:firstRow="0" w:lastRow="0" w:firstColumn="0" w:lastColumn="0" w:oddVBand="0" w:evenVBand="0" w:oddHBand="0" w:evenHBand="0" w:firstRowFirstColumn="0" w:firstRowLastColumn="0" w:lastRowFirstColumn="0" w:lastRowLastColumn="0"/>
            </w:pPr>
            <w:r>
              <w:t>7.6</w:t>
            </w:r>
          </w:p>
        </w:tc>
        <w:tc>
          <w:tcPr>
            <w:tcW w:w="749" w:type="dxa"/>
            <w:tcBorders>
              <w:top w:val="single" w:sz="4" w:space="0" w:color="auto"/>
              <w:bottom w:val="single" w:sz="4" w:space="0" w:color="auto"/>
            </w:tcBorders>
          </w:tcPr>
          <w:p w:rsidR="009E7D68" w:rsidRDefault="009E7D68" w:rsidP="00106F00">
            <w:pPr>
              <w:jc w:val="center"/>
              <w:cnfStyle w:val="000000000000" w:firstRow="0" w:lastRow="0" w:firstColumn="0" w:lastColumn="0" w:oddVBand="0" w:evenVBand="0" w:oddHBand="0" w:evenHBand="0" w:firstRowFirstColumn="0" w:firstRowLastColumn="0" w:lastRowFirstColumn="0" w:lastRowLastColumn="0"/>
            </w:pPr>
            <w:r>
              <w:t>10.3</w:t>
            </w:r>
          </w:p>
        </w:tc>
        <w:tc>
          <w:tcPr>
            <w:tcW w:w="749" w:type="dxa"/>
            <w:tcBorders>
              <w:top w:val="single" w:sz="4" w:space="0" w:color="auto"/>
              <w:bottom w:val="single" w:sz="4" w:space="0" w:color="auto"/>
            </w:tcBorders>
          </w:tcPr>
          <w:p w:rsidR="009E7D68" w:rsidRDefault="009E7D68" w:rsidP="00106F00">
            <w:pPr>
              <w:jc w:val="center"/>
              <w:cnfStyle w:val="000000000000" w:firstRow="0" w:lastRow="0" w:firstColumn="0" w:lastColumn="0" w:oddVBand="0" w:evenVBand="0" w:oddHBand="0" w:evenHBand="0" w:firstRowFirstColumn="0" w:firstRowLastColumn="0" w:lastRowFirstColumn="0" w:lastRowLastColumn="0"/>
            </w:pPr>
            <w:r>
              <w:t>14.0</w:t>
            </w:r>
          </w:p>
        </w:tc>
        <w:tc>
          <w:tcPr>
            <w:tcW w:w="749" w:type="dxa"/>
            <w:tcBorders>
              <w:top w:val="single" w:sz="4" w:space="0" w:color="auto"/>
              <w:bottom w:val="single" w:sz="4" w:space="0" w:color="auto"/>
            </w:tcBorders>
          </w:tcPr>
          <w:p w:rsidR="009E7D68" w:rsidRDefault="009E7D68" w:rsidP="00106F00">
            <w:pPr>
              <w:jc w:val="center"/>
              <w:cnfStyle w:val="000000000000" w:firstRow="0" w:lastRow="0" w:firstColumn="0" w:lastColumn="0" w:oddVBand="0" w:evenVBand="0" w:oddHBand="0" w:evenHBand="0" w:firstRowFirstColumn="0" w:firstRowLastColumn="0" w:lastRowFirstColumn="0" w:lastRowLastColumn="0"/>
            </w:pPr>
            <w:r>
              <w:t>0.0</w:t>
            </w:r>
          </w:p>
        </w:tc>
        <w:tc>
          <w:tcPr>
            <w:tcW w:w="749" w:type="dxa"/>
            <w:tcBorders>
              <w:top w:val="single" w:sz="4" w:space="0" w:color="auto"/>
              <w:bottom w:val="single" w:sz="4" w:space="0" w:color="auto"/>
            </w:tcBorders>
          </w:tcPr>
          <w:p w:rsidR="009E7D68" w:rsidRDefault="009E7D68" w:rsidP="00106F00">
            <w:pPr>
              <w:jc w:val="center"/>
              <w:cnfStyle w:val="000000000000" w:firstRow="0" w:lastRow="0" w:firstColumn="0" w:lastColumn="0" w:oddVBand="0" w:evenVBand="0" w:oddHBand="0" w:evenHBand="0" w:firstRowFirstColumn="0" w:firstRowLastColumn="0" w:lastRowFirstColumn="0" w:lastRowLastColumn="0"/>
            </w:pPr>
            <w:r>
              <w:t>0.0</w:t>
            </w:r>
          </w:p>
        </w:tc>
        <w:tc>
          <w:tcPr>
            <w:tcW w:w="749" w:type="dxa"/>
            <w:tcBorders>
              <w:top w:val="single" w:sz="4" w:space="0" w:color="auto"/>
              <w:bottom w:val="single" w:sz="4" w:space="0" w:color="auto"/>
            </w:tcBorders>
          </w:tcPr>
          <w:p w:rsidR="009E7D68" w:rsidRDefault="009E7D68" w:rsidP="00106F00">
            <w:pPr>
              <w:jc w:val="center"/>
              <w:cnfStyle w:val="000000000000" w:firstRow="0" w:lastRow="0" w:firstColumn="0" w:lastColumn="0" w:oddVBand="0" w:evenVBand="0" w:oddHBand="0" w:evenHBand="0" w:firstRowFirstColumn="0" w:firstRowLastColumn="0" w:lastRowFirstColumn="0" w:lastRowLastColumn="0"/>
            </w:pPr>
            <w:r>
              <w:t>0.0</w:t>
            </w:r>
          </w:p>
        </w:tc>
      </w:tr>
      <w:tr w:rsidR="009E7D68" w:rsidTr="005526E7">
        <w:tc>
          <w:tcPr>
            <w:cnfStyle w:val="001000000000" w:firstRow="0" w:lastRow="0" w:firstColumn="1" w:lastColumn="0" w:oddVBand="0" w:evenVBand="0" w:oddHBand="0" w:evenHBand="0" w:firstRowFirstColumn="0" w:firstRowLastColumn="0" w:lastRowFirstColumn="0" w:lastRowLastColumn="0"/>
            <w:tcW w:w="2512" w:type="dxa"/>
            <w:tcBorders>
              <w:top w:val="single" w:sz="4" w:space="0" w:color="auto"/>
              <w:bottom w:val="single" w:sz="4" w:space="0" w:color="auto"/>
            </w:tcBorders>
          </w:tcPr>
          <w:p w:rsidR="009E7D68" w:rsidRPr="008F78E9" w:rsidRDefault="009E7D68">
            <w:pPr>
              <w:jc w:val="left"/>
              <w:rPr>
                <w:b w:val="0"/>
              </w:rPr>
            </w:pPr>
            <w:r w:rsidRPr="008F78E9">
              <w:rPr>
                <w:b w:val="0"/>
              </w:rPr>
              <w:t xml:space="preserve">Private sector </w:t>
            </w:r>
            <w:proofErr w:type="spellStart"/>
            <w:r w:rsidRPr="008F78E9">
              <w:rPr>
                <w:b w:val="0"/>
              </w:rPr>
              <w:t>specialised</w:t>
            </w:r>
            <w:proofErr w:type="spellEnd"/>
            <w:r w:rsidRPr="008F78E9">
              <w:rPr>
                <w:b w:val="0"/>
              </w:rPr>
              <w:t xml:space="preserve"> mental health hospital beds (per 100</w:t>
            </w:r>
            <w:r>
              <w:rPr>
                <w:b w:val="0"/>
              </w:rPr>
              <w:t>,</w:t>
            </w:r>
            <w:r w:rsidRPr="008F78E9">
              <w:rPr>
                <w:b w:val="0"/>
              </w:rPr>
              <w:t>000 pop)</w:t>
            </w:r>
          </w:p>
        </w:tc>
        <w:tc>
          <w:tcPr>
            <w:tcW w:w="750" w:type="dxa"/>
            <w:tcBorders>
              <w:top w:val="single" w:sz="4" w:space="0" w:color="auto"/>
              <w:bottom w:val="single" w:sz="4" w:space="0" w:color="auto"/>
            </w:tcBorders>
          </w:tcPr>
          <w:p w:rsidR="009E7D68" w:rsidRDefault="009E7D68" w:rsidP="00106F00">
            <w:pPr>
              <w:jc w:val="center"/>
              <w:cnfStyle w:val="000000000000" w:firstRow="0" w:lastRow="0" w:firstColumn="0" w:lastColumn="0" w:oddVBand="0" w:evenVBand="0" w:oddHBand="0" w:evenHBand="0" w:firstRowFirstColumn="0" w:firstRowLastColumn="0" w:lastRowFirstColumn="0" w:lastRowLastColumn="0"/>
            </w:pPr>
            <w:proofErr w:type="spellStart"/>
            <w:r>
              <w:t>n.a</w:t>
            </w:r>
            <w:proofErr w:type="spellEnd"/>
            <w:r>
              <w:t>.</w:t>
            </w:r>
          </w:p>
        </w:tc>
        <w:tc>
          <w:tcPr>
            <w:tcW w:w="749" w:type="dxa"/>
            <w:tcBorders>
              <w:top w:val="single" w:sz="4" w:space="0" w:color="auto"/>
              <w:bottom w:val="single" w:sz="4" w:space="0" w:color="auto"/>
            </w:tcBorders>
          </w:tcPr>
          <w:p w:rsidR="009E7D68" w:rsidRDefault="009E7D68" w:rsidP="00106F00">
            <w:pPr>
              <w:jc w:val="center"/>
              <w:cnfStyle w:val="000000000000" w:firstRow="0" w:lastRow="0" w:firstColumn="0" w:lastColumn="0" w:oddVBand="0" w:evenVBand="0" w:oddHBand="0" w:evenHBand="0" w:firstRowFirstColumn="0" w:firstRowLastColumn="0" w:lastRowFirstColumn="0" w:lastRowLastColumn="0"/>
            </w:pPr>
            <w:proofErr w:type="spellStart"/>
            <w:r>
              <w:t>n.a</w:t>
            </w:r>
            <w:proofErr w:type="spellEnd"/>
            <w:r>
              <w:t>.</w:t>
            </w:r>
          </w:p>
        </w:tc>
        <w:tc>
          <w:tcPr>
            <w:tcW w:w="749" w:type="dxa"/>
            <w:tcBorders>
              <w:top w:val="single" w:sz="4" w:space="0" w:color="auto"/>
              <w:bottom w:val="single" w:sz="4" w:space="0" w:color="auto"/>
            </w:tcBorders>
          </w:tcPr>
          <w:p w:rsidR="009E7D68" w:rsidRDefault="009E7D68" w:rsidP="00106F00">
            <w:pPr>
              <w:jc w:val="center"/>
              <w:cnfStyle w:val="000000000000" w:firstRow="0" w:lastRow="0" w:firstColumn="0" w:lastColumn="0" w:oddVBand="0" w:evenVBand="0" w:oddHBand="0" w:evenHBand="0" w:firstRowFirstColumn="0" w:firstRowLastColumn="0" w:lastRowFirstColumn="0" w:lastRowLastColumn="0"/>
            </w:pPr>
            <w:proofErr w:type="spellStart"/>
            <w:r>
              <w:t>n.a</w:t>
            </w:r>
            <w:proofErr w:type="spellEnd"/>
            <w:r>
              <w:t>.</w:t>
            </w:r>
          </w:p>
        </w:tc>
        <w:tc>
          <w:tcPr>
            <w:tcW w:w="749" w:type="dxa"/>
            <w:tcBorders>
              <w:top w:val="single" w:sz="4" w:space="0" w:color="auto"/>
              <w:bottom w:val="single" w:sz="4" w:space="0" w:color="auto"/>
            </w:tcBorders>
          </w:tcPr>
          <w:p w:rsidR="009E7D68" w:rsidRDefault="009E7D68" w:rsidP="00106F00">
            <w:pPr>
              <w:jc w:val="center"/>
              <w:cnfStyle w:val="000000000000" w:firstRow="0" w:lastRow="0" w:firstColumn="0" w:lastColumn="0" w:oddVBand="0" w:evenVBand="0" w:oddHBand="0" w:evenHBand="0" w:firstRowFirstColumn="0" w:firstRowLastColumn="0" w:lastRowFirstColumn="0" w:lastRowLastColumn="0"/>
            </w:pPr>
            <w:proofErr w:type="spellStart"/>
            <w:r>
              <w:t>n.a</w:t>
            </w:r>
            <w:proofErr w:type="spellEnd"/>
            <w:r>
              <w:t>.</w:t>
            </w:r>
          </w:p>
        </w:tc>
        <w:tc>
          <w:tcPr>
            <w:tcW w:w="749" w:type="dxa"/>
            <w:tcBorders>
              <w:top w:val="single" w:sz="4" w:space="0" w:color="auto"/>
              <w:bottom w:val="single" w:sz="4" w:space="0" w:color="auto"/>
            </w:tcBorders>
          </w:tcPr>
          <w:p w:rsidR="009E7D68" w:rsidRDefault="009E7D68" w:rsidP="00106F00">
            <w:pPr>
              <w:jc w:val="center"/>
              <w:cnfStyle w:val="000000000000" w:firstRow="0" w:lastRow="0" w:firstColumn="0" w:lastColumn="0" w:oddVBand="0" w:evenVBand="0" w:oddHBand="0" w:evenHBand="0" w:firstRowFirstColumn="0" w:firstRowLastColumn="0" w:lastRowFirstColumn="0" w:lastRowLastColumn="0"/>
            </w:pPr>
            <w:proofErr w:type="spellStart"/>
            <w:r>
              <w:t>n.a</w:t>
            </w:r>
            <w:proofErr w:type="spellEnd"/>
            <w:r>
              <w:t>.</w:t>
            </w:r>
          </w:p>
        </w:tc>
        <w:tc>
          <w:tcPr>
            <w:tcW w:w="749" w:type="dxa"/>
            <w:tcBorders>
              <w:top w:val="single" w:sz="4" w:space="0" w:color="auto"/>
              <w:bottom w:val="single" w:sz="4" w:space="0" w:color="auto"/>
            </w:tcBorders>
          </w:tcPr>
          <w:p w:rsidR="009E7D68" w:rsidRDefault="009E7D68" w:rsidP="00106F00">
            <w:pPr>
              <w:jc w:val="center"/>
              <w:cnfStyle w:val="000000000000" w:firstRow="0" w:lastRow="0" w:firstColumn="0" w:lastColumn="0" w:oddVBand="0" w:evenVBand="0" w:oddHBand="0" w:evenHBand="0" w:firstRowFirstColumn="0" w:firstRowLastColumn="0" w:lastRowFirstColumn="0" w:lastRowLastColumn="0"/>
            </w:pPr>
            <w:proofErr w:type="spellStart"/>
            <w:r>
              <w:t>n.a</w:t>
            </w:r>
            <w:proofErr w:type="spellEnd"/>
            <w:r>
              <w:t>.</w:t>
            </w:r>
          </w:p>
        </w:tc>
        <w:tc>
          <w:tcPr>
            <w:tcW w:w="749" w:type="dxa"/>
            <w:tcBorders>
              <w:top w:val="single" w:sz="4" w:space="0" w:color="auto"/>
              <w:bottom w:val="single" w:sz="4" w:space="0" w:color="auto"/>
            </w:tcBorders>
          </w:tcPr>
          <w:p w:rsidR="009E7D68" w:rsidRDefault="009E7D68" w:rsidP="00106F00">
            <w:pPr>
              <w:jc w:val="center"/>
              <w:cnfStyle w:val="000000000000" w:firstRow="0" w:lastRow="0" w:firstColumn="0" w:lastColumn="0" w:oddVBand="0" w:evenVBand="0" w:oddHBand="0" w:evenHBand="0" w:firstRowFirstColumn="0" w:firstRowLastColumn="0" w:lastRowFirstColumn="0" w:lastRowLastColumn="0"/>
            </w:pPr>
            <w:proofErr w:type="spellStart"/>
            <w:r>
              <w:t>n.a</w:t>
            </w:r>
            <w:proofErr w:type="spellEnd"/>
            <w:r>
              <w:t>.</w:t>
            </w:r>
          </w:p>
        </w:tc>
        <w:tc>
          <w:tcPr>
            <w:tcW w:w="749" w:type="dxa"/>
            <w:tcBorders>
              <w:top w:val="single" w:sz="4" w:space="0" w:color="auto"/>
              <w:bottom w:val="single" w:sz="4" w:space="0" w:color="auto"/>
            </w:tcBorders>
          </w:tcPr>
          <w:p w:rsidR="009E7D68" w:rsidRDefault="009E7D68" w:rsidP="00106F00">
            <w:pPr>
              <w:jc w:val="center"/>
              <w:cnfStyle w:val="000000000000" w:firstRow="0" w:lastRow="0" w:firstColumn="0" w:lastColumn="0" w:oddVBand="0" w:evenVBand="0" w:oddHBand="0" w:evenHBand="0" w:firstRowFirstColumn="0" w:firstRowLastColumn="0" w:lastRowFirstColumn="0" w:lastRowLastColumn="0"/>
            </w:pPr>
            <w:proofErr w:type="spellStart"/>
            <w:r>
              <w:t>n.a</w:t>
            </w:r>
            <w:proofErr w:type="spellEnd"/>
            <w:r>
              <w:t>.</w:t>
            </w:r>
          </w:p>
        </w:tc>
      </w:tr>
      <w:tr w:rsidR="009E7D68" w:rsidTr="005526E7">
        <w:tc>
          <w:tcPr>
            <w:cnfStyle w:val="001000000000" w:firstRow="0" w:lastRow="0" w:firstColumn="1" w:lastColumn="0" w:oddVBand="0" w:evenVBand="0" w:oddHBand="0" w:evenHBand="0" w:firstRowFirstColumn="0" w:firstRowLastColumn="0" w:lastRowFirstColumn="0" w:lastRowLastColumn="0"/>
            <w:tcW w:w="2512" w:type="dxa"/>
            <w:tcBorders>
              <w:top w:val="single" w:sz="4" w:space="0" w:color="auto"/>
              <w:bottom w:val="single" w:sz="4" w:space="0" w:color="auto"/>
            </w:tcBorders>
            <w:shd w:val="clear" w:color="auto" w:fill="B9E6FB"/>
          </w:tcPr>
          <w:p w:rsidR="009E7D68" w:rsidRDefault="009E7D68" w:rsidP="00106F00">
            <w:pPr>
              <w:jc w:val="left"/>
            </w:pPr>
            <w:r>
              <w:t>Residential mental health services</w:t>
            </w:r>
          </w:p>
        </w:tc>
        <w:tc>
          <w:tcPr>
            <w:tcW w:w="750" w:type="dxa"/>
            <w:tcBorders>
              <w:top w:val="single" w:sz="4" w:space="0" w:color="auto"/>
              <w:bottom w:val="single" w:sz="4" w:space="0" w:color="auto"/>
            </w:tcBorders>
            <w:shd w:val="clear" w:color="auto" w:fill="B9E6FB"/>
          </w:tcPr>
          <w:p w:rsidR="009E7D68" w:rsidRDefault="009E7D68" w:rsidP="00106F00">
            <w:pPr>
              <w:jc w:val="center"/>
              <w:cnfStyle w:val="000000000000" w:firstRow="0" w:lastRow="0" w:firstColumn="0" w:lastColumn="0" w:oddVBand="0" w:evenVBand="0" w:oddHBand="0" w:evenHBand="0" w:firstRowFirstColumn="0" w:firstRowLastColumn="0" w:lastRowFirstColumn="0" w:lastRowLastColumn="0"/>
            </w:pPr>
          </w:p>
        </w:tc>
        <w:tc>
          <w:tcPr>
            <w:tcW w:w="749" w:type="dxa"/>
            <w:tcBorders>
              <w:top w:val="single" w:sz="4" w:space="0" w:color="auto"/>
              <w:bottom w:val="single" w:sz="4" w:space="0" w:color="auto"/>
            </w:tcBorders>
            <w:shd w:val="clear" w:color="auto" w:fill="B9E6FB"/>
          </w:tcPr>
          <w:p w:rsidR="009E7D68" w:rsidRDefault="009E7D68" w:rsidP="00106F00">
            <w:pPr>
              <w:jc w:val="center"/>
              <w:cnfStyle w:val="000000000000" w:firstRow="0" w:lastRow="0" w:firstColumn="0" w:lastColumn="0" w:oddVBand="0" w:evenVBand="0" w:oddHBand="0" w:evenHBand="0" w:firstRowFirstColumn="0" w:firstRowLastColumn="0" w:lastRowFirstColumn="0" w:lastRowLastColumn="0"/>
            </w:pPr>
          </w:p>
        </w:tc>
        <w:tc>
          <w:tcPr>
            <w:tcW w:w="749" w:type="dxa"/>
            <w:tcBorders>
              <w:top w:val="single" w:sz="4" w:space="0" w:color="auto"/>
              <w:bottom w:val="single" w:sz="4" w:space="0" w:color="auto"/>
            </w:tcBorders>
            <w:shd w:val="clear" w:color="auto" w:fill="B9E6FB"/>
          </w:tcPr>
          <w:p w:rsidR="009E7D68" w:rsidRDefault="009E7D68" w:rsidP="00106F00">
            <w:pPr>
              <w:jc w:val="center"/>
              <w:cnfStyle w:val="000000000000" w:firstRow="0" w:lastRow="0" w:firstColumn="0" w:lastColumn="0" w:oddVBand="0" w:evenVBand="0" w:oddHBand="0" w:evenHBand="0" w:firstRowFirstColumn="0" w:firstRowLastColumn="0" w:lastRowFirstColumn="0" w:lastRowLastColumn="0"/>
            </w:pPr>
          </w:p>
        </w:tc>
        <w:tc>
          <w:tcPr>
            <w:tcW w:w="749" w:type="dxa"/>
            <w:tcBorders>
              <w:top w:val="single" w:sz="4" w:space="0" w:color="auto"/>
              <w:bottom w:val="single" w:sz="4" w:space="0" w:color="auto"/>
            </w:tcBorders>
            <w:shd w:val="clear" w:color="auto" w:fill="B9E6FB"/>
          </w:tcPr>
          <w:p w:rsidR="009E7D68" w:rsidRDefault="009E7D68" w:rsidP="00106F00">
            <w:pPr>
              <w:jc w:val="center"/>
              <w:cnfStyle w:val="000000000000" w:firstRow="0" w:lastRow="0" w:firstColumn="0" w:lastColumn="0" w:oddVBand="0" w:evenVBand="0" w:oddHBand="0" w:evenHBand="0" w:firstRowFirstColumn="0" w:firstRowLastColumn="0" w:lastRowFirstColumn="0" w:lastRowLastColumn="0"/>
            </w:pPr>
          </w:p>
        </w:tc>
        <w:tc>
          <w:tcPr>
            <w:tcW w:w="749" w:type="dxa"/>
            <w:tcBorders>
              <w:top w:val="single" w:sz="4" w:space="0" w:color="auto"/>
              <w:bottom w:val="single" w:sz="4" w:space="0" w:color="auto"/>
            </w:tcBorders>
            <w:shd w:val="clear" w:color="auto" w:fill="B9E6FB"/>
          </w:tcPr>
          <w:p w:rsidR="009E7D68" w:rsidRDefault="009E7D68" w:rsidP="00106F00">
            <w:pPr>
              <w:jc w:val="center"/>
              <w:cnfStyle w:val="000000000000" w:firstRow="0" w:lastRow="0" w:firstColumn="0" w:lastColumn="0" w:oddVBand="0" w:evenVBand="0" w:oddHBand="0" w:evenHBand="0" w:firstRowFirstColumn="0" w:firstRowLastColumn="0" w:lastRowFirstColumn="0" w:lastRowLastColumn="0"/>
            </w:pPr>
          </w:p>
        </w:tc>
        <w:tc>
          <w:tcPr>
            <w:tcW w:w="749" w:type="dxa"/>
            <w:tcBorders>
              <w:top w:val="single" w:sz="4" w:space="0" w:color="auto"/>
              <w:bottom w:val="single" w:sz="4" w:space="0" w:color="auto"/>
            </w:tcBorders>
            <w:shd w:val="clear" w:color="auto" w:fill="B9E6FB"/>
          </w:tcPr>
          <w:p w:rsidR="009E7D68" w:rsidRDefault="009E7D68" w:rsidP="00106F00">
            <w:pPr>
              <w:jc w:val="center"/>
              <w:cnfStyle w:val="000000000000" w:firstRow="0" w:lastRow="0" w:firstColumn="0" w:lastColumn="0" w:oddVBand="0" w:evenVBand="0" w:oddHBand="0" w:evenHBand="0" w:firstRowFirstColumn="0" w:firstRowLastColumn="0" w:lastRowFirstColumn="0" w:lastRowLastColumn="0"/>
            </w:pPr>
          </w:p>
        </w:tc>
        <w:tc>
          <w:tcPr>
            <w:tcW w:w="749" w:type="dxa"/>
            <w:tcBorders>
              <w:top w:val="single" w:sz="4" w:space="0" w:color="auto"/>
              <w:bottom w:val="single" w:sz="4" w:space="0" w:color="auto"/>
            </w:tcBorders>
            <w:shd w:val="clear" w:color="auto" w:fill="B9E6FB"/>
          </w:tcPr>
          <w:p w:rsidR="009E7D68" w:rsidRDefault="009E7D68" w:rsidP="00106F00">
            <w:pPr>
              <w:jc w:val="center"/>
              <w:cnfStyle w:val="000000000000" w:firstRow="0" w:lastRow="0" w:firstColumn="0" w:lastColumn="0" w:oddVBand="0" w:evenVBand="0" w:oddHBand="0" w:evenHBand="0" w:firstRowFirstColumn="0" w:firstRowLastColumn="0" w:lastRowFirstColumn="0" w:lastRowLastColumn="0"/>
            </w:pPr>
          </w:p>
        </w:tc>
        <w:tc>
          <w:tcPr>
            <w:tcW w:w="749" w:type="dxa"/>
            <w:tcBorders>
              <w:top w:val="single" w:sz="4" w:space="0" w:color="auto"/>
              <w:bottom w:val="single" w:sz="4" w:space="0" w:color="auto"/>
            </w:tcBorders>
            <w:shd w:val="clear" w:color="auto" w:fill="B9E6FB"/>
          </w:tcPr>
          <w:p w:rsidR="009E7D68" w:rsidRDefault="009E7D68" w:rsidP="00106F00">
            <w:pPr>
              <w:jc w:val="center"/>
              <w:cnfStyle w:val="000000000000" w:firstRow="0" w:lastRow="0" w:firstColumn="0" w:lastColumn="0" w:oddVBand="0" w:evenVBand="0" w:oddHBand="0" w:evenHBand="0" w:firstRowFirstColumn="0" w:firstRowLastColumn="0" w:lastRowFirstColumn="0" w:lastRowLastColumn="0"/>
            </w:pPr>
          </w:p>
        </w:tc>
      </w:tr>
      <w:tr w:rsidR="009E7D68" w:rsidTr="005526E7">
        <w:tc>
          <w:tcPr>
            <w:cnfStyle w:val="001000000000" w:firstRow="0" w:lastRow="0" w:firstColumn="1" w:lastColumn="0" w:oddVBand="0" w:evenVBand="0" w:oddHBand="0" w:evenHBand="0" w:firstRowFirstColumn="0" w:firstRowLastColumn="0" w:lastRowFirstColumn="0" w:lastRowLastColumn="0"/>
            <w:tcW w:w="2512" w:type="dxa"/>
            <w:tcBorders>
              <w:top w:val="single" w:sz="4" w:space="0" w:color="auto"/>
              <w:bottom w:val="single" w:sz="4" w:space="0" w:color="auto"/>
            </w:tcBorders>
          </w:tcPr>
          <w:p w:rsidR="009E7D68" w:rsidRPr="008F78E9" w:rsidRDefault="009E7D68">
            <w:pPr>
              <w:jc w:val="left"/>
              <w:rPr>
                <w:b w:val="0"/>
              </w:rPr>
            </w:pPr>
            <w:r w:rsidRPr="008F78E9">
              <w:rPr>
                <w:b w:val="0"/>
              </w:rPr>
              <w:t>Government-operated service beds (per 100</w:t>
            </w:r>
            <w:r>
              <w:rPr>
                <w:b w:val="0"/>
              </w:rPr>
              <w:t>,</w:t>
            </w:r>
            <w:r w:rsidRPr="008F78E9">
              <w:rPr>
                <w:b w:val="0"/>
              </w:rPr>
              <w:t>000 pop)</w:t>
            </w:r>
          </w:p>
        </w:tc>
        <w:tc>
          <w:tcPr>
            <w:tcW w:w="750" w:type="dxa"/>
            <w:tcBorders>
              <w:top w:val="single" w:sz="4" w:space="0" w:color="auto"/>
              <w:bottom w:val="single" w:sz="4" w:space="0" w:color="auto"/>
            </w:tcBorders>
          </w:tcPr>
          <w:p w:rsidR="009E7D68" w:rsidRDefault="009E7D68" w:rsidP="00106F00">
            <w:pPr>
              <w:jc w:val="center"/>
              <w:cnfStyle w:val="000000000000" w:firstRow="0" w:lastRow="0" w:firstColumn="0" w:lastColumn="0" w:oddVBand="0" w:evenVBand="0" w:oddHBand="0" w:evenHBand="0" w:firstRowFirstColumn="0" w:firstRowLastColumn="0" w:lastRowFirstColumn="0" w:lastRowLastColumn="0"/>
            </w:pPr>
            <w:r>
              <w:t>1.9</w:t>
            </w:r>
          </w:p>
        </w:tc>
        <w:tc>
          <w:tcPr>
            <w:tcW w:w="749" w:type="dxa"/>
            <w:tcBorders>
              <w:top w:val="single" w:sz="4" w:space="0" w:color="auto"/>
              <w:bottom w:val="single" w:sz="4" w:space="0" w:color="auto"/>
            </w:tcBorders>
          </w:tcPr>
          <w:p w:rsidR="009E7D68" w:rsidRDefault="009E7D68" w:rsidP="00106F00">
            <w:pPr>
              <w:jc w:val="center"/>
              <w:cnfStyle w:val="000000000000" w:firstRow="0" w:lastRow="0" w:firstColumn="0" w:lastColumn="0" w:oddVBand="0" w:evenVBand="0" w:oddHBand="0" w:evenHBand="0" w:firstRowFirstColumn="0" w:firstRowLastColumn="0" w:lastRowFirstColumn="0" w:lastRowLastColumn="0"/>
            </w:pPr>
            <w:r>
              <w:t>19.5</w:t>
            </w:r>
          </w:p>
        </w:tc>
        <w:tc>
          <w:tcPr>
            <w:tcW w:w="749" w:type="dxa"/>
            <w:tcBorders>
              <w:top w:val="single" w:sz="4" w:space="0" w:color="auto"/>
              <w:bottom w:val="single" w:sz="4" w:space="0" w:color="auto"/>
            </w:tcBorders>
          </w:tcPr>
          <w:p w:rsidR="009E7D68" w:rsidRDefault="009E7D68" w:rsidP="00106F00">
            <w:pPr>
              <w:jc w:val="center"/>
              <w:cnfStyle w:val="000000000000" w:firstRow="0" w:lastRow="0" w:firstColumn="0" w:lastColumn="0" w:oddVBand="0" w:evenVBand="0" w:oddHBand="0" w:evenHBand="0" w:firstRowFirstColumn="0" w:firstRowLastColumn="0" w:lastRowFirstColumn="0" w:lastRowLastColumn="0"/>
            </w:pPr>
            <w:r>
              <w:t>0.0</w:t>
            </w:r>
          </w:p>
        </w:tc>
        <w:tc>
          <w:tcPr>
            <w:tcW w:w="749" w:type="dxa"/>
            <w:tcBorders>
              <w:top w:val="single" w:sz="4" w:space="0" w:color="auto"/>
              <w:bottom w:val="single" w:sz="4" w:space="0" w:color="auto"/>
            </w:tcBorders>
          </w:tcPr>
          <w:p w:rsidR="009E7D68" w:rsidRDefault="009E7D68" w:rsidP="00106F00">
            <w:pPr>
              <w:jc w:val="center"/>
              <w:cnfStyle w:val="000000000000" w:firstRow="0" w:lastRow="0" w:firstColumn="0" w:lastColumn="0" w:oddVBand="0" w:evenVBand="0" w:oddHBand="0" w:evenHBand="0" w:firstRowFirstColumn="0" w:firstRowLastColumn="0" w:lastRowFirstColumn="0" w:lastRowLastColumn="0"/>
            </w:pPr>
            <w:r>
              <w:t>0.6</w:t>
            </w:r>
          </w:p>
        </w:tc>
        <w:tc>
          <w:tcPr>
            <w:tcW w:w="749" w:type="dxa"/>
            <w:tcBorders>
              <w:top w:val="single" w:sz="4" w:space="0" w:color="auto"/>
              <w:bottom w:val="single" w:sz="4" w:space="0" w:color="auto"/>
            </w:tcBorders>
          </w:tcPr>
          <w:p w:rsidR="009E7D68" w:rsidRDefault="009E7D68" w:rsidP="00106F00">
            <w:pPr>
              <w:jc w:val="center"/>
              <w:cnfStyle w:val="000000000000" w:firstRow="0" w:lastRow="0" w:firstColumn="0" w:lastColumn="0" w:oddVBand="0" w:evenVBand="0" w:oddHBand="0" w:evenHBand="0" w:firstRowFirstColumn="0" w:firstRowLastColumn="0" w:lastRowFirstColumn="0" w:lastRowLastColumn="0"/>
            </w:pPr>
            <w:r>
              <w:t>6.4</w:t>
            </w:r>
          </w:p>
        </w:tc>
        <w:tc>
          <w:tcPr>
            <w:tcW w:w="749" w:type="dxa"/>
            <w:tcBorders>
              <w:top w:val="single" w:sz="4" w:space="0" w:color="auto"/>
              <w:bottom w:val="single" w:sz="4" w:space="0" w:color="auto"/>
            </w:tcBorders>
          </w:tcPr>
          <w:p w:rsidR="009E7D68" w:rsidRDefault="009E7D68" w:rsidP="00106F00">
            <w:pPr>
              <w:jc w:val="center"/>
              <w:cnfStyle w:val="000000000000" w:firstRow="0" w:lastRow="0" w:firstColumn="0" w:lastColumn="0" w:oddVBand="0" w:evenVBand="0" w:oddHBand="0" w:evenHBand="0" w:firstRowFirstColumn="0" w:firstRowLastColumn="0" w:lastRowFirstColumn="0" w:lastRowLastColumn="0"/>
            </w:pPr>
            <w:r>
              <w:t>11.9</w:t>
            </w:r>
          </w:p>
        </w:tc>
        <w:tc>
          <w:tcPr>
            <w:tcW w:w="749" w:type="dxa"/>
            <w:tcBorders>
              <w:top w:val="single" w:sz="4" w:space="0" w:color="auto"/>
              <w:bottom w:val="single" w:sz="4" w:space="0" w:color="auto"/>
            </w:tcBorders>
          </w:tcPr>
          <w:p w:rsidR="009E7D68" w:rsidRDefault="009E7D68" w:rsidP="00106F00">
            <w:pPr>
              <w:jc w:val="center"/>
              <w:cnfStyle w:val="000000000000" w:firstRow="0" w:lastRow="0" w:firstColumn="0" w:lastColumn="0" w:oddVBand="0" w:evenVBand="0" w:oddHBand="0" w:evenHBand="0" w:firstRowFirstColumn="0" w:firstRowLastColumn="0" w:lastRowFirstColumn="0" w:lastRowLastColumn="0"/>
            </w:pPr>
            <w:r>
              <w:t>8.1</w:t>
            </w:r>
          </w:p>
        </w:tc>
        <w:tc>
          <w:tcPr>
            <w:tcW w:w="749" w:type="dxa"/>
            <w:tcBorders>
              <w:top w:val="single" w:sz="4" w:space="0" w:color="auto"/>
              <w:bottom w:val="single" w:sz="4" w:space="0" w:color="auto"/>
            </w:tcBorders>
          </w:tcPr>
          <w:p w:rsidR="009E7D68" w:rsidRDefault="009E7D68" w:rsidP="00106F00">
            <w:pPr>
              <w:jc w:val="center"/>
              <w:cnfStyle w:val="000000000000" w:firstRow="0" w:lastRow="0" w:firstColumn="0" w:lastColumn="0" w:oddVBand="0" w:evenVBand="0" w:oddHBand="0" w:evenHBand="0" w:firstRowFirstColumn="0" w:firstRowLastColumn="0" w:lastRowFirstColumn="0" w:lastRowLastColumn="0"/>
            </w:pPr>
            <w:r>
              <w:t>0.0</w:t>
            </w:r>
          </w:p>
        </w:tc>
      </w:tr>
      <w:tr w:rsidR="009E7D68" w:rsidTr="005526E7">
        <w:tc>
          <w:tcPr>
            <w:cnfStyle w:val="001000000000" w:firstRow="0" w:lastRow="0" w:firstColumn="1" w:lastColumn="0" w:oddVBand="0" w:evenVBand="0" w:oddHBand="0" w:evenHBand="0" w:firstRowFirstColumn="0" w:firstRowLastColumn="0" w:lastRowFirstColumn="0" w:lastRowLastColumn="0"/>
            <w:tcW w:w="2512" w:type="dxa"/>
            <w:tcBorders>
              <w:top w:val="single" w:sz="4" w:space="0" w:color="auto"/>
              <w:bottom w:val="single" w:sz="4" w:space="0" w:color="auto"/>
            </w:tcBorders>
          </w:tcPr>
          <w:p w:rsidR="009E7D68" w:rsidRPr="008F78E9" w:rsidRDefault="009E7D68">
            <w:pPr>
              <w:jc w:val="left"/>
              <w:rPr>
                <w:b w:val="0"/>
              </w:rPr>
            </w:pPr>
            <w:r>
              <w:rPr>
                <w:b w:val="0"/>
              </w:rPr>
              <w:t>Non-</w:t>
            </w:r>
            <w:r w:rsidRPr="008F78E9">
              <w:rPr>
                <w:b w:val="0"/>
              </w:rPr>
              <w:t>government-operated service beds (per 100</w:t>
            </w:r>
            <w:r>
              <w:rPr>
                <w:b w:val="0"/>
              </w:rPr>
              <w:t>,</w:t>
            </w:r>
            <w:r w:rsidRPr="008F78E9">
              <w:rPr>
                <w:b w:val="0"/>
              </w:rPr>
              <w:t>000 pop)</w:t>
            </w:r>
          </w:p>
        </w:tc>
        <w:tc>
          <w:tcPr>
            <w:tcW w:w="750" w:type="dxa"/>
            <w:tcBorders>
              <w:top w:val="single" w:sz="4" w:space="0" w:color="auto"/>
              <w:bottom w:val="single" w:sz="4" w:space="0" w:color="auto"/>
            </w:tcBorders>
          </w:tcPr>
          <w:p w:rsidR="009E7D68" w:rsidRDefault="009E7D68" w:rsidP="00106F00">
            <w:pPr>
              <w:jc w:val="center"/>
              <w:cnfStyle w:val="000000000000" w:firstRow="0" w:lastRow="0" w:firstColumn="0" w:lastColumn="0" w:oddVBand="0" w:evenVBand="0" w:oddHBand="0" w:evenHBand="0" w:firstRowFirstColumn="0" w:firstRowLastColumn="0" w:lastRowFirstColumn="0" w:lastRowLastColumn="0"/>
            </w:pPr>
            <w:r>
              <w:t>0.5</w:t>
            </w:r>
          </w:p>
        </w:tc>
        <w:tc>
          <w:tcPr>
            <w:tcW w:w="749" w:type="dxa"/>
            <w:tcBorders>
              <w:top w:val="single" w:sz="4" w:space="0" w:color="auto"/>
              <w:bottom w:val="single" w:sz="4" w:space="0" w:color="auto"/>
            </w:tcBorders>
          </w:tcPr>
          <w:p w:rsidR="009E7D68" w:rsidRDefault="009E7D68" w:rsidP="00106F00">
            <w:pPr>
              <w:jc w:val="center"/>
              <w:cnfStyle w:val="000000000000" w:firstRow="0" w:lastRow="0" w:firstColumn="0" w:lastColumn="0" w:oddVBand="0" w:evenVBand="0" w:oddHBand="0" w:evenHBand="0" w:firstRowFirstColumn="0" w:firstRowLastColumn="0" w:lastRowFirstColumn="0" w:lastRowLastColumn="0"/>
            </w:pPr>
            <w:r>
              <w:t>6.9</w:t>
            </w:r>
          </w:p>
        </w:tc>
        <w:tc>
          <w:tcPr>
            <w:tcW w:w="749" w:type="dxa"/>
            <w:tcBorders>
              <w:top w:val="single" w:sz="4" w:space="0" w:color="auto"/>
              <w:bottom w:val="single" w:sz="4" w:space="0" w:color="auto"/>
            </w:tcBorders>
          </w:tcPr>
          <w:p w:rsidR="009E7D68" w:rsidRDefault="009E7D68" w:rsidP="00106F00">
            <w:pPr>
              <w:jc w:val="center"/>
              <w:cnfStyle w:val="000000000000" w:firstRow="0" w:lastRow="0" w:firstColumn="0" w:lastColumn="0" w:oddVBand="0" w:evenVBand="0" w:oddHBand="0" w:evenHBand="0" w:firstRowFirstColumn="0" w:firstRowLastColumn="0" w:lastRowFirstColumn="0" w:lastRowLastColumn="0"/>
            </w:pPr>
            <w:r>
              <w:t>0.0</w:t>
            </w:r>
          </w:p>
        </w:tc>
        <w:tc>
          <w:tcPr>
            <w:tcW w:w="749" w:type="dxa"/>
            <w:tcBorders>
              <w:top w:val="single" w:sz="4" w:space="0" w:color="auto"/>
              <w:bottom w:val="single" w:sz="4" w:space="0" w:color="auto"/>
            </w:tcBorders>
          </w:tcPr>
          <w:p w:rsidR="009E7D68" w:rsidRDefault="009E7D68" w:rsidP="00106F00">
            <w:pPr>
              <w:jc w:val="center"/>
              <w:cnfStyle w:val="000000000000" w:firstRow="0" w:lastRow="0" w:firstColumn="0" w:lastColumn="0" w:oddVBand="0" w:evenVBand="0" w:oddHBand="0" w:evenHBand="0" w:firstRowFirstColumn="0" w:firstRowLastColumn="0" w:lastRowFirstColumn="0" w:lastRowLastColumn="0"/>
            </w:pPr>
            <w:r>
              <w:t>12.1</w:t>
            </w:r>
          </w:p>
        </w:tc>
        <w:tc>
          <w:tcPr>
            <w:tcW w:w="749" w:type="dxa"/>
            <w:tcBorders>
              <w:top w:val="single" w:sz="4" w:space="0" w:color="auto"/>
              <w:bottom w:val="single" w:sz="4" w:space="0" w:color="auto"/>
            </w:tcBorders>
          </w:tcPr>
          <w:p w:rsidR="009E7D68" w:rsidRDefault="009E7D68" w:rsidP="00106F00">
            <w:pPr>
              <w:jc w:val="center"/>
              <w:cnfStyle w:val="000000000000" w:firstRow="0" w:lastRow="0" w:firstColumn="0" w:lastColumn="0" w:oddVBand="0" w:evenVBand="0" w:oddHBand="0" w:evenHBand="0" w:firstRowFirstColumn="0" w:firstRowLastColumn="0" w:lastRowFirstColumn="0" w:lastRowLastColumn="0"/>
            </w:pPr>
            <w:r>
              <w:t>1.9</w:t>
            </w:r>
          </w:p>
        </w:tc>
        <w:tc>
          <w:tcPr>
            <w:tcW w:w="749" w:type="dxa"/>
            <w:tcBorders>
              <w:top w:val="single" w:sz="4" w:space="0" w:color="auto"/>
              <w:bottom w:val="single" w:sz="4" w:space="0" w:color="auto"/>
            </w:tcBorders>
          </w:tcPr>
          <w:p w:rsidR="009E7D68" w:rsidRDefault="009E7D68" w:rsidP="00106F00">
            <w:pPr>
              <w:jc w:val="center"/>
              <w:cnfStyle w:val="000000000000" w:firstRow="0" w:lastRow="0" w:firstColumn="0" w:lastColumn="0" w:oddVBand="0" w:evenVBand="0" w:oddHBand="0" w:evenHBand="0" w:firstRowFirstColumn="0" w:firstRowLastColumn="0" w:lastRowFirstColumn="0" w:lastRowLastColumn="0"/>
            </w:pPr>
            <w:r>
              <w:t>19.7</w:t>
            </w:r>
          </w:p>
        </w:tc>
        <w:tc>
          <w:tcPr>
            <w:tcW w:w="749" w:type="dxa"/>
            <w:tcBorders>
              <w:top w:val="single" w:sz="4" w:space="0" w:color="auto"/>
              <w:bottom w:val="single" w:sz="4" w:space="0" w:color="auto"/>
            </w:tcBorders>
          </w:tcPr>
          <w:p w:rsidR="009E7D68" w:rsidRDefault="009E7D68" w:rsidP="00106F00">
            <w:pPr>
              <w:jc w:val="center"/>
              <w:cnfStyle w:val="000000000000" w:firstRow="0" w:lastRow="0" w:firstColumn="0" w:lastColumn="0" w:oddVBand="0" w:evenVBand="0" w:oddHBand="0" w:evenHBand="0" w:firstRowFirstColumn="0" w:firstRowLastColumn="0" w:lastRowFirstColumn="0" w:lastRowLastColumn="0"/>
            </w:pPr>
            <w:r>
              <w:t>14.0</w:t>
            </w:r>
          </w:p>
        </w:tc>
        <w:tc>
          <w:tcPr>
            <w:tcW w:w="749" w:type="dxa"/>
            <w:tcBorders>
              <w:top w:val="single" w:sz="4" w:space="0" w:color="auto"/>
              <w:bottom w:val="single" w:sz="4" w:space="0" w:color="auto"/>
            </w:tcBorders>
          </w:tcPr>
          <w:p w:rsidR="009E7D68" w:rsidRDefault="009E7D68" w:rsidP="00106F00">
            <w:pPr>
              <w:jc w:val="center"/>
              <w:cnfStyle w:val="000000000000" w:firstRow="0" w:lastRow="0" w:firstColumn="0" w:lastColumn="0" w:oddVBand="0" w:evenVBand="0" w:oddHBand="0" w:evenHBand="0" w:firstRowFirstColumn="0" w:firstRowLastColumn="0" w:lastRowFirstColumn="0" w:lastRowLastColumn="0"/>
            </w:pPr>
            <w:r>
              <w:t>6.4</w:t>
            </w:r>
          </w:p>
        </w:tc>
      </w:tr>
      <w:tr w:rsidR="009E7D68" w:rsidTr="005526E7">
        <w:tc>
          <w:tcPr>
            <w:cnfStyle w:val="001000000000" w:firstRow="0" w:lastRow="0" w:firstColumn="1" w:lastColumn="0" w:oddVBand="0" w:evenVBand="0" w:oddHBand="0" w:evenHBand="0" w:firstRowFirstColumn="0" w:firstRowLastColumn="0" w:lastRowFirstColumn="0" w:lastRowLastColumn="0"/>
            <w:tcW w:w="2512" w:type="dxa"/>
            <w:tcBorders>
              <w:top w:val="single" w:sz="4" w:space="0" w:color="auto"/>
              <w:bottom w:val="single" w:sz="4" w:space="0" w:color="auto"/>
            </w:tcBorders>
            <w:shd w:val="clear" w:color="auto" w:fill="B9E6FB"/>
          </w:tcPr>
          <w:p w:rsidR="009E7D68" w:rsidRDefault="009E7D68" w:rsidP="00106F00">
            <w:pPr>
              <w:jc w:val="left"/>
            </w:pPr>
            <w:r>
              <w:t>Mental health-related supported housing</w:t>
            </w:r>
          </w:p>
        </w:tc>
        <w:tc>
          <w:tcPr>
            <w:tcW w:w="750" w:type="dxa"/>
            <w:tcBorders>
              <w:top w:val="single" w:sz="4" w:space="0" w:color="auto"/>
              <w:bottom w:val="single" w:sz="4" w:space="0" w:color="auto"/>
            </w:tcBorders>
            <w:shd w:val="clear" w:color="auto" w:fill="B9E6FB"/>
          </w:tcPr>
          <w:p w:rsidR="009E7D68" w:rsidRDefault="009E7D68" w:rsidP="00106F00">
            <w:pPr>
              <w:jc w:val="center"/>
              <w:cnfStyle w:val="000000000000" w:firstRow="0" w:lastRow="0" w:firstColumn="0" w:lastColumn="0" w:oddVBand="0" w:evenVBand="0" w:oddHBand="0" w:evenHBand="0" w:firstRowFirstColumn="0" w:firstRowLastColumn="0" w:lastRowFirstColumn="0" w:lastRowLastColumn="0"/>
            </w:pPr>
          </w:p>
        </w:tc>
        <w:tc>
          <w:tcPr>
            <w:tcW w:w="749" w:type="dxa"/>
            <w:tcBorders>
              <w:top w:val="single" w:sz="4" w:space="0" w:color="auto"/>
              <w:bottom w:val="single" w:sz="4" w:space="0" w:color="auto"/>
            </w:tcBorders>
            <w:shd w:val="clear" w:color="auto" w:fill="B9E6FB"/>
          </w:tcPr>
          <w:p w:rsidR="009E7D68" w:rsidRDefault="009E7D68" w:rsidP="00106F00">
            <w:pPr>
              <w:jc w:val="center"/>
              <w:cnfStyle w:val="000000000000" w:firstRow="0" w:lastRow="0" w:firstColumn="0" w:lastColumn="0" w:oddVBand="0" w:evenVBand="0" w:oddHBand="0" w:evenHBand="0" w:firstRowFirstColumn="0" w:firstRowLastColumn="0" w:lastRowFirstColumn="0" w:lastRowLastColumn="0"/>
            </w:pPr>
          </w:p>
        </w:tc>
        <w:tc>
          <w:tcPr>
            <w:tcW w:w="749" w:type="dxa"/>
            <w:tcBorders>
              <w:top w:val="single" w:sz="4" w:space="0" w:color="auto"/>
              <w:bottom w:val="single" w:sz="4" w:space="0" w:color="auto"/>
            </w:tcBorders>
            <w:shd w:val="clear" w:color="auto" w:fill="B9E6FB"/>
          </w:tcPr>
          <w:p w:rsidR="009E7D68" w:rsidRDefault="009E7D68" w:rsidP="00106F00">
            <w:pPr>
              <w:jc w:val="center"/>
              <w:cnfStyle w:val="000000000000" w:firstRow="0" w:lastRow="0" w:firstColumn="0" w:lastColumn="0" w:oddVBand="0" w:evenVBand="0" w:oddHBand="0" w:evenHBand="0" w:firstRowFirstColumn="0" w:firstRowLastColumn="0" w:lastRowFirstColumn="0" w:lastRowLastColumn="0"/>
            </w:pPr>
          </w:p>
        </w:tc>
        <w:tc>
          <w:tcPr>
            <w:tcW w:w="749" w:type="dxa"/>
            <w:tcBorders>
              <w:top w:val="single" w:sz="4" w:space="0" w:color="auto"/>
              <w:bottom w:val="single" w:sz="4" w:space="0" w:color="auto"/>
            </w:tcBorders>
            <w:shd w:val="clear" w:color="auto" w:fill="B9E6FB"/>
          </w:tcPr>
          <w:p w:rsidR="009E7D68" w:rsidRDefault="009E7D68" w:rsidP="00106F00">
            <w:pPr>
              <w:jc w:val="center"/>
              <w:cnfStyle w:val="000000000000" w:firstRow="0" w:lastRow="0" w:firstColumn="0" w:lastColumn="0" w:oddVBand="0" w:evenVBand="0" w:oddHBand="0" w:evenHBand="0" w:firstRowFirstColumn="0" w:firstRowLastColumn="0" w:lastRowFirstColumn="0" w:lastRowLastColumn="0"/>
            </w:pPr>
          </w:p>
        </w:tc>
        <w:tc>
          <w:tcPr>
            <w:tcW w:w="749" w:type="dxa"/>
            <w:tcBorders>
              <w:top w:val="single" w:sz="4" w:space="0" w:color="auto"/>
              <w:bottom w:val="single" w:sz="4" w:space="0" w:color="auto"/>
            </w:tcBorders>
            <w:shd w:val="clear" w:color="auto" w:fill="B9E6FB"/>
          </w:tcPr>
          <w:p w:rsidR="009E7D68" w:rsidRDefault="009E7D68" w:rsidP="00106F00">
            <w:pPr>
              <w:jc w:val="center"/>
              <w:cnfStyle w:val="000000000000" w:firstRow="0" w:lastRow="0" w:firstColumn="0" w:lastColumn="0" w:oddVBand="0" w:evenVBand="0" w:oddHBand="0" w:evenHBand="0" w:firstRowFirstColumn="0" w:firstRowLastColumn="0" w:lastRowFirstColumn="0" w:lastRowLastColumn="0"/>
            </w:pPr>
          </w:p>
        </w:tc>
        <w:tc>
          <w:tcPr>
            <w:tcW w:w="749" w:type="dxa"/>
            <w:tcBorders>
              <w:top w:val="single" w:sz="4" w:space="0" w:color="auto"/>
              <w:bottom w:val="single" w:sz="4" w:space="0" w:color="auto"/>
            </w:tcBorders>
            <w:shd w:val="clear" w:color="auto" w:fill="B9E6FB"/>
          </w:tcPr>
          <w:p w:rsidR="009E7D68" w:rsidRDefault="009E7D68" w:rsidP="00106F00">
            <w:pPr>
              <w:jc w:val="center"/>
              <w:cnfStyle w:val="000000000000" w:firstRow="0" w:lastRow="0" w:firstColumn="0" w:lastColumn="0" w:oddVBand="0" w:evenVBand="0" w:oddHBand="0" w:evenHBand="0" w:firstRowFirstColumn="0" w:firstRowLastColumn="0" w:lastRowFirstColumn="0" w:lastRowLastColumn="0"/>
            </w:pPr>
          </w:p>
        </w:tc>
        <w:tc>
          <w:tcPr>
            <w:tcW w:w="749" w:type="dxa"/>
            <w:tcBorders>
              <w:top w:val="single" w:sz="4" w:space="0" w:color="auto"/>
              <w:bottom w:val="single" w:sz="4" w:space="0" w:color="auto"/>
            </w:tcBorders>
            <w:shd w:val="clear" w:color="auto" w:fill="B9E6FB"/>
          </w:tcPr>
          <w:p w:rsidR="009E7D68" w:rsidRDefault="009E7D68" w:rsidP="00106F00">
            <w:pPr>
              <w:jc w:val="center"/>
              <w:cnfStyle w:val="000000000000" w:firstRow="0" w:lastRow="0" w:firstColumn="0" w:lastColumn="0" w:oddVBand="0" w:evenVBand="0" w:oddHBand="0" w:evenHBand="0" w:firstRowFirstColumn="0" w:firstRowLastColumn="0" w:lastRowFirstColumn="0" w:lastRowLastColumn="0"/>
            </w:pPr>
          </w:p>
        </w:tc>
        <w:tc>
          <w:tcPr>
            <w:tcW w:w="749" w:type="dxa"/>
            <w:tcBorders>
              <w:top w:val="single" w:sz="4" w:space="0" w:color="auto"/>
              <w:bottom w:val="single" w:sz="4" w:space="0" w:color="auto"/>
            </w:tcBorders>
            <w:shd w:val="clear" w:color="auto" w:fill="B9E6FB"/>
          </w:tcPr>
          <w:p w:rsidR="009E7D68" w:rsidRDefault="009E7D68" w:rsidP="00106F00">
            <w:pPr>
              <w:jc w:val="center"/>
              <w:cnfStyle w:val="000000000000" w:firstRow="0" w:lastRow="0" w:firstColumn="0" w:lastColumn="0" w:oddVBand="0" w:evenVBand="0" w:oddHBand="0" w:evenHBand="0" w:firstRowFirstColumn="0" w:firstRowLastColumn="0" w:lastRowFirstColumn="0" w:lastRowLastColumn="0"/>
            </w:pPr>
          </w:p>
        </w:tc>
      </w:tr>
      <w:tr w:rsidR="009E7D68" w:rsidTr="005526E7">
        <w:tc>
          <w:tcPr>
            <w:cnfStyle w:val="001000000000" w:firstRow="0" w:lastRow="0" w:firstColumn="1" w:lastColumn="0" w:oddVBand="0" w:evenVBand="0" w:oddHBand="0" w:evenHBand="0" w:firstRowFirstColumn="0" w:firstRowLastColumn="0" w:lastRowFirstColumn="0" w:lastRowLastColumn="0"/>
            <w:tcW w:w="2512" w:type="dxa"/>
            <w:tcBorders>
              <w:top w:val="single" w:sz="4" w:space="0" w:color="auto"/>
            </w:tcBorders>
          </w:tcPr>
          <w:p w:rsidR="009E7D68" w:rsidRPr="008F78E9" w:rsidRDefault="009E7D68">
            <w:pPr>
              <w:jc w:val="left"/>
              <w:rPr>
                <w:b w:val="0"/>
              </w:rPr>
            </w:pPr>
            <w:r w:rsidRPr="008F78E9">
              <w:rPr>
                <w:b w:val="0"/>
              </w:rPr>
              <w:t>Supported housing places (per 100</w:t>
            </w:r>
            <w:r>
              <w:rPr>
                <w:b w:val="0"/>
              </w:rPr>
              <w:t>,</w:t>
            </w:r>
            <w:r w:rsidRPr="008F78E9">
              <w:rPr>
                <w:b w:val="0"/>
              </w:rPr>
              <w:t>000 pop)</w:t>
            </w:r>
          </w:p>
        </w:tc>
        <w:tc>
          <w:tcPr>
            <w:tcW w:w="750" w:type="dxa"/>
            <w:tcBorders>
              <w:top w:val="single" w:sz="4" w:space="0" w:color="auto"/>
            </w:tcBorders>
          </w:tcPr>
          <w:p w:rsidR="009E7D68" w:rsidRDefault="009E7D68" w:rsidP="00106F00">
            <w:pPr>
              <w:jc w:val="center"/>
              <w:cnfStyle w:val="000000000000" w:firstRow="0" w:lastRow="0" w:firstColumn="0" w:lastColumn="0" w:oddVBand="0" w:evenVBand="0" w:oddHBand="0" w:evenHBand="0" w:firstRowFirstColumn="0" w:firstRowLastColumn="0" w:lastRowFirstColumn="0" w:lastRowLastColumn="0"/>
            </w:pPr>
            <w:proofErr w:type="spellStart"/>
            <w:r>
              <w:t>n.a</w:t>
            </w:r>
            <w:proofErr w:type="spellEnd"/>
            <w:r>
              <w:t>.</w:t>
            </w:r>
          </w:p>
        </w:tc>
        <w:tc>
          <w:tcPr>
            <w:tcW w:w="749" w:type="dxa"/>
            <w:tcBorders>
              <w:top w:val="single" w:sz="4" w:space="0" w:color="auto"/>
            </w:tcBorders>
          </w:tcPr>
          <w:p w:rsidR="009E7D68" w:rsidRDefault="009E7D68" w:rsidP="00106F00">
            <w:pPr>
              <w:jc w:val="center"/>
              <w:cnfStyle w:val="000000000000" w:firstRow="0" w:lastRow="0" w:firstColumn="0" w:lastColumn="0" w:oddVBand="0" w:evenVBand="0" w:oddHBand="0" w:evenHBand="0" w:firstRowFirstColumn="0" w:firstRowLastColumn="0" w:lastRowFirstColumn="0" w:lastRowLastColumn="0"/>
            </w:pPr>
            <w:r>
              <w:t>20.8</w:t>
            </w:r>
          </w:p>
        </w:tc>
        <w:tc>
          <w:tcPr>
            <w:tcW w:w="749" w:type="dxa"/>
            <w:tcBorders>
              <w:top w:val="single" w:sz="4" w:space="0" w:color="auto"/>
            </w:tcBorders>
          </w:tcPr>
          <w:p w:rsidR="009E7D68" w:rsidRDefault="009E7D68" w:rsidP="00106F00">
            <w:pPr>
              <w:jc w:val="center"/>
              <w:cnfStyle w:val="000000000000" w:firstRow="0" w:lastRow="0" w:firstColumn="0" w:lastColumn="0" w:oddVBand="0" w:evenVBand="0" w:oddHBand="0" w:evenHBand="0" w:firstRowFirstColumn="0" w:firstRowLastColumn="0" w:lastRowFirstColumn="0" w:lastRowLastColumn="0"/>
            </w:pPr>
            <w:r>
              <w:t>6.3</w:t>
            </w:r>
          </w:p>
        </w:tc>
        <w:tc>
          <w:tcPr>
            <w:tcW w:w="749" w:type="dxa"/>
            <w:tcBorders>
              <w:top w:val="single" w:sz="4" w:space="0" w:color="auto"/>
            </w:tcBorders>
          </w:tcPr>
          <w:p w:rsidR="009E7D68" w:rsidRDefault="009E7D68" w:rsidP="00106F00">
            <w:pPr>
              <w:jc w:val="center"/>
              <w:cnfStyle w:val="000000000000" w:firstRow="0" w:lastRow="0" w:firstColumn="0" w:lastColumn="0" w:oddVBand="0" w:evenVBand="0" w:oddHBand="0" w:evenHBand="0" w:firstRowFirstColumn="0" w:firstRowLastColumn="0" w:lastRowFirstColumn="0" w:lastRowLastColumn="0"/>
            </w:pPr>
            <w:r>
              <w:t>59.1</w:t>
            </w:r>
          </w:p>
        </w:tc>
        <w:tc>
          <w:tcPr>
            <w:tcW w:w="749" w:type="dxa"/>
            <w:tcBorders>
              <w:top w:val="single" w:sz="4" w:space="0" w:color="auto"/>
            </w:tcBorders>
          </w:tcPr>
          <w:p w:rsidR="009E7D68" w:rsidRDefault="009E7D68" w:rsidP="00106F00">
            <w:pPr>
              <w:jc w:val="center"/>
              <w:cnfStyle w:val="000000000000" w:firstRow="0" w:lastRow="0" w:firstColumn="0" w:lastColumn="0" w:oddVBand="0" w:evenVBand="0" w:oddHBand="0" w:evenHBand="0" w:firstRowFirstColumn="0" w:firstRowLastColumn="0" w:lastRowFirstColumn="0" w:lastRowLastColumn="0"/>
            </w:pPr>
            <w:r>
              <w:t>18.2</w:t>
            </w:r>
          </w:p>
        </w:tc>
        <w:tc>
          <w:tcPr>
            <w:tcW w:w="749" w:type="dxa"/>
            <w:tcBorders>
              <w:top w:val="single" w:sz="4" w:space="0" w:color="auto"/>
            </w:tcBorders>
          </w:tcPr>
          <w:p w:rsidR="009E7D68" w:rsidRDefault="009E7D68" w:rsidP="00106F00">
            <w:pPr>
              <w:jc w:val="center"/>
              <w:cnfStyle w:val="000000000000" w:firstRow="0" w:lastRow="0" w:firstColumn="0" w:lastColumn="0" w:oddVBand="0" w:evenVBand="0" w:oddHBand="0" w:evenHBand="0" w:firstRowFirstColumn="0" w:firstRowLastColumn="0" w:lastRowFirstColumn="0" w:lastRowLastColumn="0"/>
            </w:pPr>
            <w:r>
              <w:t>4.5</w:t>
            </w:r>
          </w:p>
        </w:tc>
        <w:tc>
          <w:tcPr>
            <w:tcW w:w="749" w:type="dxa"/>
            <w:tcBorders>
              <w:top w:val="single" w:sz="4" w:space="0" w:color="auto"/>
            </w:tcBorders>
          </w:tcPr>
          <w:p w:rsidR="009E7D68" w:rsidRDefault="009E7D68" w:rsidP="00106F00">
            <w:pPr>
              <w:jc w:val="center"/>
              <w:cnfStyle w:val="000000000000" w:firstRow="0" w:lastRow="0" w:firstColumn="0" w:lastColumn="0" w:oddVBand="0" w:evenVBand="0" w:oddHBand="0" w:evenHBand="0" w:firstRowFirstColumn="0" w:firstRowLastColumn="0" w:lastRowFirstColumn="0" w:lastRowLastColumn="0"/>
            </w:pPr>
            <w:r>
              <w:t>12.9</w:t>
            </w:r>
          </w:p>
        </w:tc>
        <w:tc>
          <w:tcPr>
            <w:tcW w:w="749" w:type="dxa"/>
            <w:tcBorders>
              <w:top w:val="single" w:sz="4" w:space="0" w:color="auto"/>
            </w:tcBorders>
          </w:tcPr>
          <w:p w:rsidR="009E7D68" w:rsidRDefault="009E7D68" w:rsidP="00106F00">
            <w:pPr>
              <w:jc w:val="center"/>
              <w:cnfStyle w:val="000000000000" w:firstRow="0" w:lastRow="0" w:firstColumn="0" w:lastColumn="0" w:oddVBand="0" w:evenVBand="0" w:oddHBand="0" w:evenHBand="0" w:firstRowFirstColumn="0" w:firstRowLastColumn="0" w:lastRowFirstColumn="0" w:lastRowLastColumn="0"/>
            </w:pPr>
            <w:r>
              <w:t>23.6</w:t>
            </w:r>
          </w:p>
        </w:tc>
      </w:tr>
    </w:tbl>
    <w:p w:rsidR="009E7D68" w:rsidRDefault="009E7D68" w:rsidP="005526E7">
      <w:pPr>
        <w:rPr>
          <w:sz w:val="16"/>
          <w:szCs w:val="16"/>
        </w:rPr>
      </w:pPr>
      <w:r w:rsidRPr="0002337C">
        <w:rPr>
          <w:noProof/>
          <w:sz w:val="16"/>
          <w:szCs w:val="16"/>
        </w:rPr>
        <w:t xml:space="preserve">Source: </w:t>
      </w:r>
      <w:proofErr w:type="spellStart"/>
      <w:r>
        <w:rPr>
          <w:sz w:val="16"/>
          <w:szCs w:val="16"/>
        </w:rPr>
        <w:t>Specialised</w:t>
      </w:r>
      <w:proofErr w:type="spellEnd"/>
      <w:r>
        <w:rPr>
          <w:sz w:val="16"/>
          <w:szCs w:val="16"/>
        </w:rPr>
        <w:t xml:space="preserve"> mental health care facilities section of </w:t>
      </w:r>
      <w:hyperlink r:id="rId30" w:history="1">
        <w:r>
          <w:rPr>
            <w:rStyle w:val="Hyperlink"/>
            <w:sz w:val="16"/>
            <w:szCs w:val="16"/>
          </w:rPr>
          <w:t>Mental Health Services in Australia</w:t>
        </w:r>
      </w:hyperlink>
      <w:r>
        <w:rPr>
          <w:sz w:val="16"/>
          <w:szCs w:val="16"/>
        </w:rPr>
        <w:t xml:space="preserve">. </w:t>
      </w:r>
    </w:p>
    <w:p w:rsidR="009E7D68" w:rsidRDefault="009E7D68" w:rsidP="005526E7">
      <w:pPr>
        <w:rPr>
          <w:color w:val="1F497D"/>
        </w:rPr>
      </w:pPr>
      <w:r>
        <w:rPr>
          <w:sz w:val="16"/>
          <w:szCs w:val="16"/>
        </w:rPr>
        <w:t xml:space="preserve">Note: </w:t>
      </w:r>
      <w:proofErr w:type="spellStart"/>
      <w:proofErr w:type="gramStart"/>
      <w:r>
        <w:rPr>
          <w:sz w:val="16"/>
          <w:szCs w:val="16"/>
        </w:rPr>
        <w:t>n.a</w:t>
      </w:r>
      <w:proofErr w:type="spellEnd"/>
      <w:proofErr w:type="gramEnd"/>
      <w:r>
        <w:rPr>
          <w:sz w:val="16"/>
          <w:szCs w:val="16"/>
        </w:rPr>
        <w:t>. = not applicable</w:t>
      </w:r>
    </w:p>
    <w:p w:rsidR="009E7D68" w:rsidRDefault="009E7D68" w:rsidP="007871D5">
      <w:pPr>
        <w:pStyle w:val="Heading1"/>
      </w:pPr>
      <w:r>
        <w:br w:type="page"/>
      </w:r>
      <w:r>
        <w:lastRenderedPageBreak/>
        <w:t>References</w:t>
      </w:r>
    </w:p>
    <w:p w:rsidR="009E7D68" w:rsidRDefault="009E7D68" w:rsidP="00372F8C">
      <w:pPr>
        <w:tabs>
          <w:tab w:val="left" w:pos="426"/>
        </w:tabs>
        <w:jc w:val="left"/>
        <w:rPr>
          <w:noProof/>
        </w:rPr>
      </w:pPr>
      <w:bookmarkStart w:id="4" w:name="_ENREF_1"/>
      <w:r>
        <w:rPr>
          <w:noProof/>
        </w:rPr>
        <w:t>1.</w:t>
      </w:r>
      <w:r>
        <w:rPr>
          <w:noProof/>
        </w:rPr>
        <w:tab/>
        <w:t xml:space="preserve">Australian Institute of Health and Welfare. Mental health services in Australia: Specialised mental health care facilities. 2014. </w:t>
      </w:r>
      <w:r w:rsidRPr="00372F8C">
        <w:rPr>
          <w:noProof/>
        </w:rPr>
        <w:t>http://mhsa.aihw.gov.au/resources/facilities/</w:t>
      </w:r>
      <w:r>
        <w:rPr>
          <w:noProof/>
        </w:rPr>
        <w:t xml:space="preserve"> (accessed 22 November 2014).</w:t>
      </w:r>
      <w:bookmarkEnd w:id="4"/>
    </w:p>
    <w:p w:rsidR="009E7D68" w:rsidRDefault="009E7D68" w:rsidP="00372F8C">
      <w:pPr>
        <w:tabs>
          <w:tab w:val="left" w:pos="426"/>
        </w:tabs>
        <w:jc w:val="left"/>
        <w:rPr>
          <w:noProof/>
        </w:rPr>
      </w:pPr>
      <w:bookmarkStart w:id="5" w:name="_ENREF_2"/>
      <w:r>
        <w:rPr>
          <w:noProof/>
        </w:rPr>
        <w:t>2.</w:t>
      </w:r>
      <w:r>
        <w:rPr>
          <w:noProof/>
        </w:rPr>
        <w:tab/>
        <w:t xml:space="preserve">Australian Institute of Health and Welfare. Mental health services in Australia: Admitted patient mental health-related care. 2014. </w:t>
      </w:r>
      <w:r w:rsidRPr="00372F8C">
        <w:rPr>
          <w:noProof/>
        </w:rPr>
        <w:t>http://mhsa.aihw.gov.au/services/admitted-patient/</w:t>
      </w:r>
      <w:r>
        <w:rPr>
          <w:noProof/>
        </w:rPr>
        <w:t xml:space="preserve"> (accessed 19 November 2014).</w:t>
      </w:r>
      <w:bookmarkEnd w:id="5"/>
    </w:p>
    <w:p w:rsidR="009E7D68" w:rsidRDefault="009E7D68" w:rsidP="00372F8C">
      <w:pPr>
        <w:tabs>
          <w:tab w:val="left" w:pos="426"/>
        </w:tabs>
        <w:jc w:val="left"/>
        <w:rPr>
          <w:noProof/>
        </w:rPr>
      </w:pPr>
      <w:bookmarkStart w:id="6" w:name="_ENREF_3"/>
      <w:r>
        <w:rPr>
          <w:noProof/>
        </w:rPr>
        <w:t>3.</w:t>
      </w:r>
      <w:r>
        <w:rPr>
          <w:noProof/>
        </w:rPr>
        <w:tab/>
        <w:t xml:space="preserve">Australian Institute of Health and Welfare. Mental health services in Australia: Mental health services provided in emergency departments. 2014. </w:t>
      </w:r>
      <w:r w:rsidRPr="00372F8C">
        <w:rPr>
          <w:noProof/>
        </w:rPr>
        <w:t>http://mhsa.aihw.gov.au/services/emergency-departments/over-time/</w:t>
      </w:r>
      <w:r>
        <w:rPr>
          <w:noProof/>
        </w:rPr>
        <w:t xml:space="preserve"> (accessed 23 November 2014).</w:t>
      </w:r>
      <w:bookmarkEnd w:id="6"/>
    </w:p>
    <w:p w:rsidR="009E7D68" w:rsidRDefault="009E7D68" w:rsidP="00372F8C">
      <w:pPr>
        <w:tabs>
          <w:tab w:val="left" w:pos="426"/>
        </w:tabs>
        <w:jc w:val="left"/>
        <w:rPr>
          <w:noProof/>
        </w:rPr>
      </w:pPr>
      <w:bookmarkStart w:id="7" w:name="_ENREF_4"/>
      <w:r>
        <w:rPr>
          <w:noProof/>
        </w:rPr>
        <w:t>4.</w:t>
      </w:r>
      <w:r>
        <w:rPr>
          <w:noProof/>
        </w:rPr>
        <w:tab/>
        <w:t xml:space="preserve">Australian Institute of Health and Welfare. Mental health services in Australia: State and territory community mental health care services. 2014. </w:t>
      </w:r>
      <w:r w:rsidRPr="00372F8C">
        <w:rPr>
          <w:noProof/>
        </w:rPr>
        <w:t>http://mhsa.aihw.gov.au/services/community-care/</w:t>
      </w:r>
      <w:r>
        <w:rPr>
          <w:noProof/>
        </w:rPr>
        <w:t xml:space="preserve"> (accessed 20 November 2014).</w:t>
      </w:r>
      <w:bookmarkEnd w:id="7"/>
    </w:p>
    <w:p w:rsidR="009E7D68" w:rsidRDefault="009E7D68" w:rsidP="00372F8C">
      <w:pPr>
        <w:tabs>
          <w:tab w:val="left" w:pos="426"/>
        </w:tabs>
        <w:jc w:val="left"/>
        <w:rPr>
          <w:noProof/>
        </w:rPr>
      </w:pPr>
      <w:bookmarkStart w:id="8" w:name="_ENREF_5"/>
      <w:r>
        <w:rPr>
          <w:noProof/>
        </w:rPr>
        <w:t>5.</w:t>
      </w:r>
      <w:r>
        <w:rPr>
          <w:noProof/>
        </w:rPr>
        <w:tab/>
        <w:t xml:space="preserve">Australian Institute of Health and Welfare. Mental health services in Australia: Residential mental health care. 2014. </w:t>
      </w:r>
      <w:r w:rsidRPr="00372F8C">
        <w:rPr>
          <w:noProof/>
        </w:rPr>
        <w:t>http://mhsa.aihw.gov.au/services/residential-care/</w:t>
      </w:r>
      <w:r>
        <w:rPr>
          <w:noProof/>
        </w:rPr>
        <w:t xml:space="preserve"> (accessed 20 November 2014).</w:t>
      </w:r>
      <w:bookmarkEnd w:id="8"/>
    </w:p>
    <w:p w:rsidR="009E7D68" w:rsidRDefault="009E7D68" w:rsidP="00372F8C">
      <w:pPr>
        <w:tabs>
          <w:tab w:val="left" w:pos="426"/>
        </w:tabs>
        <w:jc w:val="left"/>
        <w:rPr>
          <w:noProof/>
        </w:rPr>
      </w:pPr>
      <w:bookmarkStart w:id="9" w:name="_ENREF_6"/>
      <w:r>
        <w:rPr>
          <w:noProof/>
        </w:rPr>
        <w:t>6.</w:t>
      </w:r>
      <w:r>
        <w:rPr>
          <w:noProof/>
        </w:rPr>
        <w:tab/>
        <w:t xml:space="preserve">Australian Institute of Health and Welfare. Mental health services in Australia: Mental health workforce. 2014. </w:t>
      </w:r>
      <w:r w:rsidRPr="00372F8C">
        <w:rPr>
          <w:noProof/>
        </w:rPr>
        <w:t>http://mhsa.aihw.gov.au/resources/workforce/</w:t>
      </w:r>
      <w:r>
        <w:rPr>
          <w:noProof/>
        </w:rPr>
        <w:t xml:space="preserve"> (accessed 13 June 2014).</w:t>
      </w:r>
      <w:bookmarkEnd w:id="9"/>
    </w:p>
    <w:p w:rsidR="009E7D68" w:rsidRDefault="009E7D68" w:rsidP="00372F8C">
      <w:pPr>
        <w:tabs>
          <w:tab w:val="left" w:pos="426"/>
        </w:tabs>
        <w:jc w:val="left"/>
        <w:rPr>
          <w:noProof/>
        </w:rPr>
      </w:pPr>
      <w:bookmarkStart w:id="10" w:name="_ENREF_7"/>
      <w:r>
        <w:rPr>
          <w:noProof/>
        </w:rPr>
        <w:t>7.</w:t>
      </w:r>
      <w:r>
        <w:rPr>
          <w:noProof/>
        </w:rPr>
        <w:tab/>
        <w:t xml:space="preserve">Australian Institute of Health and Welfare. Mental health services in Australia: Expenditure on mental health services. 2014. </w:t>
      </w:r>
      <w:r w:rsidRPr="00372F8C">
        <w:rPr>
          <w:noProof/>
        </w:rPr>
        <w:t>http://mhsa.aihw.gov.au/resources/expenditure/</w:t>
      </w:r>
      <w:r>
        <w:rPr>
          <w:noProof/>
        </w:rPr>
        <w:t xml:space="preserve"> (accessed 22 November 2014).</w:t>
      </w:r>
      <w:bookmarkEnd w:id="10"/>
    </w:p>
    <w:p w:rsidR="009E7D68" w:rsidRDefault="009E7D68" w:rsidP="00372F8C">
      <w:pPr>
        <w:tabs>
          <w:tab w:val="left" w:pos="426"/>
        </w:tabs>
        <w:jc w:val="left"/>
        <w:rPr>
          <w:noProof/>
        </w:rPr>
      </w:pPr>
      <w:bookmarkStart w:id="11" w:name="_ENREF_8"/>
      <w:r>
        <w:rPr>
          <w:noProof/>
        </w:rPr>
        <w:t>8.</w:t>
      </w:r>
      <w:r>
        <w:rPr>
          <w:noProof/>
        </w:rPr>
        <w:tab/>
        <w:t>National Mental Health Performance Subcommittee. Key Performance Indicators for Australian Public Mental Health Services. Second Ed. Canberra: NMHPSC, 2011.</w:t>
      </w:r>
      <w:bookmarkEnd w:id="11"/>
    </w:p>
    <w:p w:rsidR="009E7D68" w:rsidRDefault="009E7D68" w:rsidP="00372F8C">
      <w:pPr>
        <w:tabs>
          <w:tab w:val="left" w:pos="426"/>
        </w:tabs>
        <w:jc w:val="left"/>
        <w:rPr>
          <w:noProof/>
        </w:rPr>
      </w:pPr>
      <w:bookmarkStart w:id="12" w:name="_ENREF_9"/>
      <w:r>
        <w:rPr>
          <w:noProof/>
        </w:rPr>
        <w:t>9.</w:t>
      </w:r>
      <w:r>
        <w:rPr>
          <w:noProof/>
        </w:rPr>
        <w:tab/>
        <w:t xml:space="preserve">Australian Institute of Health and Welfare. Mental health services in Australia: Specialist homelessness services. 2014. </w:t>
      </w:r>
      <w:r w:rsidRPr="00372F8C">
        <w:rPr>
          <w:noProof/>
        </w:rPr>
        <w:t>http://mhsa.aihw.gov.au/services/specialist-homelessness-services/</w:t>
      </w:r>
      <w:r>
        <w:rPr>
          <w:noProof/>
        </w:rPr>
        <w:t xml:space="preserve"> (accessed 16 October 2014).</w:t>
      </w:r>
      <w:bookmarkEnd w:id="12"/>
    </w:p>
    <w:p w:rsidR="009E7D68" w:rsidRDefault="009E7D68" w:rsidP="00372F8C">
      <w:pPr>
        <w:jc w:val="left"/>
        <w:rPr>
          <w:noProof/>
        </w:rPr>
      </w:pPr>
    </w:p>
    <w:p w:rsidR="009E7D68" w:rsidRPr="006357A3" w:rsidRDefault="009E7D68" w:rsidP="00864C8C">
      <w:pPr>
        <w:tabs>
          <w:tab w:val="left" w:pos="426"/>
        </w:tabs>
        <w:jc w:val="left"/>
      </w:pPr>
    </w:p>
    <w:p w:rsidR="00003743" w:rsidRPr="00003743" w:rsidRDefault="00003743" w:rsidP="00003743">
      <w:pPr>
        <w:rPr>
          <w:rStyle w:val="IntenseReference"/>
          <w:b w:val="0"/>
          <w:bCs w:val="0"/>
          <w:i w:val="0"/>
          <w:smallCaps w:val="0"/>
          <w:color w:val="auto"/>
          <w:spacing w:val="0"/>
        </w:rPr>
      </w:pPr>
    </w:p>
    <w:sectPr w:rsidR="00003743" w:rsidRPr="00003743" w:rsidSect="000C3277">
      <w:headerReference w:type="even" r:id="rId31"/>
      <w:headerReference w:type="default" r:id="rId32"/>
      <w:footerReference w:type="even" r:id="rId33"/>
      <w:footerReference w:type="default" r:id="rId34"/>
      <w:headerReference w:type="first" r:id="rId35"/>
      <w:footerReference w:type="first" r:id="rId36"/>
      <w:pgSz w:w="11906" w:h="16838"/>
      <w:pgMar w:top="1418" w:right="1701" w:bottom="1985"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7D68" w:rsidRDefault="009E7D68" w:rsidP="009E7D68">
      <w:pPr>
        <w:spacing w:before="0"/>
      </w:pPr>
      <w:r>
        <w:separator/>
      </w:r>
    </w:p>
  </w:endnote>
  <w:endnote w:type="continuationSeparator" w:id="0">
    <w:p w:rsidR="009E7D68" w:rsidRDefault="009E7D68" w:rsidP="009E7D68">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inionPro-Regular">
    <w:altName w:val="Minion Pro"/>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00000000"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Rooney Light">
    <w:altName w:val="Calibri Light"/>
    <w:panose1 w:val="00000000000000000000"/>
    <w:charset w:val="00"/>
    <w:family w:val="swiss"/>
    <w:notTrueType/>
    <w:pitch w:val="variable"/>
    <w:sig w:usb0="00000001" w:usb1="5000204B"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3277" w:rsidRDefault="000C3277">
    <w:pPr>
      <w:pStyle w:val="Footer"/>
      <w:framePr w:wrap="notBesid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3277" w:rsidRDefault="000C3277">
    <w:pPr>
      <w:pStyle w:val="Footer"/>
      <w:framePr w:wrap="notBesid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3277" w:rsidRDefault="000C3277">
    <w:pPr>
      <w:pStyle w:val="Footer"/>
      <w:framePr w:wrap="notBesid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7D68" w:rsidRDefault="009E7D68" w:rsidP="009E7D68">
      <w:pPr>
        <w:spacing w:before="0"/>
      </w:pPr>
      <w:r>
        <w:separator/>
      </w:r>
    </w:p>
  </w:footnote>
  <w:footnote w:type="continuationSeparator" w:id="0">
    <w:p w:rsidR="009E7D68" w:rsidRDefault="009E7D68" w:rsidP="009E7D68">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3277" w:rsidRDefault="003F6207">
    <w:pPr>
      <w:pStyle w:val="Header"/>
    </w:pPr>
    <w:r w:rsidRPr="003F6207">
      <w:rPr>
        <w:noProof/>
        <w:lang w:val="en-AU"/>
      </w:rPr>
      <w:drawing>
        <wp:anchor distT="0" distB="0" distL="114300" distR="114300" simplePos="0" relativeHeight="251663360" behindDoc="1" locked="0" layoutInCell="1" allowOverlap="1" wp14:anchorId="6BA98184" wp14:editId="60DA8FF3">
          <wp:simplePos x="0" y="0"/>
          <wp:positionH relativeFrom="page">
            <wp:posOffset>0</wp:posOffset>
          </wp:positionH>
          <wp:positionV relativeFrom="page">
            <wp:posOffset>8609076</wp:posOffset>
          </wp:positionV>
          <wp:extent cx="7560000" cy="1618693"/>
          <wp:effectExtent l="0" t="0" r="3175" b="635"/>
          <wp:wrapNone/>
          <wp:docPr id="3" name="Picture 3" title="Footer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_0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1618693"/>
                  </a:xfrm>
                  <a:prstGeom prst="rect">
                    <a:avLst/>
                  </a:prstGeom>
                  <a:extLst>
                    <a:ext uri="{FAA26D3D-D897-4be2-8F04-BA451C77F1D7}">
                      <ma14:placeholderFlag xmlns:w15="http://schemas.microsoft.com/office/word/2012/wordml"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ve="http://schemas.openxmlformats.org/markup-compatibility/2006"/>
                    </a:ext>
                  </a:extLst>
                </pic:spPr>
              </pic:pic>
            </a:graphicData>
          </a:graphic>
          <wp14:sizeRelH relativeFrom="margin">
            <wp14:pctWidth>0</wp14:pctWidth>
          </wp14:sizeRelH>
          <wp14:sizeRelV relativeFrom="margin">
            <wp14:pctHeight>0</wp14:pctHeight>
          </wp14:sizeRelV>
        </wp:anchor>
      </w:drawing>
    </w:r>
    <w:r w:rsidRPr="003F6207">
      <w:rPr>
        <w:noProof/>
        <w:lang w:val="en-AU"/>
      </w:rPr>
      <mc:AlternateContent>
        <mc:Choice Requires="wps">
          <w:drawing>
            <wp:anchor distT="0" distB="0" distL="114300" distR="114300" simplePos="0" relativeHeight="251664384" behindDoc="0" locked="0" layoutInCell="1" allowOverlap="1" wp14:anchorId="666FB238" wp14:editId="66150BFF">
              <wp:simplePos x="0" y="0"/>
              <wp:positionH relativeFrom="page">
                <wp:posOffset>0</wp:posOffset>
              </wp:positionH>
              <wp:positionV relativeFrom="page">
                <wp:posOffset>10221595</wp:posOffset>
              </wp:positionV>
              <wp:extent cx="7560000" cy="4608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000" cy="460800"/>
                      </a:xfrm>
                      <a:prstGeom prst="rect">
                        <a:avLst/>
                      </a:prstGeom>
                      <a:noFill/>
                      <a:ln>
                        <a:noFill/>
                      </a:ln>
                      <a:effectLst/>
                      <a:extLst>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rsidR="003F6207" w:rsidRDefault="003F6207" w:rsidP="003F6207">
                          <w:pPr>
                            <w:pStyle w:val="Footer"/>
                          </w:pPr>
                          <w:r>
                            <w:t>National Review of Mental Health Programmes and Services – 30 November 2014 – Volume 4 – Paper 3</w:t>
                          </w:r>
                        </w:p>
                        <w:p w:rsidR="003F6207" w:rsidRPr="00865BCD" w:rsidRDefault="003F6207" w:rsidP="003F620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0;margin-top:804.85pt;width:595.3pt;height:36.3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" filled="f" stroked="f">
              <v:path arrowok="t"/>
              <v:textbox>
                <w:txbxContent>
                  <w:p w:rsidR="003F6207" w:rsidRDefault="003F6207" w:rsidP="003F6207">
                    <w:pPr>
                      <w:pStyle w:val="Footer"/>
                    </w:pPr>
                    <w:r>
                      <w:t>National Review of Mental Health Programmes and Services – 30 November 2014 – Volume 4 – Paper 3</w:t>
                    </w:r>
                  </w:p>
                  <w:p w:rsidR="003F6207" w:rsidRPr="00865BCD" w:rsidRDefault="003F6207" w:rsidP="003F6207">
                    <w:pPr>
                      <w:pStyle w:val="FooterChar"/>
                    </w:pPr>
                  </w:p>
                </w:txbxContent>
              </v:textbox>
              <w10:wrap anchorx="page" anchory="page"/>
            </v:shape>
          </w:pict>
        </mc:Fallback>
      </mc:AlternateContent>
    </w:r>
    <w:r w:rsidRPr="003F6207">
      <w:rPr>
        <w:noProof/>
        <w:lang w:val="en-AU"/>
      </w:rPr>
      <mc:AlternateContent>
        <mc:Choice Requires="wps">
          <w:drawing>
            <wp:anchor distT="0" distB="0" distL="114300" distR="114300" simplePos="0" relativeHeight="251665408" behindDoc="0" locked="0" layoutInCell="1" allowOverlap="1" wp14:anchorId="79344483" wp14:editId="65353D70">
              <wp:simplePos x="0" y="0"/>
              <wp:positionH relativeFrom="page">
                <wp:posOffset>374650</wp:posOffset>
              </wp:positionH>
              <wp:positionV relativeFrom="page">
                <wp:posOffset>9490710</wp:posOffset>
              </wp:positionV>
              <wp:extent cx="529200" cy="529200"/>
              <wp:effectExtent l="0" t="0" r="0" b="444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9200" cy="529200"/>
                      </a:xfrm>
                      <a:prstGeom prst="rect">
                        <a:avLst/>
                      </a:prstGeom>
                      <a:noFill/>
                      <a:ln w="6350">
                        <a:noFill/>
                      </a:ln>
                      <a:effectLst/>
                      <a:extLst>
                        <a:ext uri="{C572A759-6A51-4108-AA02-DFA0A04FC94B}"/>
                      </a:extLst>
                    </wps:spPr>
                    <wps:style>
                      <a:lnRef idx="2">
                        <a:schemeClr val="accent1"/>
                      </a:lnRef>
                      <a:fillRef idx="1">
                        <a:schemeClr val="lt1"/>
                      </a:fillRef>
                      <a:effectRef idx="0">
                        <a:schemeClr val="accent1"/>
                      </a:effectRef>
                      <a:fontRef idx="minor">
                        <a:schemeClr val="dk1"/>
                      </a:fontRef>
                    </wps:style>
                    <wps:txbx>
                      <w:txbxContent>
                        <w:p w:rsidR="003F6207" w:rsidRPr="003F6207" w:rsidRDefault="003F6207" w:rsidP="003F6207">
                          <w:pPr>
                            <w:jc w:val="center"/>
                            <w:rPr>
                              <w:rStyle w:val="PageNumber"/>
                            </w:rPr>
                          </w:pPr>
                          <w:r w:rsidRPr="003F6207">
                            <w:rPr>
                              <w:rStyle w:val="PageNumber"/>
                            </w:rPr>
                            <w:fldChar w:fldCharType="begin"/>
                          </w:r>
                          <w:r w:rsidRPr="003F6207">
                            <w:rPr>
                              <w:rStyle w:val="PageNumber"/>
                            </w:rPr>
                            <w:instrText xml:space="preserve">PAGE  </w:instrText>
                          </w:r>
                          <w:r w:rsidRPr="003F6207">
                            <w:rPr>
                              <w:rStyle w:val="PageNumber"/>
                            </w:rPr>
                            <w:fldChar w:fldCharType="separate"/>
                          </w:r>
                          <w:r w:rsidR="0092590B">
                            <w:rPr>
                              <w:rStyle w:val="PageNumber"/>
                              <w:noProof/>
                            </w:rPr>
                            <w:t>16</w:t>
                          </w:r>
                          <w:r w:rsidRPr="003F6207">
                            <w:rPr>
                              <w:rStyle w:val="PageNumber"/>
                            </w:rPr>
                            <w:fldChar w:fldCharType="end"/>
                          </w:r>
                        </w:p>
                      </w:txbxContent>
                    </wps:txbx>
                    <wps:bodyPr rot="0" spcFirstLastPara="0" vertOverflow="overflow" horzOverflow="overflow" vert="horz" wrap="square" lIns="10800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left:0;text-align:left;margin-left:29.5pt;margin-top:747.3pt;width:41.65pt;height:41.6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" filled="f" stroked="f" strokeweight=".5pt">
              <v:path arrowok="t"/>
              <v:textbox inset="3mm">
                <w:txbxContent>
                  <w:p w:rsidR="003F6207" w:rsidRPr="003F6207" w:rsidRDefault="003F6207" w:rsidP="003F6207">
                    <w:pPr>
                      <w:jc w:val="center"/>
                      <w:rPr>
                        <w:rStyle w:val="PageNumber"/>
                      </w:rPr>
                    </w:pPr>
                    <w:r w:rsidRPr="003F6207">
                      <w:rPr>
                        <w:rStyle w:val="PageNumber"/>
                      </w:rPr>
                      <w:fldChar w:fldCharType="begin"/>
                    </w:r>
                    <w:r w:rsidRPr="003F6207">
                      <w:rPr>
                        <w:rStyle w:val="PageNumber"/>
                      </w:rPr>
                      <w:instrText xml:space="preserve">PAGE  </w:instrText>
                    </w:r>
                    <w:r w:rsidRPr="003F6207">
                      <w:rPr>
                        <w:rStyle w:val="PageNumber"/>
                      </w:rPr>
                      <w:fldChar w:fldCharType="separate"/>
                    </w:r>
                    <w:r w:rsidR="0092590B">
                      <w:rPr>
                        <w:rStyle w:val="PageNumber"/>
                        <w:noProof/>
                      </w:rPr>
                      <w:t>16</w:t>
                    </w:r>
                    <w:r w:rsidRPr="003F6207">
                      <w:rPr>
                        <w:rStyle w:val="PageNumber"/>
                      </w:rPr>
                      <w:fldChar w:fldCharType="end"/>
                    </w:r>
                  </w:p>
                </w:txbxContent>
              </v:textbox>
              <w10:wrap anchorx="page" anchory="page"/>
            </v:shape>
          </w:pict>
        </mc:Fallback>
      </mc:AlternateContent>
    </w:r>
    <w:bookmarkStart w:id="13" w:name="_GoBack"/>
    <w:bookmarkEnd w:id="13"/>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25E1" w:rsidRDefault="00872749">
    <w:pPr>
      <w:pStyle w:val="Header"/>
    </w:pPr>
    <w:r>
      <w:rPr>
        <w:noProof/>
        <w:lang w:val="en-AU"/>
      </w:rPr>
      <mc:AlternateContent>
        <mc:Choice Requires="wps">
          <w:drawing>
            <wp:anchor distT="0" distB="0" distL="114300" distR="114300" simplePos="0" relativeHeight="251661312" behindDoc="0" locked="0" layoutInCell="1" allowOverlap="1" wp14:anchorId="115C1F1C" wp14:editId="16222C06">
              <wp:simplePos x="0" y="0"/>
              <wp:positionH relativeFrom="page">
                <wp:posOffset>6624955</wp:posOffset>
              </wp:positionH>
              <wp:positionV relativeFrom="page">
                <wp:posOffset>9490710</wp:posOffset>
              </wp:positionV>
              <wp:extent cx="529200" cy="529200"/>
              <wp:effectExtent l="0" t="0" r="0" b="4445"/>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9200" cy="529200"/>
                      </a:xfrm>
                      <a:prstGeom prst="rect">
                        <a:avLst/>
                      </a:prstGeom>
                      <a:noFill/>
                      <a:ln w="6350">
                        <a:noFill/>
                      </a:ln>
                      <a:effectLst/>
                      <a:extLst>
                        <a:ext uri="{C572A759-6A51-4108-AA02-DFA0A04FC94B}"/>
                      </a:extLst>
                    </wps:spPr>
                    <wps:style>
                      <a:lnRef idx="2">
                        <a:schemeClr val="accent1"/>
                      </a:lnRef>
                      <a:fillRef idx="1">
                        <a:schemeClr val="lt1"/>
                      </a:fillRef>
                      <a:effectRef idx="0">
                        <a:schemeClr val="accent1"/>
                      </a:effectRef>
                      <a:fontRef idx="minor">
                        <a:schemeClr val="dk1"/>
                      </a:fontRef>
                    </wps:style>
                    <wps:txbx>
                      <w:txbxContent>
                        <w:p w:rsidR="009525E1" w:rsidRPr="003F6207" w:rsidRDefault="00872749" w:rsidP="005D6061">
                          <w:pPr>
                            <w:jc w:val="center"/>
                            <w:rPr>
                              <w:rStyle w:val="PageNumber"/>
                            </w:rPr>
                          </w:pPr>
                          <w:r w:rsidRPr="003F6207">
                            <w:rPr>
                              <w:rStyle w:val="PageNumber"/>
                            </w:rPr>
                            <w:fldChar w:fldCharType="begin"/>
                          </w:r>
                          <w:r w:rsidRPr="003F6207">
                            <w:rPr>
                              <w:rStyle w:val="PageNumber"/>
                            </w:rPr>
                            <w:instrText xml:space="preserve">PAGE  </w:instrText>
                          </w:r>
                          <w:r w:rsidRPr="003F6207">
                            <w:rPr>
                              <w:rStyle w:val="PageNumber"/>
                            </w:rPr>
                            <w:fldChar w:fldCharType="separate"/>
                          </w:r>
                          <w:r w:rsidR="0092590B">
                            <w:rPr>
                              <w:rStyle w:val="PageNumber"/>
                              <w:noProof/>
                            </w:rPr>
                            <w:t>15</w:t>
                          </w:r>
                          <w:r w:rsidRPr="003F6207">
                            <w:rPr>
                              <w:rStyle w:val="PageNumber"/>
                            </w:rPr>
                            <w:fldChar w:fldCharType="end"/>
                          </w:r>
                        </w:p>
                      </w:txbxContent>
                    </wps:txbx>
                    <wps:bodyPr rot="0" spcFirstLastPara="0" vertOverflow="overflow" horzOverflow="overflow" vert="horz" wrap="square" lIns="10800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1" o:spid="_x0000_s1028" type="#_x0000_t202" style="position:absolute;left:0;text-align:left;margin-left:521.65pt;margin-top:747.3pt;width:41.65pt;height:41.6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" filled="f" stroked="f" strokeweight=".5pt">
              <v:path arrowok="t"/>
              <v:textbox inset="3mm">
                <w:txbxContent>
                  <w:p w:rsidR="009525E1" w:rsidRPr="003F6207" w:rsidRDefault="00872749" w:rsidP="005D6061">
                    <w:pPr>
                      <w:jc w:val="center"/>
                      <w:rPr>
                        <w:rStyle w:val="PageNumber"/>
                      </w:rPr>
                    </w:pPr>
                    <w:r w:rsidRPr="003F6207">
                      <w:rPr>
                        <w:rStyle w:val="PageNumber"/>
                      </w:rPr>
                      <w:fldChar w:fldCharType="begin"/>
                    </w:r>
                    <w:r w:rsidRPr="003F6207">
                      <w:rPr>
                        <w:rStyle w:val="PageNumber"/>
                      </w:rPr>
                      <w:instrText xml:space="preserve">PAGE  </w:instrText>
                    </w:r>
                    <w:r w:rsidRPr="003F6207">
                      <w:rPr>
                        <w:rStyle w:val="PageNumber"/>
                      </w:rPr>
                      <w:fldChar w:fldCharType="separate"/>
                    </w:r>
                    <w:r w:rsidR="0092590B">
                      <w:rPr>
                        <w:rStyle w:val="PageNumber"/>
                        <w:noProof/>
                      </w:rPr>
                      <w:t>15</w:t>
                    </w:r>
                    <w:r w:rsidRPr="003F6207">
                      <w:rPr>
                        <w:rStyle w:val="PageNumber"/>
                      </w:rPr>
                      <w:fldChar w:fldCharType="end"/>
                    </w:r>
                  </w:p>
                </w:txbxContent>
              </v:textbox>
              <w10:wrap anchorx="page" anchory="page"/>
            </v:shape>
          </w:pict>
        </mc:Fallback>
      </mc:AlternateContent>
    </w:r>
    <w:r>
      <w:rPr>
        <w:noProof/>
        <w:lang w:val="en-AU"/>
      </w:rPr>
      <w:drawing>
        <wp:anchor distT="0" distB="0" distL="114300" distR="114300" simplePos="0" relativeHeight="251659264" behindDoc="1" locked="0" layoutInCell="1" allowOverlap="1" wp14:anchorId="37FF9428" wp14:editId="62E3A24A">
          <wp:simplePos x="0" y="0"/>
          <wp:positionH relativeFrom="page">
            <wp:posOffset>0</wp:posOffset>
          </wp:positionH>
          <wp:positionV relativeFrom="page">
            <wp:posOffset>8604885</wp:posOffset>
          </wp:positionV>
          <wp:extent cx="7560000" cy="1620000"/>
          <wp:effectExtent l="0" t="0" r="3175" b="0"/>
          <wp:wrapNone/>
          <wp:docPr id="14" name="Picture 14" title="Footer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_02.png"/>
                  <pic:cNvPicPr/>
                </pic:nvPicPr>
                <pic:blipFill>
                  <a:blip r:embed="rId1">
                    <a:extLst>
                      <a:ext uri="{28A0092B-C50C-407E-A947-70E740481C1C}">
                        <a14:useLocalDpi xmlns:a14="http://schemas.microsoft.com/office/drawing/2010/main" val="0"/>
                      </a:ext>
                    </a:extLst>
                  </a:blip>
                  <a:stretch>
                    <a:fillRect/>
                  </a:stretch>
                </pic:blipFill>
                <pic:spPr>
                  <a:xfrm>
                    <a:off x="0" y="0"/>
                    <a:ext cx="7560000" cy="1620000"/>
                  </a:xfrm>
                  <a:prstGeom prst="rect">
                    <a:avLst/>
                  </a:prstGeom>
                  <a:extLst>
                    <a:ext uri="{FAA26D3D-D897-4be2-8F04-BA451C77F1D7}">
                      <ma14:placeholderFlag xmlns:w15="http://schemas.microsoft.com/office/word/2012/wordml"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ve="http://schemas.openxmlformats.org/markup-compatibility/2006"/>
                    </a:ext>
                  </a:extLst>
                </pic:spPr>
              </pic:pic>
            </a:graphicData>
          </a:graphic>
          <wp14:sizeRelH relativeFrom="margin">
            <wp14:pctWidth>0</wp14:pctWidth>
          </wp14:sizeRelH>
          <wp14:sizeRelV relativeFrom="margin">
            <wp14:pctHeight>0</wp14:pctHeight>
          </wp14:sizeRelV>
        </wp:anchor>
      </w:drawing>
    </w:r>
    <w:r>
      <w:rPr>
        <w:noProof/>
        <w:lang w:val="en-AU"/>
      </w:rPr>
      <mc:AlternateContent>
        <mc:Choice Requires="wps">
          <w:drawing>
            <wp:anchor distT="0" distB="0" distL="114300" distR="114300" simplePos="0" relativeHeight="251660288" behindDoc="0" locked="0" layoutInCell="1" allowOverlap="1" wp14:anchorId="51D5CFF7" wp14:editId="129823D4">
              <wp:simplePos x="0" y="0"/>
              <wp:positionH relativeFrom="page">
                <wp:posOffset>0</wp:posOffset>
              </wp:positionH>
              <wp:positionV relativeFrom="page">
                <wp:posOffset>10221595</wp:posOffset>
              </wp:positionV>
              <wp:extent cx="7560000" cy="460800"/>
              <wp:effectExtent l="0" t="0" r="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000" cy="460800"/>
                      </a:xfrm>
                      <a:prstGeom prst="rect">
                        <a:avLst/>
                      </a:prstGeom>
                      <a:noFill/>
                      <a:ln>
                        <a:noFill/>
                      </a:ln>
                      <a:effectLst/>
                      <a:extLst>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rsidR="00AE2036" w:rsidRDefault="00872749" w:rsidP="005D6061">
                          <w:pPr>
                            <w:pStyle w:val="Footer"/>
                          </w:pPr>
                          <w:r>
                            <w:t>National Review of Mental Health Programmes and Services – 30 November 2014 – Volume 4 – Paper 3</w:t>
                          </w:r>
                        </w:p>
                        <w:p w:rsidR="009525E1" w:rsidRPr="00865BCD" w:rsidRDefault="0092590B" w:rsidP="005D6061">
                          <w:pPr>
                            <w:pStyle w:val="Foo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29" type="#_x0000_t202" style="position:absolute;left:0;text-align:left;margin-left:0;margin-top:804.85pt;width:595.3pt;height:36.3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" filled="f" stroked="f">
              <v:path arrowok="t"/>
              <v:textbox>
                <w:txbxContent>
                  <w:p w:rsidR="00AE2036" w:rsidRDefault="00872749" w:rsidP="005D6061">
                    <w:pPr>
                      <w:pStyle w:val="Footer"/>
                    </w:pPr>
                    <w:r>
                      <w:t>National Review of Mental Health Programmes and Services – 30 November 2014 – Volume 4 – Paper 3</w:t>
                    </w:r>
                  </w:p>
                  <w:p w:rsidR="009525E1" w:rsidRPr="00865BCD" w:rsidRDefault="003F6207" w:rsidP="005D6061">
                    <w:pPr>
                      <w:pStyle w:val="Footer"/>
                    </w:pP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3277" w:rsidRDefault="000C32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8A62068"/>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2B8F854"/>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37C61C4E"/>
    <w:lvl w:ilvl="0">
      <w:start w:val="1"/>
      <w:numFmt w:val="decimal"/>
      <w:pStyle w:val="ListNumber3"/>
      <w:lvlText w:val="%1."/>
      <w:lvlJc w:val="left"/>
      <w:pPr>
        <w:tabs>
          <w:tab w:val="num" w:pos="926"/>
        </w:tabs>
        <w:ind w:left="926" w:hanging="360"/>
      </w:pPr>
    </w:lvl>
  </w:abstractNum>
  <w:abstractNum w:abstractNumId="3">
    <w:nsid w:val="FFFFFF7F"/>
    <w:multiLevelType w:val="singleLevel"/>
    <w:tmpl w:val="7CC621E2"/>
    <w:lvl w:ilvl="0">
      <w:start w:val="1"/>
      <w:numFmt w:val="decimal"/>
      <w:pStyle w:val="ListNumber2"/>
      <w:lvlText w:val="%1."/>
      <w:lvlJc w:val="left"/>
      <w:pPr>
        <w:tabs>
          <w:tab w:val="num" w:pos="643"/>
        </w:tabs>
        <w:ind w:left="643" w:hanging="360"/>
      </w:pPr>
    </w:lvl>
  </w:abstractNum>
  <w:abstractNum w:abstractNumId="4">
    <w:nsid w:val="FFFFFF80"/>
    <w:multiLevelType w:val="singleLevel"/>
    <w:tmpl w:val="A57AB570"/>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2194B0B8"/>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F3327CF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FD8CAC9C"/>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ABF2F242"/>
    <w:lvl w:ilvl="0">
      <w:start w:val="1"/>
      <w:numFmt w:val="decimal"/>
      <w:pStyle w:val="ListNumber"/>
      <w:lvlText w:val="%1."/>
      <w:lvlJc w:val="left"/>
      <w:pPr>
        <w:tabs>
          <w:tab w:val="num" w:pos="360"/>
        </w:tabs>
        <w:ind w:left="360" w:hanging="360"/>
      </w:pPr>
    </w:lvl>
  </w:abstractNum>
  <w:abstractNum w:abstractNumId="9">
    <w:nsid w:val="FFFFFF89"/>
    <w:multiLevelType w:val="singleLevel"/>
    <w:tmpl w:val="650291E6"/>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8F26DA"/>
    <w:multiLevelType w:val="multilevel"/>
    <w:tmpl w:val="0C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028436BE"/>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pStyle w:val="Heading7"/>
      <w:lvlText w:val="%1.%2.%3.%4.%5.%6.%7."/>
      <w:lvlJc w:val="left"/>
      <w:pPr>
        <w:tabs>
          <w:tab w:val="num" w:pos="3600"/>
        </w:tabs>
        <w:ind w:left="3240" w:hanging="1080"/>
      </w:pPr>
    </w:lvl>
    <w:lvl w:ilvl="7">
      <w:start w:val="1"/>
      <w:numFmt w:val="decimal"/>
      <w:pStyle w:val="Heading8"/>
      <w:lvlText w:val="%1.%2.%3.%4.%5.%6.%7.%8."/>
      <w:lvlJc w:val="left"/>
      <w:pPr>
        <w:tabs>
          <w:tab w:val="num" w:pos="4320"/>
        </w:tabs>
        <w:ind w:left="3744" w:hanging="1224"/>
      </w:pPr>
    </w:lvl>
    <w:lvl w:ilvl="8">
      <w:start w:val="1"/>
      <w:numFmt w:val="decimal"/>
      <w:pStyle w:val="Heading9"/>
      <w:lvlText w:val="%1.%2.%3.%4.%5.%6.%7.%8.%9."/>
      <w:lvlJc w:val="left"/>
      <w:pPr>
        <w:tabs>
          <w:tab w:val="num" w:pos="4680"/>
        </w:tabs>
        <w:ind w:left="4320" w:hanging="1440"/>
      </w:pPr>
    </w:lvl>
  </w:abstractNum>
  <w:abstractNum w:abstractNumId="12">
    <w:nsid w:val="14B341AC"/>
    <w:multiLevelType w:val="hybridMultilevel"/>
    <w:tmpl w:val="57AE1FDC"/>
    <w:lvl w:ilvl="0" w:tplc="6400C8F6">
      <w:start w:val="1"/>
      <w:numFmt w:val="bullet"/>
      <w:pStyle w:val="Bullet1"/>
      <w:lvlText w:val="•"/>
      <w:lvlJc w:val="left"/>
      <w:pPr>
        <w:tabs>
          <w:tab w:val="num" w:pos="397"/>
        </w:tabs>
        <w:ind w:left="397" w:hanging="397"/>
      </w:pPr>
      <w:rPr>
        <w:rFonts w:ascii="Book Antiqua" w:hAnsi="Book Antiqua" w:hint="default"/>
        <w:b w:val="0"/>
        <w:i w:val="0"/>
        <w:color w:val="000000"/>
        <w:sz w:val="22"/>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nsid w:val="218C3CC0"/>
    <w:multiLevelType w:val="hybridMultilevel"/>
    <w:tmpl w:val="CC3C9E0C"/>
    <w:lvl w:ilvl="0" w:tplc="1020E9AA">
      <w:start w:val="1"/>
      <w:numFmt w:val="bullet"/>
      <w:pStyle w:val="ListParagraph"/>
      <w:lvlText w:val=""/>
      <w:lvlJc w:val="left"/>
      <w:pPr>
        <w:ind w:left="720" w:hanging="360"/>
      </w:pPr>
      <w:rPr>
        <w:rFonts w:ascii="Symbol" w:hAnsi="Symbol" w:hint="default"/>
        <w:color w:val="72D0F4"/>
      </w:rPr>
    </w:lvl>
    <w:lvl w:ilvl="1" w:tplc="6090D72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A5916B4"/>
    <w:multiLevelType w:val="hybridMultilevel"/>
    <w:tmpl w:val="870658F4"/>
    <w:lvl w:ilvl="0" w:tplc="105C0ADE">
      <w:start w:val="1"/>
      <w:numFmt w:val="bullet"/>
      <w:pStyle w:val="BoxBullet1"/>
      <w:lvlText w:val=""/>
      <w:lvlJc w:val="left"/>
      <w:pPr>
        <w:tabs>
          <w:tab w:val="num" w:pos="964"/>
        </w:tabs>
        <w:ind w:left="964" w:hanging="720"/>
      </w:pPr>
      <w:rPr>
        <w:rFonts w:ascii="Symbol" w:hAnsi="Symbol" w:hint="default"/>
      </w:rPr>
    </w:lvl>
    <w:lvl w:ilvl="1" w:tplc="0C090003" w:tentative="1">
      <w:start w:val="1"/>
      <w:numFmt w:val="bullet"/>
      <w:lvlText w:val="o"/>
      <w:lvlJc w:val="left"/>
      <w:pPr>
        <w:tabs>
          <w:tab w:val="num" w:pos="1429"/>
        </w:tabs>
        <w:ind w:left="1429" w:hanging="360"/>
      </w:pPr>
      <w:rPr>
        <w:rFonts w:ascii="Courier New" w:hAnsi="Courier New" w:cs="Courier New" w:hint="default"/>
      </w:rPr>
    </w:lvl>
    <w:lvl w:ilvl="2" w:tplc="0C090005" w:tentative="1">
      <w:start w:val="1"/>
      <w:numFmt w:val="bullet"/>
      <w:lvlText w:val=""/>
      <w:lvlJc w:val="left"/>
      <w:pPr>
        <w:tabs>
          <w:tab w:val="num" w:pos="2149"/>
        </w:tabs>
        <w:ind w:left="2149" w:hanging="360"/>
      </w:pPr>
      <w:rPr>
        <w:rFonts w:ascii="Wingdings" w:hAnsi="Wingdings" w:hint="default"/>
      </w:rPr>
    </w:lvl>
    <w:lvl w:ilvl="3" w:tplc="0C090001" w:tentative="1">
      <w:start w:val="1"/>
      <w:numFmt w:val="bullet"/>
      <w:lvlText w:val=""/>
      <w:lvlJc w:val="left"/>
      <w:pPr>
        <w:tabs>
          <w:tab w:val="num" w:pos="2869"/>
        </w:tabs>
        <w:ind w:left="2869" w:hanging="360"/>
      </w:pPr>
      <w:rPr>
        <w:rFonts w:ascii="Symbol" w:hAnsi="Symbol" w:hint="default"/>
      </w:rPr>
    </w:lvl>
    <w:lvl w:ilvl="4" w:tplc="0C090003" w:tentative="1">
      <w:start w:val="1"/>
      <w:numFmt w:val="bullet"/>
      <w:lvlText w:val="o"/>
      <w:lvlJc w:val="left"/>
      <w:pPr>
        <w:tabs>
          <w:tab w:val="num" w:pos="3589"/>
        </w:tabs>
        <w:ind w:left="3589" w:hanging="360"/>
      </w:pPr>
      <w:rPr>
        <w:rFonts w:ascii="Courier New" w:hAnsi="Courier New" w:cs="Courier New" w:hint="default"/>
      </w:rPr>
    </w:lvl>
    <w:lvl w:ilvl="5" w:tplc="0C090005" w:tentative="1">
      <w:start w:val="1"/>
      <w:numFmt w:val="bullet"/>
      <w:lvlText w:val=""/>
      <w:lvlJc w:val="left"/>
      <w:pPr>
        <w:tabs>
          <w:tab w:val="num" w:pos="4309"/>
        </w:tabs>
        <w:ind w:left="4309" w:hanging="360"/>
      </w:pPr>
      <w:rPr>
        <w:rFonts w:ascii="Wingdings" w:hAnsi="Wingdings" w:hint="default"/>
      </w:rPr>
    </w:lvl>
    <w:lvl w:ilvl="6" w:tplc="0C090001" w:tentative="1">
      <w:start w:val="1"/>
      <w:numFmt w:val="bullet"/>
      <w:lvlText w:val=""/>
      <w:lvlJc w:val="left"/>
      <w:pPr>
        <w:tabs>
          <w:tab w:val="num" w:pos="5029"/>
        </w:tabs>
        <w:ind w:left="5029" w:hanging="360"/>
      </w:pPr>
      <w:rPr>
        <w:rFonts w:ascii="Symbol" w:hAnsi="Symbol" w:hint="default"/>
      </w:rPr>
    </w:lvl>
    <w:lvl w:ilvl="7" w:tplc="0C090003" w:tentative="1">
      <w:start w:val="1"/>
      <w:numFmt w:val="bullet"/>
      <w:lvlText w:val="o"/>
      <w:lvlJc w:val="left"/>
      <w:pPr>
        <w:tabs>
          <w:tab w:val="num" w:pos="5749"/>
        </w:tabs>
        <w:ind w:left="5749" w:hanging="360"/>
      </w:pPr>
      <w:rPr>
        <w:rFonts w:ascii="Courier New" w:hAnsi="Courier New" w:cs="Courier New" w:hint="default"/>
      </w:rPr>
    </w:lvl>
    <w:lvl w:ilvl="8" w:tplc="0C090005" w:tentative="1">
      <w:start w:val="1"/>
      <w:numFmt w:val="bullet"/>
      <w:lvlText w:val=""/>
      <w:lvlJc w:val="left"/>
      <w:pPr>
        <w:tabs>
          <w:tab w:val="num" w:pos="6469"/>
        </w:tabs>
        <w:ind w:left="6469" w:hanging="360"/>
      </w:pPr>
      <w:rPr>
        <w:rFonts w:ascii="Wingdings" w:hAnsi="Wingdings" w:hint="default"/>
      </w:rPr>
    </w:lvl>
  </w:abstractNum>
  <w:abstractNum w:abstractNumId="15">
    <w:nsid w:val="3EEE64F6"/>
    <w:multiLevelType w:val="hybridMultilevel"/>
    <w:tmpl w:val="E3C4755A"/>
    <w:lvl w:ilvl="0" w:tplc="F146C120">
      <w:start w:val="1"/>
      <w:numFmt w:val="bullet"/>
      <w:lvlText w:val="–"/>
      <w:lvlJc w:val="left"/>
      <w:pPr>
        <w:tabs>
          <w:tab w:val="num" w:pos="794"/>
        </w:tabs>
        <w:ind w:left="794" w:hanging="397"/>
      </w:pPr>
      <w:rPr>
        <w:rFonts w:ascii="Book Antiqua" w:hAnsi="Book Antiqua" w:hint="default"/>
        <w:b w:val="0"/>
        <w:i w:val="0"/>
        <w:color w:val="000000"/>
        <w:sz w:val="22"/>
      </w:rPr>
    </w:lvl>
    <w:lvl w:ilvl="1" w:tplc="6D00F300">
      <w:start w:val="1"/>
      <w:numFmt w:val="bullet"/>
      <w:pStyle w:val="Bullet3"/>
      <w:lvlText w:val=""/>
      <w:lvlJc w:val="left"/>
      <w:pPr>
        <w:tabs>
          <w:tab w:val="num" w:pos="1440"/>
        </w:tabs>
        <w:ind w:left="1440" w:hanging="360"/>
      </w:pPr>
      <w:rPr>
        <w:rFonts w:ascii="Symbol" w:hAnsi="Symbo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nsid w:val="5F55010A"/>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6D7318A7"/>
    <w:multiLevelType w:val="hybridMultilevel"/>
    <w:tmpl w:val="8B68B71A"/>
    <w:lvl w:ilvl="0" w:tplc="F146C120">
      <w:start w:val="1"/>
      <w:numFmt w:val="bullet"/>
      <w:pStyle w:val="Bullet2"/>
      <w:lvlText w:val="–"/>
      <w:lvlJc w:val="left"/>
      <w:pPr>
        <w:tabs>
          <w:tab w:val="num" w:pos="794"/>
        </w:tabs>
        <w:ind w:left="794" w:hanging="397"/>
      </w:pPr>
      <w:rPr>
        <w:rFonts w:ascii="Book Antiqua" w:hAnsi="Book Antiqua" w:hint="default"/>
        <w:b w:val="0"/>
        <w:i w:val="0"/>
        <w:color w:val="000000"/>
        <w:sz w:val="22"/>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12"/>
  </w:num>
  <w:num w:numId="3">
    <w:abstractNumId w:val="17"/>
  </w:num>
  <w:num w:numId="4">
    <w:abstractNumId w:val="11"/>
  </w:num>
  <w:num w:numId="5">
    <w:abstractNumId w:val="16"/>
  </w:num>
  <w:num w:numId="6">
    <w:abstractNumId w:val="10"/>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4"/>
  </w:num>
  <w:num w:numId="18">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9E7D68"/>
    <w:rsid w:val="00003743"/>
    <w:rsid w:val="00067456"/>
    <w:rsid w:val="000C3277"/>
    <w:rsid w:val="001B3443"/>
    <w:rsid w:val="001E3983"/>
    <w:rsid w:val="0030786C"/>
    <w:rsid w:val="003D17F9"/>
    <w:rsid w:val="003F6207"/>
    <w:rsid w:val="004867E2"/>
    <w:rsid w:val="008264EB"/>
    <w:rsid w:val="00872749"/>
    <w:rsid w:val="0092590B"/>
    <w:rsid w:val="009E7D68"/>
    <w:rsid w:val="00A4512D"/>
    <w:rsid w:val="00A705AF"/>
    <w:rsid w:val="00B42851"/>
    <w:rsid w:val="00CB5B1A"/>
    <w:rsid w:val="00F41AC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semiHidden="1" w:unhideWhenUsed="1" w:qFormat="1"/>
    <w:lsdException w:name="heading 8" w:semiHidden="1" w:unhideWhenUsed="1" w:qFormat="1"/>
    <w:lsdException w:name="heading 9" w:semiHidden="1" w:unhideWhenUsed="1" w:qFormat="1"/>
    <w:lsdException w:name="toc 1" w:uiPriority="9"/>
    <w:lsdException w:name="toc 2" w:uiPriority="9"/>
    <w:lsdException w:name="toc 3" w:uiPriority="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21"/>
    <w:lsdException w:name="annotation text" w:uiPriority="21"/>
    <w:lsdException w:name="header" w:uiPriority="99"/>
    <w:lsdException w:name="footer" w:uiPriority="99"/>
    <w:lsdException w:name="caption" w:semiHidden="1" w:unhideWhenUsed="1" w:qFormat="1"/>
    <w:lsdException w:name="table of figures" w:uiPriority="21"/>
    <w:lsdException w:name="footnote reference" w:uiPriority="21"/>
    <w:lsdException w:name="annotation reference" w:uiPriority="21"/>
    <w:lsdException w:name="page number" w:uiPriority="14"/>
    <w:lsdException w:name="endnote reference" w:uiPriority="12"/>
    <w:lsdException w:name="endnote text" w:uiPriority="12"/>
    <w:lsdException w:name="Title" w:uiPriority="10" w:qFormat="1"/>
    <w:lsdException w:name="Default Paragraph Font" w:uiPriority="1"/>
    <w:lsdException w:name="Subtitle" w:uiPriority="11" w:qFormat="1"/>
    <w:lsdException w:name="Hyperlink" w:uiPriority="99"/>
    <w:lsdException w:name="FollowedHyperlink" w:uiPriority="99"/>
    <w:lsdException w:name="Strong" w:qFormat="1"/>
    <w:lsdException w:name="Emphasis" w:qFormat="1"/>
    <w:lsdException w:name="Normal (Web)" w:uiPriority="99"/>
    <w:lsdException w:name="annotation subject" w:uiPriority="2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E7D68"/>
    <w:pPr>
      <w:autoSpaceDE w:val="0"/>
      <w:autoSpaceDN w:val="0"/>
      <w:adjustRightInd w:val="0"/>
      <w:spacing w:before="120"/>
      <w:jc w:val="both"/>
      <w:textAlignment w:val="center"/>
    </w:pPr>
    <w:rPr>
      <w:rFonts w:ascii="Calibri" w:eastAsiaTheme="minorEastAsia" w:hAnsi="Calibri" w:cs="MinionPro-Regular"/>
      <w:color w:val="000000"/>
      <w:sz w:val="22"/>
      <w:szCs w:val="22"/>
      <w:lang w:val="en"/>
    </w:rPr>
  </w:style>
  <w:style w:type="paragraph" w:styleId="Heading1">
    <w:name w:val="heading 1"/>
    <w:basedOn w:val="Normal"/>
    <w:next w:val="Normal"/>
    <w:link w:val="Heading1Char"/>
    <w:uiPriority w:val="1"/>
    <w:qFormat/>
    <w:rsid w:val="009E7D68"/>
    <w:pPr>
      <w:keepNext/>
      <w:keepLines/>
      <w:spacing w:before="480"/>
      <w:jc w:val="left"/>
      <w:outlineLvl w:val="0"/>
    </w:pPr>
    <w:rPr>
      <w:rFonts w:eastAsiaTheme="majorEastAsia" w:cstheme="majorBidi"/>
      <w:b/>
      <w:bCs/>
      <w:color w:val="1C1F58"/>
      <w:sz w:val="32"/>
      <w:szCs w:val="32"/>
    </w:rPr>
  </w:style>
  <w:style w:type="paragraph" w:styleId="Heading2">
    <w:name w:val="heading 2"/>
    <w:basedOn w:val="Normal"/>
    <w:next w:val="Normal"/>
    <w:link w:val="Heading2Char"/>
    <w:uiPriority w:val="1"/>
    <w:unhideWhenUsed/>
    <w:qFormat/>
    <w:rsid w:val="009E7D68"/>
    <w:pPr>
      <w:keepNext/>
      <w:keepLines/>
      <w:spacing w:before="200"/>
      <w:jc w:val="left"/>
      <w:outlineLvl w:val="1"/>
    </w:pPr>
    <w:rPr>
      <w:rFonts w:eastAsiaTheme="majorEastAsia" w:cstheme="majorBidi"/>
      <w:b/>
      <w:bCs/>
      <w:color w:val="004080"/>
      <w:sz w:val="26"/>
      <w:szCs w:val="26"/>
    </w:rPr>
  </w:style>
  <w:style w:type="paragraph" w:styleId="Heading3">
    <w:name w:val="heading 3"/>
    <w:basedOn w:val="Normal"/>
    <w:next w:val="Normal"/>
    <w:link w:val="Heading3Char"/>
    <w:uiPriority w:val="1"/>
    <w:unhideWhenUsed/>
    <w:qFormat/>
    <w:rsid w:val="009E7D68"/>
    <w:pPr>
      <w:keepNext/>
      <w:keepLines/>
      <w:spacing w:before="200"/>
      <w:jc w:val="left"/>
      <w:outlineLvl w:val="2"/>
    </w:pPr>
    <w:rPr>
      <w:rFonts w:eastAsiaTheme="majorEastAsia" w:cstheme="majorBidi"/>
      <w:b/>
      <w:bCs/>
      <w:color w:val="1E2BC8"/>
    </w:rPr>
  </w:style>
  <w:style w:type="paragraph" w:styleId="Heading4">
    <w:name w:val="heading 4"/>
    <w:basedOn w:val="Normal"/>
    <w:next w:val="Normal"/>
    <w:link w:val="Heading4Char"/>
    <w:uiPriority w:val="1"/>
    <w:unhideWhenUsed/>
    <w:qFormat/>
    <w:rsid w:val="009E7D68"/>
    <w:pPr>
      <w:keepNext/>
      <w:keepLines/>
      <w:spacing w:before="200"/>
      <w:outlineLvl w:val="3"/>
    </w:pPr>
    <w:rPr>
      <w:rFonts w:eastAsiaTheme="majorEastAsia" w:cstheme="majorBidi"/>
      <w:b/>
      <w:bCs/>
      <w:i/>
      <w:iCs/>
      <w:color w:val="2D5EA8"/>
    </w:rPr>
  </w:style>
  <w:style w:type="paragraph" w:styleId="Heading5">
    <w:name w:val="heading 5"/>
    <w:basedOn w:val="Normal"/>
    <w:next w:val="Normal"/>
    <w:link w:val="Heading5Char"/>
    <w:uiPriority w:val="1"/>
    <w:unhideWhenUsed/>
    <w:qFormat/>
    <w:rsid w:val="009E7D68"/>
    <w:pPr>
      <w:keepNext/>
      <w:keepLines/>
      <w:spacing w:before="200"/>
      <w:outlineLvl w:val="4"/>
    </w:pPr>
    <w:rPr>
      <w:rFonts w:eastAsiaTheme="majorEastAsia" w:cstheme="majorBidi"/>
      <w:color w:val="243F60" w:themeColor="accent1" w:themeShade="7F"/>
    </w:rPr>
  </w:style>
  <w:style w:type="paragraph" w:styleId="Heading6">
    <w:name w:val="heading 6"/>
    <w:basedOn w:val="Heading5"/>
    <w:next w:val="AIHWbodytext"/>
    <w:link w:val="Heading6Char"/>
    <w:uiPriority w:val="1"/>
    <w:qFormat/>
    <w:rsid w:val="009E7D68"/>
    <w:pPr>
      <w:numPr>
        <w:ilvl w:val="5"/>
      </w:numPr>
      <w:tabs>
        <w:tab w:val="left" w:pos="794"/>
        <w:tab w:val="left" w:pos="1191"/>
        <w:tab w:val="left" w:pos="2778"/>
      </w:tabs>
      <w:autoSpaceDE/>
      <w:autoSpaceDN/>
      <w:adjustRightInd/>
      <w:spacing w:before="120" w:after="40" w:line="260" w:lineRule="atLeast"/>
      <w:ind w:left="1152"/>
      <w:jc w:val="left"/>
      <w:textAlignment w:val="auto"/>
      <w:outlineLvl w:val="5"/>
    </w:pPr>
    <w:rPr>
      <w:rFonts w:ascii="Book Antiqua" w:eastAsia="Times New Roman" w:hAnsi="Book Antiqua" w:cs="Times New Roman"/>
      <w:i/>
      <w:color w:val="000000"/>
      <w:lang w:val="en-AU" w:eastAsia="en-US"/>
    </w:rPr>
  </w:style>
  <w:style w:type="paragraph" w:styleId="Heading7">
    <w:name w:val="heading 7"/>
    <w:basedOn w:val="Normal"/>
    <w:next w:val="Normal"/>
    <w:link w:val="Heading7Char"/>
    <w:semiHidden/>
    <w:rsid w:val="009E7D68"/>
    <w:pPr>
      <w:numPr>
        <w:ilvl w:val="6"/>
        <w:numId w:val="4"/>
      </w:numPr>
      <w:autoSpaceDE/>
      <w:autoSpaceDN/>
      <w:adjustRightInd/>
      <w:spacing w:before="240" w:after="60" w:line="260" w:lineRule="atLeast"/>
      <w:ind w:left="1296" w:hanging="288"/>
      <w:jc w:val="left"/>
      <w:textAlignment w:val="auto"/>
      <w:outlineLvl w:val="6"/>
    </w:pPr>
    <w:rPr>
      <w:rFonts w:ascii="Times New Roman" w:eastAsia="Times New Roman" w:hAnsi="Times New Roman" w:cs="Times New Roman"/>
      <w:color w:val="auto"/>
      <w:sz w:val="24"/>
      <w:lang w:val="en-AU"/>
    </w:rPr>
  </w:style>
  <w:style w:type="paragraph" w:styleId="Heading8">
    <w:name w:val="heading 8"/>
    <w:basedOn w:val="Normal"/>
    <w:next w:val="Normal"/>
    <w:link w:val="Heading8Char"/>
    <w:semiHidden/>
    <w:qFormat/>
    <w:rsid w:val="009E7D68"/>
    <w:pPr>
      <w:numPr>
        <w:ilvl w:val="7"/>
        <w:numId w:val="4"/>
      </w:numPr>
      <w:autoSpaceDE/>
      <w:autoSpaceDN/>
      <w:adjustRightInd/>
      <w:spacing w:before="240" w:after="60" w:line="260" w:lineRule="atLeast"/>
      <w:ind w:left="1440" w:hanging="432"/>
      <w:jc w:val="left"/>
      <w:textAlignment w:val="auto"/>
      <w:outlineLvl w:val="7"/>
    </w:pPr>
    <w:rPr>
      <w:rFonts w:ascii="Times New Roman" w:eastAsia="Times New Roman" w:hAnsi="Times New Roman" w:cs="Times New Roman"/>
      <w:i/>
      <w:iCs/>
      <w:color w:val="auto"/>
      <w:sz w:val="24"/>
      <w:lang w:val="en-AU"/>
    </w:rPr>
  </w:style>
  <w:style w:type="paragraph" w:styleId="Heading9">
    <w:name w:val="heading 9"/>
    <w:basedOn w:val="Normal"/>
    <w:next w:val="Normal"/>
    <w:link w:val="Heading9Char"/>
    <w:semiHidden/>
    <w:rsid w:val="009E7D68"/>
    <w:pPr>
      <w:numPr>
        <w:ilvl w:val="8"/>
        <w:numId w:val="4"/>
      </w:numPr>
      <w:autoSpaceDE/>
      <w:autoSpaceDN/>
      <w:adjustRightInd/>
      <w:spacing w:before="240" w:after="60" w:line="260" w:lineRule="atLeast"/>
      <w:ind w:left="1584" w:hanging="144"/>
      <w:jc w:val="left"/>
      <w:textAlignment w:val="auto"/>
      <w:outlineLvl w:val="8"/>
    </w:pPr>
    <w:rPr>
      <w:rFonts w:ascii="Arial" w:eastAsia="Times New Roman" w:hAnsi="Arial" w:cs="Arial"/>
      <w:color w:val="auto"/>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sid w:val="00A705AF"/>
    <w:rPr>
      <w:i/>
      <w:iCs/>
    </w:rPr>
  </w:style>
  <w:style w:type="character" w:styleId="Strong">
    <w:name w:val="Strong"/>
    <w:basedOn w:val="DefaultParagraphFont"/>
    <w:qFormat/>
    <w:rsid w:val="00A705AF"/>
    <w:rPr>
      <w:b/>
      <w:bCs/>
    </w:rPr>
  </w:style>
  <w:style w:type="paragraph" w:styleId="Subtitle">
    <w:name w:val="Subtitle"/>
    <w:basedOn w:val="Normal"/>
    <w:next w:val="Normal"/>
    <w:link w:val="SubtitleChar"/>
    <w:uiPriority w:val="11"/>
    <w:qFormat/>
    <w:rsid w:val="009E7D68"/>
    <w:pPr>
      <w:numPr>
        <w:ilvl w:val="1"/>
      </w:numPr>
    </w:pPr>
    <w:rPr>
      <w:rFonts w:eastAsiaTheme="majorEastAsia" w:cstheme="majorBidi"/>
      <w:b/>
      <w:iCs/>
      <w:color w:val="72D0F4"/>
      <w:spacing w:val="15"/>
      <w:sz w:val="48"/>
    </w:rPr>
  </w:style>
  <w:style w:type="character" w:customStyle="1" w:styleId="SubtitleChar">
    <w:name w:val="Subtitle Char"/>
    <w:basedOn w:val="DefaultParagraphFont"/>
    <w:link w:val="Subtitle"/>
    <w:uiPriority w:val="11"/>
    <w:rsid w:val="009E7D68"/>
    <w:rPr>
      <w:rFonts w:ascii="Calibri" w:eastAsiaTheme="majorEastAsia" w:hAnsi="Calibri" w:cstheme="majorBidi"/>
      <w:b/>
      <w:iCs/>
      <w:color w:val="72D0F4"/>
      <w:spacing w:val="15"/>
      <w:sz w:val="48"/>
      <w:szCs w:val="22"/>
      <w:lang w:val="en"/>
    </w:rPr>
  </w:style>
  <w:style w:type="paragraph" w:styleId="Title">
    <w:name w:val="Title"/>
    <w:next w:val="ChapterBodyCopy"/>
    <w:link w:val="TitleChar"/>
    <w:autoRedefine/>
    <w:uiPriority w:val="10"/>
    <w:qFormat/>
    <w:rsid w:val="009E7D68"/>
    <w:pPr>
      <w:pageBreakBefore/>
      <w:spacing w:before="4200" w:after="240"/>
      <w:contextualSpacing/>
    </w:pPr>
    <w:rPr>
      <w:rFonts w:ascii="Calibri" w:eastAsiaTheme="majorEastAsia" w:hAnsi="Calibri" w:cstheme="majorBidi"/>
      <w:b/>
      <w:color w:val="1C1F58"/>
      <w:spacing w:val="5"/>
      <w:kern w:val="28"/>
      <w:sz w:val="72"/>
      <w:szCs w:val="72"/>
      <w:lang w:val="en"/>
    </w:rPr>
  </w:style>
  <w:style w:type="character" w:customStyle="1" w:styleId="TitleChar">
    <w:name w:val="Title Char"/>
    <w:basedOn w:val="DefaultParagraphFont"/>
    <w:link w:val="Title"/>
    <w:uiPriority w:val="10"/>
    <w:rsid w:val="009E7D68"/>
    <w:rPr>
      <w:rFonts w:ascii="Calibri" w:eastAsiaTheme="majorEastAsia" w:hAnsi="Calibri" w:cstheme="majorBidi"/>
      <w:b/>
      <w:color w:val="1C1F58"/>
      <w:spacing w:val="5"/>
      <w:kern w:val="28"/>
      <w:sz w:val="72"/>
      <w:szCs w:val="72"/>
      <w:lang w:val="en"/>
    </w:rPr>
  </w:style>
  <w:style w:type="paragraph" w:styleId="NoSpacing">
    <w:name w:val="No Spacing"/>
    <w:uiPriority w:val="1"/>
    <w:qFormat/>
    <w:rsid w:val="00A4512D"/>
    <w:rPr>
      <w:sz w:val="24"/>
      <w:szCs w:val="24"/>
      <w:lang w:eastAsia="en-US"/>
    </w:rPr>
  </w:style>
  <w:style w:type="character" w:styleId="SubtleEmphasis">
    <w:name w:val="Subtle Emphasis"/>
    <w:basedOn w:val="DefaultParagraphFont"/>
    <w:uiPriority w:val="19"/>
    <w:qFormat/>
    <w:rsid w:val="009E7D68"/>
    <w:rPr>
      <w:rFonts w:asciiTheme="majorHAnsi" w:hAnsiTheme="majorHAnsi"/>
      <w:i w:val="0"/>
      <w:iCs w:val="0"/>
      <w:caps/>
      <w:smallCaps w:val="0"/>
      <w:color w:val="808080" w:themeColor="text1" w:themeTint="7F"/>
      <w:sz w:val="28"/>
      <w:szCs w:val="36"/>
    </w:rPr>
  </w:style>
  <w:style w:type="character" w:styleId="IntenseEmphasis">
    <w:name w:val="Intense Emphasis"/>
    <w:basedOn w:val="DefaultParagraphFont"/>
    <w:uiPriority w:val="21"/>
    <w:qFormat/>
    <w:rsid w:val="00A4512D"/>
    <w:rPr>
      <w:b/>
      <w:bCs/>
      <w:i/>
      <w:iCs/>
      <w:color w:val="4F81BD" w:themeColor="accent1"/>
    </w:rPr>
  </w:style>
  <w:style w:type="paragraph" w:styleId="Quote">
    <w:name w:val="Quote"/>
    <w:basedOn w:val="Normal"/>
    <w:next w:val="Normal"/>
    <w:link w:val="QuoteChar"/>
    <w:uiPriority w:val="29"/>
    <w:qFormat/>
    <w:rsid w:val="009E7D68"/>
    <w:pPr>
      <w:jc w:val="left"/>
    </w:pPr>
    <w:rPr>
      <w:iCs/>
      <w:color w:val="2F3490"/>
    </w:rPr>
  </w:style>
  <w:style w:type="character" w:customStyle="1" w:styleId="QuoteChar">
    <w:name w:val="Quote Char"/>
    <w:basedOn w:val="DefaultParagraphFont"/>
    <w:link w:val="Quote"/>
    <w:uiPriority w:val="29"/>
    <w:rsid w:val="009E7D68"/>
    <w:rPr>
      <w:rFonts w:ascii="Calibri" w:eastAsiaTheme="minorEastAsia" w:hAnsi="Calibri" w:cs="MinionPro-Regular"/>
      <w:iCs/>
      <w:color w:val="2F3490"/>
      <w:sz w:val="22"/>
      <w:szCs w:val="22"/>
      <w:lang w:val="en"/>
    </w:rPr>
  </w:style>
  <w:style w:type="paragraph" w:styleId="IntenseQuote">
    <w:name w:val="Intense Quote"/>
    <w:basedOn w:val="Normal"/>
    <w:next w:val="Normal"/>
    <w:link w:val="IntenseQuoteChar"/>
    <w:uiPriority w:val="30"/>
    <w:qFormat/>
    <w:rsid w:val="00A4512D"/>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A4512D"/>
    <w:rPr>
      <w:b/>
      <w:bCs/>
      <w:i/>
      <w:iCs/>
      <w:color w:val="4F81BD" w:themeColor="accent1"/>
      <w:sz w:val="24"/>
      <w:szCs w:val="24"/>
      <w:lang w:eastAsia="en-US"/>
    </w:rPr>
  </w:style>
  <w:style w:type="character" w:styleId="SubtleReference">
    <w:name w:val="Subtle Reference"/>
    <w:basedOn w:val="DefaultParagraphFont"/>
    <w:uiPriority w:val="31"/>
    <w:qFormat/>
    <w:rsid w:val="00A4512D"/>
    <w:rPr>
      <w:smallCaps/>
      <w:color w:val="C0504D" w:themeColor="accent2"/>
      <w:u w:val="single"/>
    </w:rPr>
  </w:style>
  <w:style w:type="character" w:styleId="IntenseReference">
    <w:name w:val="Intense Reference"/>
    <w:basedOn w:val="DefaultParagraphFont"/>
    <w:uiPriority w:val="32"/>
    <w:qFormat/>
    <w:rsid w:val="009E7D68"/>
    <w:rPr>
      <w:b/>
      <w:bCs/>
      <w:i/>
      <w:smallCaps/>
      <w:color w:val="C0504D" w:themeColor="accent2"/>
      <w:spacing w:val="5"/>
      <w:u w:val="none"/>
    </w:rPr>
  </w:style>
  <w:style w:type="character" w:styleId="BookTitle">
    <w:name w:val="Book Title"/>
    <w:basedOn w:val="DefaultParagraphFont"/>
    <w:uiPriority w:val="33"/>
    <w:qFormat/>
    <w:rsid w:val="009E7D68"/>
    <w:rPr>
      <w:b/>
      <w:bCs/>
      <w:smallCaps/>
      <w:spacing w:val="5"/>
    </w:rPr>
  </w:style>
  <w:style w:type="paragraph" w:styleId="ListParagraph">
    <w:name w:val="List Paragraph"/>
    <w:basedOn w:val="Normal"/>
    <w:link w:val="ListParagraphChar"/>
    <w:uiPriority w:val="34"/>
    <w:qFormat/>
    <w:rsid w:val="009E7D68"/>
    <w:pPr>
      <w:numPr>
        <w:numId w:val="1"/>
      </w:numPr>
      <w:contextualSpacing/>
    </w:pPr>
  </w:style>
  <w:style w:type="character" w:customStyle="1" w:styleId="Heading7Char">
    <w:name w:val="Heading 7 Char"/>
    <w:basedOn w:val="DefaultParagraphFont"/>
    <w:link w:val="Heading7"/>
    <w:semiHidden/>
    <w:rsid w:val="009E7D68"/>
    <w:rPr>
      <w:sz w:val="24"/>
      <w:szCs w:val="22"/>
    </w:rPr>
  </w:style>
  <w:style w:type="character" w:customStyle="1" w:styleId="Heading8Char">
    <w:name w:val="Heading 8 Char"/>
    <w:basedOn w:val="DefaultParagraphFont"/>
    <w:link w:val="Heading8"/>
    <w:semiHidden/>
    <w:rsid w:val="009E7D68"/>
    <w:rPr>
      <w:i/>
      <w:iCs/>
      <w:sz w:val="24"/>
      <w:szCs w:val="22"/>
    </w:rPr>
  </w:style>
  <w:style w:type="character" w:customStyle="1" w:styleId="Heading9Char">
    <w:name w:val="Heading 9 Char"/>
    <w:basedOn w:val="DefaultParagraphFont"/>
    <w:link w:val="Heading9"/>
    <w:semiHidden/>
    <w:rsid w:val="009E7D68"/>
    <w:rPr>
      <w:rFonts w:ascii="Arial" w:hAnsi="Arial" w:cs="Arial"/>
      <w:sz w:val="22"/>
      <w:szCs w:val="22"/>
    </w:rPr>
  </w:style>
  <w:style w:type="character" w:customStyle="1" w:styleId="Heading1Char">
    <w:name w:val="Heading 1 Char"/>
    <w:basedOn w:val="DefaultParagraphFont"/>
    <w:link w:val="Heading1"/>
    <w:uiPriority w:val="1"/>
    <w:rsid w:val="009E7D68"/>
    <w:rPr>
      <w:rFonts w:ascii="Calibri" w:eastAsiaTheme="majorEastAsia" w:hAnsi="Calibri" w:cstheme="majorBidi"/>
      <w:b/>
      <w:bCs/>
      <w:color w:val="1C1F58"/>
      <w:sz w:val="32"/>
      <w:szCs w:val="32"/>
      <w:lang w:val="en"/>
    </w:rPr>
  </w:style>
  <w:style w:type="character" w:customStyle="1" w:styleId="Heading2Char">
    <w:name w:val="Heading 2 Char"/>
    <w:basedOn w:val="DefaultParagraphFont"/>
    <w:link w:val="Heading2"/>
    <w:uiPriority w:val="1"/>
    <w:rsid w:val="009E7D68"/>
    <w:rPr>
      <w:rFonts w:ascii="Calibri" w:eastAsiaTheme="majorEastAsia" w:hAnsi="Calibri" w:cstheme="majorBidi"/>
      <w:b/>
      <w:bCs/>
      <w:color w:val="004080"/>
      <w:sz w:val="26"/>
      <w:szCs w:val="26"/>
      <w:lang w:val="en"/>
    </w:rPr>
  </w:style>
  <w:style w:type="character" w:customStyle="1" w:styleId="Heading3Char">
    <w:name w:val="Heading 3 Char"/>
    <w:basedOn w:val="DefaultParagraphFont"/>
    <w:link w:val="Heading3"/>
    <w:uiPriority w:val="1"/>
    <w:rsid w:val="009E7D68"/>
    <w:rPr>
      <w:rFonts w:ascii="Calibri" w:eastAsiaTheme="majorEastAsia" w:hAnsi="Calibri" w:cstheme="majorBidi"/>
      <w:b/>
      <w:bCs/>
      <w:color w:val="1E2BC8"/>
      <w:sz w:val="22"/>
      <w:szCs w:val="22"/>
      <w:lang w:val="en"/>
    </w:rPr>
  </w:style>
  <w:style w:type="character" w:customStyle="1" w:styleId="Heading4Char">
    <w:name w:val="Heading 4 Char"/>
    <w:basedOn w:val="DefaultParagraphFont"/>
    <w:link w:val="Heading4"/>
    <w:uiPriority w:val="1"/>
    <w:rsid w:val="009E7D68"/>
    <w:rPr>
      <w:rFonts w:ascii="Calibri" w:eastAsiaTheme="majorEastAsia" w:hAnsi="Calibri" w:cstheme="majorBidi"/>
      <w:b/>
      <w:bCs/>
      <w:i/>
      <w:iCs/>
      <w:color w:val="2D5EA8"/>
      <w:sz w:val="22"/>
      <w:szCs w:val="22"/>
      <w:lang w:val="en"/>
    </w:rPr>
  </w:style>
  <w:style w:type="character" w:customStyle="1" w:styleId="Heading5Char">
    <w:name w:val="Heading 5 Char"/>
    <w:basedOn w:val="DefaultParagraphFont"/>
    <w:link w:val="Heading5"/>
    <w:uiPriority w:val="1"/>
    <w:rsid w:val="009E7D68"/>
    <w:rPr>
      <w:rFonts w:ascii="Calibri" w:eastAsiaTheme="majorEastAsia" w:hAnsi="Calibri" w:cstheme="majorBidi"/>
      <w:color w:val="243F60" w:themeColor="accent1" w:themeShade="7F"/>
      <w:sz w:val="22"/>
      <w:szCs w:val="22"/>
      <w:lang w:val="en"/>
    </w:rPr>
  </w:style>
  <w:style w:type="paragraph" w:styleId="Header">
    <w:name w:val="header"/>
    <w:basedOn w:val="Normal"/>
    <w:link w:val="HeaderChar"/>
    <w:uiPriority w:val="99"/>
    <w:unhideWhenUsed/>
    <w:rsid w:val="009E7D68"/>
    <w:pPr>
      <w:tabs>
        <w:tab w:val="center" w:pos="4320"/>
        <w:tab w:val="right" w:pos="8640"/>
      </w:tabs>
    </w:pPr>
  </w:style>
  <w:style w:type="character" w:customStyle="1" w:styleId="HeaderChar">
    <w:name w:val="Header Char"/>
    <w:basedOn w:val="DefaultParagraphFont"/>
    <w:link w:val="Header"/>
    <w:uiPriority w:val="99"/>
    <w:rsid w:val="009E7D68"/>
    <w:rPr>
      <w:rFonts w:ascii="Calibri" w:eastAsiaTheme="minorEastAsia" w:hAnsi="Calibri" w:cs="MinionPro-Regular"/>
      <w:color w:val="000000"/>
      <w:sz w:val="22"/>
      <w:szCs w:val="22"/>
      <w:lang w:val="en"/>
    </w:rPr>
  </w:style>
  <w:style w:type="paragraph" w:styleId="Footer">
    <w:name w:val="footer"/>
    <w:basedOn w:val="Normal"/>
    <w:link w:val="FooterChar"/>
    <w:autoRedefine/>
    <w:uiPriority w:val="99"/>
    <w:unhideWhenUsed/>
    <w:rsid w:val="009E7D68"/>
    <w:pPr>
      <w:framePr w:w="860" w:h="651" w:hRule="exact" w:wrap="notBeside" w:vAnchor="page" w:hAnchor="page" w:x="10569" w:y="15214"/>
      <w:tabs>
        <w:tab w:val="center" w:pos="4320"/>
        <w:tab w:val="right" w:pos="8640"/>
      </w:tabs>
      <w:jc w:val="center"/>
    </w:pPr>
    <w:rPr>
      <w:noProof/>
      <w:color w:val="484848"/>
      <w:sz w:val="18"/>
      <w:szCs w:val="18"/>
      <w:lang w:val="en-US"/>
    </w:rPr>
  </w:style>
  <w:style w:type="character" w:customStyle="1" w:styleId="FooterChar">
    <w:name w:val="Footer Char"/>
    <w:basedOn w:val="DefaultParagraphFont"/>
    <w:link w:val="Footer"/>
    <w:uiPriority w:val="99"/>
    <w:rsid w:val="009E7D68"/>
    <w:rPr>
      <w:rFonts w:ascii="Calibri" w:eastAsiaTheme="minorEastAsia" w:hAnsi="Calibri" w:cs="MinionPro-Regular"/>
      <w:noProof/>
      <w:color w:val="484848"/>
      <w:sz w:val="18"/>
      <w:szCs w:val="18"/>
      <w:lang w:val="en-US"/>
    </w:rPr>
  </w:style>
  <w:style w:type="paragraph" w:styleId="BalloonText">
    <w:name w:val="Balloon Text"/>
    <w:basedOn w:val="Normal"/>
    <w:link w:val="BalloonTextChar"/>
    <w:unhideWhenUsed/>
    <w:rsid w:val="009E7D68"/>
    <w:rPr>
      <w:rFonts w:ascii="Lucida Grande" w:hAnsi="Lucida Grande" w:cs="Lucida Grande"/>
      <w:sz w:val="18"/>
      <w:szCs w:val="18"/>
    </w:rPr>
  </w:style>
  <w:style w:type="character" w:customStyle="1" w:styleId="BalloonTextChar">
    <w:name w:val="Balloon Text Char"/>
    <w:basedOn w:val="DefaultParagraphFont"/>
    <w:link w:val="BalloonText"/>
    <w:rsid w:val="009E7D68"/>
    <w:rPr>
      <w:rFonts w:ascii="Lucida Grande" w:eastAsiaTheme="minorEastAsia" w:hAnsi="Lucida Grande" w:cs="Lucida Grande"/>
      <w:color w:val="000000"/>
      <w:sz w:val="18"/>
      <w:szCs w:val="18"/>
      <w:lang w:val="en"/>
    </w:rPr>
  </w:style>
  <w:style w:type="paragraph" w:styleId="TOC1">
    <w:name w:val="toc 1"/>
    <w:next w:val="Normal"/>
    <w:autoRedefine/>
    <w:uiPriority w:val="9"/>
    <w:unhideWhenUsed/>
    <w:rsid w:val="009E7D68"/>
    <w:pPr>
      <w:spacing w:before="120"/>
    </w:pPr>
    <w:rPr>
      <w:rFonts w:ascii="Calibri" w:eastAsiaTheme="minorEastAsia" w:hAnsi="Calibri" w:cs="MinionPro-Regular"/>
      <w:b/>
      <w:color w:val="548DD4"/>
      <w:sz w:val="24"/>
      <w:szCs w:val="22"/>
      <w:lang w:val="en"/>
    </w:rPr>
  </w:style>
  <w:style w:type="paragraph" w:styleId="TOC2">
    <w:name w:val="toc 2"/>
    <w:basedOn w:val="Normal"/>
    <w:next w:val="Normal"/>
    <w:autoRedefine/>
    <w:uiPriority w:val="9"/>
    <w:unhideWhenUsed/>
    <w:rsid w:val="009E7D68"/>
    <w:pPr>
      <w:keepNext/>
      <w:tabs>
        <w:tab w:val="right" w:leader="dot" w:pos="8488"/>
      </w:tabs>
      <w:spacing w:before="0"/>
      <w:ind w:left="284"/>
      <w:jc w:val="left"/>
    </w:pPr>
  </w:style>
  <w:style w:type="paragraph" w:styleId="TOC3">
    <w:name w:val="toc 3"/>
    <w:basedOn w:val="Normal"/>
    <w:next w:val="Normal"/>
    <w:autoRedefine/>
    <w:uiPriority w:val="9"/>
    <w:unhideWhenUsed/>
    <w:rsid w:val="009E7D68"/>
    <w:pPr>
      <w:keepNext/>
      <w:tabs>
        <w:tab w:val="left" w:pos="861"/>
        <w:tab w:val="right" w:leader="dot" w:pos="8488"/>
      </w:tabs>
      <w:spacing w:before="0"/>
      <w:ind w:left="567"/>
      <w:jc w:val="left"/>
    </w:pPr>
  </w:style>
  <w:style w:type="paragraph" w:styleId="TOC4">
    <w:name w:val="toc 4"/>
    <w:basedOn w:val="Normal"/>
    <w:next w:val="Normal"/>
    <w:autoRedefine/>
    <w:uiPriority w:val="39"/>
    <w:unhideWhenUsed/>
    <w:rsid w:val="009E7D68"/>
    <w:pPr>
      <w:pBdr>
        <w:between w:val="double" w:sz="6" w:space="0" w:color="auto"/>
      </w:pBdr>
      <w:spacing w:before="0"/>
      <w:ind w:left="440"/>
    </w:pPr>
    <w:rPr>
      <w:rFonts w:asciiTheme="minorHAnsi" w:hAnsiTheme="minorHAnsi"/>
      <w:sz w:val="20"/>
      <w:szCs w:val="20"/>
    </w:rPr>
  </w:style>
  <w:style w:type="paragraph" w:styleId="TOC5">
    <w:name w:val="toc 5"/>
    <w:basedOn w:val="Normal"/>
    <w:next w:val="Normal"/>
    <w:autoRedefine/>
    <w:uiPriority w:val="39"/>
    <w:unhideWhenUsed/>
    <w:rsid w:val="009E7D68"/>
    <w:pPr>
      <w:pBdr>
        <w:between w:val="double" w:sz="6" w:space="0" w:color="auto"/>
      </w:pBdr>
      <w:spacing w:before="0"/>
      <w:ind w:left="660"/>
    </w:pPr>
    <w:rPr>
      <w:rFonts w:asciiTheme="minorHAnsi" w:hAnsiTheme="minorHAnsi"/>
      <w:sz w:val="20"/>
      <w:szCs w:val="20"/>
    </w:rPr>
  </w:style>
  <w:style w:type="paragraph" w:styleId="TOC6">
    <w:name w:val="toc 6"/>
    <w:basedOn w:val="Normal"/>
    <w:next w:val="Normal"/>
    <w:autoRedefine/>
    <w:uiPriority w:val="39"/>
    <w:unhideWhenUsed/>
    <w:rsid w:val="009E7D68"/>
    <w:pPr>
      <w:pBdr>
        <w:between w:val="double" w:sz="6" w:space="0" w:color="auto"/>
      </w:pBdr>
      <w:spacing w:before="0"/>
      <w:ind w:left="880"/>
    </w:pPr>
    <w:rPr>
      <w:rFonts w:asciiTheme="minorHAnsi" w:hAnsiTheme="minorHAnsi"/>
      <w:sz w:val="20"/>
      <w:szCs w:val="20"/>
    </w:rPr>
  </w:style>
  <w:style w:type="paragraph" w:styleId="TOC7">
    <w:name w:val="toc 7"/>
    <w:basedOn w:val="Normal"/>
    <w:next w:val="Normal"/>
    <w:autoRedefine/>
    <w:uiPriority w:val="39"/>
    <w:unhideWhenUsed/>
    <w:rsid w:val="009E7D68"/>
    <w:pPr>
      <w:pBdr>
        <w:between w:val="double" w:sz="6" w:space="0" w:color="auto"/>
      </w:pBdr>
      <w:spacing w:before="0"/>
      <w:ind w:left="1100"/>
    </w:pPr>
    <w:rPr>
      <w:rFonts w:asciiTheme="minorHAnsi" w:hAnsiTheme="minorHAnsi"/>
      <w:sz w:val="20"/>
      <w:szCs w:val="20"/>
    </w:rPr>
  </w:style>
  <w:style w:type="paragraph" w:styleId="TOC8">
    <w:name w:val="toc 8"/>
    <w:basedOn w:val="Normal"/>
    <w:next w:val="Normal"/>
    <w:autoRedefine/>
    <w:uiPriority w:val="39"/>
    <w:unhideWhenUsed/>
    <w:rsid w:val="009E7D68"/>
    <w:pPr>
      <w:pBdr>
        <w:between w:val="double" w:sz="6" w:space="0" w:color="auto"/>
      </w:pBdr>
      <w:spacing w:before="0"/>
      <w:ind w:left="1320"/>
    </w:pPr>
    <w:rPr>
      <w:rFonts w:asciiTheme="minorHAnsi" w:hAnsiTheme="minorHAnsi"/>
      <w:sz w:val="20"/>
      <w:szCs w:val="20"/>
    </w:rPr>
  </w:style>
  <w:style w:type="paragraph" w:styleId="TOC9">
    <w:name w:val="toc 9"/>
    <w:basedOn w:val="Normal"/>
    <w:next w:val="Normal"/>
    <w:autoRedefine/>
    <w:uiPriority w:val="39"/>
    <w:unhideWhenUsed/>
    <w:rsid w:val="009E7D68"/>
    <w:pPr>
      <w:pBdr>
        <w:between w:val="double" w:sz="6" w:space="0" w:color="auto"/>
      </w:pBdr>
      <w:spacing w:before="0"/>
      <w:ind w:left="1540"/>
    </w:pPr>
    <w:rPr>
      <w:rFonts w:asciiTheme="minorHAnsi" w:hAnsiTheme="minorHAnsi"/>
      <w:sz w:val="20"/>
      <w:szCs w:val="20"/>
    </w:rPr>
  </w:style>
  <w:style w:type="character" w:styleId="PageNumber">
    <w:name w:val="page number"/>
    <w:basedOn w:val="DefaultParagraphFont"/>
    <w:uiPriority w:val="14"/>
    <w:unhideWhenUsed/>
    <w:rsid w:val="003F6207"/>
    <w:rPr>
      <w:rFonts w:asciiTheme="minorHAnsi" w:hAnsiTheme="minorHAnsi"/>
      <w:b w:val="0"/>
      <w:bCs w:val="0"/>
      <w:i w:val="0"/>
      <w:iCs w:val="0"/>
      <w:color w:val="000000" w:themeColor="text1"/>
      <w:sz w:val="24"/>
      <w:szCs w:val="20"/>
    </w:rPr>
  </w:style>
  <w:style w:type="paragraph" w:customStyle="1" w:styleId="BasicParagraph">
    <w:name w:val="[Basic Paragraph]"/>
    <w:basedOn w:val="Normal"/>
    <w:uiPriority w:val="99"/>
    <w:rsid w:val="009E7D68"/>
  </w:style>
  <w:style w:type="table" w:styleId="TableGrid">
    <w:name w:val="Table Grid"/>
    <w:basedOn w:val="TableNormal"/>
    <w:rsid w:val="009E7D68"/>
    <w:rPr>
      <w:rFonts w:asciiTheme="minorHAnsi" w:eastAsiaTheme="minorEastAsia" w:hAnsiTheme="minorHAnsi" w:cstheme="minorBidi"/>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1">
    <w:name w:val="Light List Accent 1"/>
    <w:basedOn w:val="TableNormal"/>
    <w:uiPriority w:val="61"/>
    <w:rsid w:val="009E7D68"/>
    <w:rPr>
      <w:rFonts w:asciiTheme="minorHAnsi" w:eastAsiaTheme="minorEastAsia" w:hAnsiTheme="minorHAnsi" w:cstheme="minorBidi"/>
      <w:sz w:val="24"/>
      <w:szCs w:val="24"/>
      <w:lang w:val="en-US"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Shading-Accent1">
    <w:name w:val="Light Shading Accent 1"/>
    <w:basedOn w:val="TableNormal"/>
    <w:uiPriority w:val="60"/>
    <w:rsid w:val="009E7D68"/>
    <w:rPr>
      <w:rFonts w:asciiTheme="minorHAnsi" w:eastAsiaTheme="minorEastAsia" w:hAnsiTheme="minorHAnsi" w:cstheme="minorBidi"/>
      <w:color w:val="000000" w:themeColor="text1"/>
      <w:sz w:val="24"/>
      <w:szCs w:val="24"/>
      <w:lang w:val="en-US"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rFonts w:asciiTheme="majorHAnsi" w:hAnsiTheme="majorHAnsi"/>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rFonts w:asciiTheme="majorHAnsi" w:hAnsiTheme="majorHAnsi"/>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Caption">
    <w:name w:val="caption"/>
    <w:basedOn w:val="Normal"/>
    <w:next w:val="Normal"/>
    <w:unhideWhenUsed/>
    <w:qFormat/>
    <w:rsid w:val="009E7D68"/>
    <w:pPr>
      <w:keepNext/>
      <w:keepLines/>
      <w:spacing w:before="200"/>
      <w:jc w:val="left"/>
    </w:pPr>
    <w:rPr>
      <w:b/>
      <w:bCs/>
      <w:color w:val="1E2BC8"/>
      <w:szCs w:val="18"/>
    </w:rPr>
  </w:style>
  <w:style w:type="table" w:customStyle="1" w:styleId="NMHCTable">
    <w:name w:val="NMHC Table"/>
    <w:basedOn w:val="LightShading-Accent1"/>
    <w:uiPriority w:val="99"/>
    <w:rsid w:val="009E7D68"/>
    <w:tblPr/>
    <w:tblStylePr w:type="firstRow">
      <w:pPr>
        <w:spacing w:before="0" w:after="0" w:line="240" w:lineRule="auto"/>
      </w:pPr>
      <w:rPr>
        <w:b/>
        <w:bCs/>
      </w:rPr>
      <w:tblPr/>
      <w:tcPr>
        <w:tcBorders>
          <w:top w:val="single" w:sz="8" w:space="0" w:color="2D5EA8"/>
          <w:left w:val="nil"/>
          <w:bottom w:val="single" w:sz="8" w:space="0" w:color="2D5EA8"/>
          <w:right w:val="nil"/>
          <w:insideH w:val="nil"/>
          <w:insideV w:val="nil"/>
        </w:tcBorders>
      </w:tcPr>
    </w:tblStylePr>
    <w:tblStylePr w:type="lastRow">
      <w:pPr>
        <w:spacing w:before="0" w:after="0" w:line="240" w:lineRule="auto"/>
      </w:pPr>
      <w:rPr>
        <w:rFonts w:asciiTheme="majorHAnsi" w:hAnsiTheme="majorHAnsi"/>
        <w:b/>
        <w:bCs/>
      </w:rPr>
      <w:tblPr/>
      <w:tcPr>
        <w:tcBorders>
          <w:top w:val="single" w:sz="8" w:space="0" w:color="2D5EA8"/>
          <w:left w:val="nil"/>
          <w:bottom w:val="single" w:sz="8" w:space="0" w:color="2D5EA8"/>
          <w:right w:val="nil"/>
          <w:insideH w:val="nil"/>
          <w:insideV w:val="nil"/>
        </w:tcBorders>
      </w:tcPr>
    </w:tblStylePr>
    <w:tblStylePr w:type="firstCol">
      <w:rPr>
        <w:rFonts w:asciiTheme="majorHAnsi" w:hAnsiTheme="majorHAnsi"/>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left w:val="nil"/>
          <w:bottom w:val="nil"/>
          <w:right w:val="nil"/>
          <w:insideH w:val="nil"/>
          <w:insideV w:val="nil"/>
          <w:tl2br w:val="nil"/>
          <w:tr2bl w:val="nil"/>
        </w:tcBorders>
        <w:shd w:val="clear" w:color="auto" w:fill="B9E6FB"/>
      </w:tcPr>
    </w:tblStylePr>
  </w:style>
  <w:style w:type="table" w:customStyle="1" w:styleId="Style1">
    <w:name w:val="Style1"/>
    <w:basedOn w:val="TableNormal"/>
    <w:uiPriority w:val="99"/>
    <w:rsid w:val="009E7D68"/>
    <w:rPr>
      <w:rFonts w:asciiTheme="minorHAnsi" w:eastAsiaTheme="minorEastAsia" w:hAnsiTheme="minorHAnsi" w:cstheme="minorBidi"/>
      <w:sz w:val="24"/>
      <w:szCs w:val="24"/>
      <w:lang w:val="en-US" w:eastAsia="en-US"/>
    </w:rPr>
    <w:tblPr/>
    <w:tblStylePr w:type="firstRow">
      <w:tblPr/>
      <w:tcPr>
        <w:shd w:val="clear" w:color="auto" w:fill="2F3490"/>
      </w:tcPr>
    </w:tblStylePr>
  </w:style>
  <w:style w:type="paragraph" w:customStyle="1" w:styleId="ChapterBodyCopy">
    <w:name w:val="Chapter Body Copy"/>
    <w:qFormat/>
    <w:rsid w:val="009E7D68"/>
    <w:rPr>
      <w:rFonts w:asciiTheme="majorHAnsi" w:eastAsiaTheme="minorEastAsia" w:hAnsiTheme="majorHAnsi" w:cstheme="minorBidi"/>
      <w:sz w:val="22"/>
      <w:szCs w:val="24"/>
      <w:lang w:val="en-US" w:eastAsia="en-US"/>
    </w:rPr>
  </w:style>
  <w:style w:type="paragraph" w:customStyle="1" w:styleId="DocumentTitle">
    <w:name w:val="Document Title"/>
    <w:qFormat/>
    <w:rsid w:val="009E7D68"/>
    <w:rPr>
      <w:rFonts w:ascii="Calibri" w:eastAsiaTheme="minorEastAsia" w:hAnsi="Calibri" w:cs="MinionPro-Regular"/>
      <w:b/>
      <w:color w:val="FFFFFF" w:themeColor="background1"/>
      <w:sz w:val="144"/>
      <w:szCs w:val="32"/>
      <w:lang w:val="en"/>
    </w:rPr>
  </w:style>
  <w:style w:type="character" w:customStyle="1" w:styleId="ListParagraphChar">
    <w:name w:val="List Paragraph Char"/>
    <w:link w:val="ListParagraph"/>
    <w:uiPriority w:val="34"/>
    <w:locked/>
    <w:rsid w:val="009E7D68"/>
    <w:rPr>
      <w:rFonts w:ascii="Calibri" w:eastAsiaTheme="minorEastAsia" w:hAnsi="Calibri" w:cs="MinionPro-Regular"/>
      <w:color w:val="000000"/>
      <w:sz w:val="22"/>
      <w:szCs w:val="22"/>
      <w:lang w:val="en"/>
    </w:rPr>
  </w:style>
  <w:style w:type="paragraph" w:styleId="EndnoteText">
    <w:name w:val="endnote text"/>
    <w:basedOn w:val="Normal"/>
    <w:link w:val="EndnoteTextChar"/>
    <w:uiPriority w:val="12"/>
    <w:unhideWhenUsed/>
    <w:rsid w:val="009E7D68"/>
    <w:pPr>
      <w:autoSpaceDE/>
      <w:autoSpaceDN/>
      <w:adjustRightInd/>
      <w:spacing w:before="60" w:after="120" w:line="260" w:lineRule="atLeast"/>
      <w:jc w:val="left"/>
      <w:textAlignment w:val="auto"/>
    </w:pPr>
    <w:rPr>
      <w:rFonts w:eastAsia="Times New Roman" w:cs="Times New Roman"/>
      <w:color w:val="auto"/>
      <w:lang w:val="en-AU"/>
    </w:rPr>
  </w:style>
  <w:style w:type="character" w:customStyle="1" w:styleId="EndnoteTextChar">
    <w:name w:val="Endnote Text Char"/>
    <w:basedOn w:val="DefaultParagraphFont"/>
    <w:link w:val="EndnoteText"/>
    <w:uiPriority w:val="12"/>
    <w:rsid w:val="009E7D68"/>
    <w:rPr>
      <w:rFonts w:ascii="Calibri" w:hAnsi="Calibri"/>
      <w:sz w:val="22"/>
      <w:szCs w:val="22"/>
    </w:rPr>
  </w:style>
  <w:style w:type="character" w:styleId="EndnoteReference">
    <w:name w:val="endnote reference"/>
    <w:uiPriority w:val="12"/>
    <w:unhideWhenUsed/>
    <w:rsid w:val="009E7D68"/>
    <w:rPr>
      <w:vertAlign w:val="superscript"/>
    </w:rPr>
  </w:style>
  <w:style w:type="character" w:styleId="Hyperlink">
    <w:name w:val="Hyperlink"/>
    <w:uiPriority w:val="99"/>
    <w:unhideWhenUsed/>
    <w:rsid w:val="009E7D68"/>
    <w:rPr>
      <w:color w:val="1F497D"/>
      <w:u w:val="single"/>
    </w:rPr>
  </w:style>
  <w:style w:type="character" w:styleId="FootnoteReference">
    <w:name w:val="footnote reference"/>
    <w:uiPriority w:val="21"/>
    <w:unhideWhenUsed/>
    <w:rsid w:val="009E7D68"/>
    <w:rPr>
      <w:dstrike w:val="0"/>
      <w:vertAlign w:val="superscript"/>
    </w:rPr>
  </w:style>
  <w:style w:type="paragraph" w:styleId="FootnoteText">
    <w:name w:val="footnote text"/>
    <w:basedOn w:val="Normal"/>
    <w:link w:val="FootnoteTextChar"/>
    <w:uiPriority w:val="21"/>
    <w:unhideWhenUsed/>
    <w:rsid w:val="009E7D68"/>
    <w:pPr>
      <w:autoSpaceDE/>
      <w:autoSpaceDN/>
      <w:adjustRightInd/>
      <w:spacing w:before="60" w:after="20" w:line="220" w:lineRule="atLeast"/>
      <w:ind w:left="397" w:hanging="397"/>
      <w:jc w:val="left"/>
      <w:textAlignment w:val="auto"/>
    </w:pPr>
    <w:rPr>
      <w:rFonts w:ascii="Book Antiqua" w:eastAsia="Times New Roman" w:hAnsi="Book Antiqua" w:cs="Times New Roman"/>
      <w:color w:val="auto"/>
      <w:sz w:val="18"/>
      <w:szCs w:val="20"/>
      <w:lang w:val="en-AU" w:eastAsia="en-US"/>
    </w:rPr>
  </w:style>
  <w:style w:type="character" w:customStyle="1" w:styleId="FootnoteTextChar">
    <w:name w:val="Footnote Text Char"/>
    <w:basedOn w:val="DefaultParagraphFont"/>
    <w:link w:val="FootnoteText"/>
    <w:uiPriority w:val="21"/>
    <w:rsid w:val="009E7D68"/>
    <w:rPr>
      <w:rFonts w:ascii="Book Antiqua" w:hAnsi="Book Antiqua"/>
      <w:sz w:val="18"/>
      <w:lang w:eastAsia="en-US"/>
    </w:rPr>
  </w:style>
  <w:style w:type="paragraph" w:styleId="NormalWeb">
    <w:name w:val="Normal (Web)"/>
    <w:basedOn w:val="Normal"/>
    <w:uiPriority w:val="99"/>
    <w:rsid w:val="009E7D68"/>
    <w:pPr>
      <w:autoSpaceDE/>
      <w:autoSpaceDN/>
      <w:adjustRightInd/>
      <w:spacing w:before="60" w:after="120" w:line="260" w:lineRule="atLeast"/>
      <w:jc w:val="left"/>
      <w:textAlignment w:val="auto"/>
    </w:pPr>
    <w:rPr>
      <w:rFonts w:ascii="Times New Roman" w:eastAsia="Times New Roman" w:hAnsi="Times New Roman" w:cs="Times New Roman"/>
      <w:color w:val="auto"/>
      <w:sz w:val="24"/>
      <w:lang w:val="en-AU"/>
    </w:rPr>
  </w:style>
  <w:style w:type="paragraph" w:customStyle="1" w:styleId="AIHWbodytext">
    <w:name w:val="AIHW body text"/>
    <w:basedOn w:val="Normal"/>
    <w:link w:val="AIHWbodytextChar"/>
    <w:qFormat/>
    <w:rsid w:val="009E7D68"/>
    <w:pPr>
      <w:autoSpaceDE/>
      <w:autoSpaceDN/>
      <w:adjustRightInd/>
      <w:spacing w:before="60" w:after="120" w:line="260" w:lineRule="atLeast"/>
      <w:jc w:val="left"/>
      <w:textAlignment w:val="auto"/>
    </w:pPr>
    <w:rPr>
      <w:rFonts w:ascii="Book Antiqua" w:eastAsia="Times New Roman" w:hAnsi="Book Antiqua" w:cs="Times New Roman"/>
      <w:color w:val="auto"/>
      <w:szCs w:val="20"/>
      <w:lang w:val="en-AU" w:eastAsia="en-US"/>
    </w:rPr>
  </w:style>
  <w:style w:type="character" w:customStyle="1" w:styleId="AIHWbodytextChar">
    <w:name w:val="AIHW body text Char"/>
    <w:link w:val="AIHWbodytext"/>
    <w:locked/>
    <w:rsid w:val="009E7D68"/>
    <w:rPr>
      <w:rFonts w:ascii="Book Antiqua" w:hAnsi="Book Antiqua"/>
      <w:sz w:val="22"/>
      <w:lang w:eastAsia="en-US"/>
    </w:rPr>
  </w:style>
  <w:style w:type="paragraph" w:customStyle="1" w:styleId="Default">
    <w:name w:val="Default"/>
    <w:rsid w:val="009E7D68"/>
    <w:pPr>
      <w:autoSpaceDE w:val="0"/>
      <w:autoSpaceDN w:val="0"/>
      <w:adjustRightInd w:val="0"/>
    </w:pPr>
    <w:rPr>
      <w:rFonts w:ascii="Calibri" w:hAnsi="Calibri" w:cs="Calibri"/>
      <w:color w:val="000000"/>
      <w:sz w:val="24"/>
      <w:szCs w:val="24"/>
    </w:rPr>
  </w:style>
  <w:style w:type="paragraph" w:customStyle="1" w:styleId="FigureCaption">
    <w:name w:val="Figure: Caption"/>
    <w:basedOn w:val="Normal"/>
    <w:next w:val="AIHWbodytext"/>
    <w:uiPriority w:val="5"/>
    <w:rsid w:val="009E7D68"/>
    <w:pPr>
      <w:keepNext/>
      <w:keepLines/>
      <w:autoSpaceDE/>
      <w:autoSpaceDN/>
      <w:adjustRightInd/>
      <w:spacing w:after="120" w:line="240" w:lineRule="atLeast"/>
      <w:jc w:val="left"/>
      <w:textAlignment w:val="auto"/>
    </w:pPr>
    <w:rPr>
      <w:rFonts w:ascii="Book Antiqua" w:eastAsia="Times New Roman" w:hAnsi="Book Antiqua" w:cs="Times New Roman"/>
      <w:b/>
      <w:color w:val="auto"/>
      <w:sz w:val="20"/>
      <w:szCs w:val="20"/>
      <w:lang w:val="en-AU" w:eastAsia="en-US"/>
    </w:rPr>
  </w:style>
  <w:style w:type="paragraph" w:styleId="TOCHeading">
    <w:name w:val="TOC Heading"/>
    <w:basedOn w:val="Heading1"/>
    <w:next w:val="Normal"/>
    <w:uiPriority w:val="39"/>
    <w:semiHidden/>
    <w:unhideWhenUsed/>
    <w:qFormat/>
    <w:rsid w:val="009E7D68"/>
    <w:pPr>
      <w:jc w:val="both"/>
      <w:outlineLvl w:val="9"/>
    </w:pPr>
    <w:rPr>
      <w:rFonts w:asciiTheme="majorHAnsi" w:hAnsiTheme="majorHAnsi"/>
      <w:color w:val="365F91" w:themeColor="accent1" w:themeShade="BF"/>
      <w:sz w:val="28"/>
      <w:szCs w:val="28"/>
    </w:rPr>
  </w:style>
  <w:style w:type="paragraph" w:customStyle="1" w:styleId="Bullet1">
    <w:name w:val="Bullet 1"/>
    <w:basedOn w:val="AIHWbodytext"/>
    <w:link w:val="Bullet1Char"/>
    <w:uiPriority w:val="2"/>
    <w:qFormat/>
    <w:rsid w:val="009E7D68"/>
    <w:pPr>
      <w:numPr>
        <w:numId w:val="2"/>
      </w:numPr>
      <w:spacing w:before="40" w:after="80"/>
    </w:pPr>
  </w:style>
  <w:style w:type="paragraph" w:customStyle="1" w:styleId="TableSourcefootnotes">
    <w:name w:val="Table: Source &amp; footnotes"/>
    <w:basedOn w:val="AIHWbodytext"/>
    <w:next w:val="AIHWbodytext"/>
    <w:uiPriority w:val="5"/>
    <w:rsid w:val="009E7D68"/>
    <w:pPr>
      <w:keepLines/>
      <w:tabs>
        <w:tab w:val="left" w:pos="397"/>
      </w:tabs>
      <w:spacing w:before="120" w:line="180" w:lineRule="atLeast"/>
    </w:pPr>
    <w:rPr>
      <w:rFonts w:ascii="Arial" w:hAnsi="Arial"/>
      <w:sz w:val="14"/>
    </w:rPr>
  </w:style>
  <w:style w:type="character" w:customStyle="1" w:styleId="Bullet1Char">
    <w:name w:val="Bullet 1 Char"/>
    <w:basedOn w:val="DefaultParagraphFont"/>
    <w:link w:val="Bullet1"/>
    <w:uiPriority w:val="2"/>
    <w:locked/>
    <w:rsid w:val="009E7D68"/>
    <w:rPr>
      <w:rFonts w:ascii="Book Antiqua" w:hAnsi="Book Antiqua"/>
      <w:sz w:val="22"/>
      <w:lang w:eastAsia="en-US"/>
    </w:rPr>
  </w:style>
  <w:style w:type="character" w:customStyle="1" w:styleId="apple-converted-space">
    <w:name w:val="apple-converted-space"/>
    <w:basedOn w:val="DefaultParagraphFont"/>
    <w:rsid w:val="009E7D68"/>
  </w:style>
  <w:style w:type="character" w:customStyle="1" w:styleId="table-note">
    <w:name w:val="table-note"/>
    <w:basedOn w:val="DefaultParagraphFont"/>
    <w:qFormat/>
    <w:rsid w:val="009E7D68"/>
  </w:style>
  <w:style w:type="paragraph" w:customStyle="1" w:styleId="TableFigText">
    <w:name w:val="Table/Fig: Text"/>
    <w:basedOn w:val="AIHWbodytext"/>
    <w:link w:val="TableFigTextChar"/>
    <w:uiPriority w:val="6"/>
    <w:rsid w:val="009E7D68"/>
    <w:pPr>
      <w:keepLines/>
      <w:tabs>
        <w:tab w:val="left" w:pos="198"/>
      </w:tabs>
      <w:spacing w:after="60" w:line="200" w:lineRule="atLeast"/>
    </w:pPr>
    <w:rPr>
      <w:rFonts w:ascii="Arial" w:hAnsi="Arial"/>
      <w:sz w:val="16"/>
    </w:rPr>
  </w:style>
  <w:style w:type="paragraph" w:customStyle="1" w:styleId="TableCaption">
    <w:name w:val="Table: Caption"/>
    <w:basedOn w:val="AIHWbodytext"/>
    <w:next w:val="Normal"/>
    <w:uiPriority w:val="5"/>
    <w:rsid w:val="009E7D68"/>
    <w:pPr>
      <w:keepNext/>
      <w:keepLines/>
      <w:spacing w:before="240" w:line="240" w:lineRule="atLeast"/>
    </w:pPr>
    <w:rPr>
      <w:b/>
      <w:sz w:val="20"/>
    </w:rPr>
  </w:style>
  <w:style w:type="character" w:customStyle="1" w:styleId="TableFigTextChar">
    <w:name w:val="Table/Fig: Text Char"/>
    <w:link w:val="TableFigText"/>
    <w:uiPriority w:val="6"/>
    <w:rsid w:val="009E7D68"/>
    <w:rPr>
      <w:rFonts w:ascii="Arial" w:hAnsi="Arial"/>
      <w:sz w:val="16"/>
      <w:lang w:eastAsia="en-US"/>
    </w:rPr>
  </w:style>
  <w:style w:type="paragraph" w:customStyle="1" w:styleId="TableFigNotesnumbered">
    <w:name w:val="Table/Fig: Notes numbered"/>
    <w:basedOn w:val="TableSourcefootnotes"/>
    <w:link w:val="TableFigNotesnumberedChar"/>
    <w:uiPriority w:val="6"/>
    <w:rsid w:val="009E7D68"/>
    <w:pPr>
      <w:tabs>
        <w:tab w:val="clear" w:pos="397"/>
      </w:tabs>
      <w:spacing w:after="0"/>
      <w:ind w:left="397" w:hanging="397"/>
    </w:pPr>
  </w:style>
  <w:style w:type="character" w:customStyle="1" w:styleId="TableFigNotesnumberedChar">
    <w:name w:val="Table/Fig: Notes numbered Char"/>
    <w:link w:val="TableFigNotesnumbered"/>
    <w:uiPriority w:val="6"/>
    <w:rsid w:val="009E7D68"/>
    <w:rPr>
      <w:rFonts w:ascii="Arial" w:hAnsi="Arial"/>
      <w:sz w:val="14"/>
      <w:lang w:eastAsia="en-US"/>
    </w:rPr>
  </w:style>
  <w:style w:type="paragraph" w:styleId="Revision">
    <w:name w:val="Revision"/>
    <w:hidden/>
    <w:uiPriority w:val="99"/>
    <w:semiHidden/>
    <w:rsid w:val="009E7D68"/>
    <w:rPr>
      <w:rFonts w:ascii="Calibri" w:eastAsiaTheme="minorEastAsia" w:hAnsi="Calibri" w:cs="MinionPro-Regular"/>
      <w:color w:val="000000"/>
      <w:sz w:val="22"/>
      <w:szCs w:val="22"/>
      <w:lang w:val="en"/>
    </w:rPr>
  </w:style>
  <w:style w:type="character" w:customStyle="1" w:styleId="Heading6Char">
    <w:name w:val="Heading 6 Char"/>
    <w:basedOn w:val="DefaultParagraphFont"/>
    <w:link w:val="Heading6"/>
    <w:uiPriority w:val="1"/>
    <w:rsid w:val="009E7D68"/>
    <w:rPr>
      <w:rFonts w:ascii="Book Antiqua" w:hAnsi="Book Antiqua"/>
      <w:i/>
      <w:color w:val="000000"/>
      <w:sz w:val="22"/>
      <w:szCs w:val="22"/>
      <w:lang w:eastAsia="en-US"/>
    </w:rPr>
  </w:style>
  <w:style w:type="paragraph" w:customStyle="1" w:styleId="Bullet2">
    <w:name w:val="Bullet 2"/>
    <w:basedOn w:val="Bullet1"/>
    <w:uiPriority w:val="2"/>
    <w:qFormat/>
    <w:rsid w:val="009E7D68"/>
    <w:pPr>
      <w:numPr>
        <w:numId w:val="3"/>
      </w:numPr>
      <w:tabs>
        <w:tab w:val="clear" w:pos="794"/>
        <w:tab w:val="num" w:pos="397"/>
      </w:tabs>
      <w:ind w:left="397"/>
    </w:pPr>
  </w:style>
  <w:style w:type="paragraph" w:customStyle="1" w:styleId="BoxHeading2">
    <w:name w:val="Box: Heading 2"/>
    <w:basedOn w:val="BoxText"/>
    <w:next w:val="BoxText"/>
    <w:uiPriority w:val="3"/>
    <w:qFormat/>
    <w:rsid w:val="009E7D68"/>
    <w:pPr>
      <w:pBdr>
        <w:top w:val="single" w:sz="4" w:space="10" w:color="000000"/>
        <w:left w:val="single" w:sz="4" w:space="10" w:color="000000"/>
        <w:bottom w:val="single" w:sz="4" w:space="10" w:color="000000"/>
        <w:right w:val="single" w:sz="4" w:space="10" w:color="000000"/>
      </w:pBdr>
      <w:tabs>
        <w:tab w:val="left" w:pos="397"/>
      </w:tabs>
      <w:spacing w:before="120" w:after="60" w:line="240" w:lineRule="atLeast"/>
      <w:ind w:left="255" w:right="255"/>
    </w:pPr>
    <w:rPr>
      <w:b/>
      <w:sz w:val="21"/>
    </w:rPr>
  </w:style>
  <w:style w:type="table" w:customStyle="1" w:styleId="AIHWTable">
    <w:name w:val="AIHW Table"/>
    <w:basedOn w:val="TableNormal"/>
    <w:rsid w:val="009E7D68"/>
    <w:pPr>
      <w:tabs>
        <w:tab w:val="left" w:pos="198"/>
      </w:tabs>
      <w:spacing w:after="60" w:line="200" w:lineRule="atLeast"/>
      <w:jc w:val="right"/>
    </w:pPr>
    <w:rPr>
      <w:rFonts w:ascii="Arial" w:hAnsi="Arial"/>
      <w:color w:val="000000"/>
      <w:sz w:val="16"/>
    </w:rPr>
    <w:tblPr>
      <w:tblBorders>
        <w:top w:val="single" w:sz="4" w:space="0" w:color="000000"/>
        <w:bottom w:val="single" w:sz="4" w:space="0" w:color="000000"/>
      </w:tblBorders>
      <w:tblCellMar>
        <w:left w:w="85" w:type="dxa"/>
        <w:right w:w="85" w:type="dxa"/>
      </w:tblCellMar>
    </w:tblPr>
    <w:tcPr>
      <w:shd w:val="clear" w:color="auto" w:fill="auto"/>
      <w:vAlign w:val="bottom"/>
    </w:tcPr>
    <w:tblStylePr w:type="firstRow">
      <w:rPr>
        <w:rFonts w:ascii="Arial" w:hAnsi="Arial"/>
        <w:b/>
        <w:i w:val="0"/>
        <w:caps w:val="0"/>
        <w:smallCaps w:val="0"/>
        <w:strike w:val="0"/>
        <w:dstrike w:val="0"/>
        <w:vanish w:val="0"/>
        <w:color w:val="000000"/>
        <w:sz w:val="16"/>
        <w14:shadow w14:blurRad="0" w14:dist="0" w14:dir="0" w14:sx="0" w14:sy="0" w14:kx="0" w14:ky="0" w14:algn="none">
          <w14:srgbClr w14:val="000000"/>
        </w14:shadow>
        <w14:textOutline w14:w="0" w14:cap="rnd" w14:cmpd="sng" w14:algn="ctr">
          <w14:noFill/>
          <w14:prstDash w14:val="solid"/>
          <w14:bevel/>
        </w14:textOutline>
      </w:rPr>
      <w:tblPr/>
      <w:tcPr>
        <w:tcBorders>
          <w:top w:val="single" w:sz="4" w:space="0" w:color="000000"/>
          <w:left w:val="nil"/>
          <w:bottom w:val="single" w:sz="4" w:space="0" w:color="000000"/>
          <w:right w:val="nil"/>
          <w:insideH w:val="nil"/>
          <w:insideV w:val="nil"/>
          <w:tl2br w:val="nil"/>
          <w:tr2bl w:val="nil"/>
        </w:tcBorders>
      </w:tcPr>
    </w:tblStylePr>
    <w:tblStylePr w:type="firstCol">
      <w:pPr>
        <w:wordWrap/>
        <w:jc w:val="left"/>
      </w:pPr>
    </w:tblStylePr>
  </w:style>
  <w:style w:type="table" w:styleId="LightShading">
    <w:name w:val="Light Shading"/>
    <w:basedOn w:val="TableNormal"/>
    <w:uiPriority w:val="60"/>
    <w:rsid w:val="009E7D68"/>
    <w:rPr>
      <w:rFonts w:ascii="Book Antiqua" w:hAnsi="Book Antiqua"/>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BoxText">
    <w:name w:val="Box: Text"/>
    <w:basedOn w:val="AIHWbodytext"/>
    <w:next w:val="AIHWbodytext"/>
    <w:link w:val="BoxTextChar"/>
    <w:uiPriority w:val="3"/>
    <w:qFormat/>
    <w:rsid w:val="009E7D68"/>
  </w:style>
  <w:style w:type="paragraph" w:customStyle="1" w:styleId="BoxBullet1">
    <w:name w:val="Box: Bullet 1"/>
    <w:basedOn w:val="BoxText"/>
    <w:uiPriority w:val="3"/>
    <w:qFormat/>
    <w:rsid w:val="009E7D68"/>
    <w:pPr>
      <w:numPr>
        <w:numId w:val="17"/>
      </w:numPr>
      <w:pBdr>
        <w:top w:val="single" w:sz="4" w:space="10" w:color="000000"/>
        <w:left w:val="single" w:sz="4" w:space="10" w:color="000000"/>
        <w:bottom w:val="single" w:sz="4" w:space="10" w:color="000000"/>
        <w:right w:val="single" w:sz="4" w:space="10" w:color="000000"/>
      </w:pBdr>
      <w:tabs>
        <w:tab w:val="clear" w:pos="964"/>
        <w:tab w:val="num" w:pos="714"/>
      </w:tabs>
      <w:spacing w:after="20" w:line="240" w:lineRule="atLeast"/>
      <w:ind w:left="709" w:right="255" w:hanging="454"/>
    </w:pPr>
    <w:rPr>
      <w:sz w:val="21"/>
    </w:rPr>
  </w:style>
  <w:style w:type="paragraph" w:customStyle="1" w:styleId="BoxHeading1">
    <w:name w:val="Box: Heading 1"/>
    <w:basedOn w:val="BoxText"/>
    <w:next w:val="BoxText"/>
    <w:uiPriority w:val="3"/>
    <w:qFormat/>
    <w:rsid w:val="009E7D68"/>
    <w:pPr>
      <w:keepNext/>
      <w:keepLines/>
      <w:pBdr>
        <w:top w:val="single" w:sz="4" w:space="10" w:color="000000"/>
        <w:left w:val="single" w:sz="4" w:space="10" w:color="000000"/>
        <w:bottom w:val="single" w:sz="4" w:space="10" w:color="000000"/>
        <w:right w:val="single" w:sz="4" w:space="10" w:color="000000"/>
      </w:pBdr>
      <w:spacing w:before="120" w:after="60" w:line="240" w:lineRule="atLeast"/>
      <w:ind w:left="255" w:right="255"/>
    </w:pPr>
    <w:rPr>
      <w:rFonts w:ascii="Arial" w:hAnsi="Arial"/>
      <w:b/>
    </w:rPr>
  </w:style>
  <w:style w:type="paragraph" w:customStyle="1" w:styleId="FigureSourcefootnotes">
    <w:name w:val="Figure: Source &amp; footnotes"/>
    <w:basedOn w:val="TableSourcefootnotes"/>
    <w:next w:val="FigureCaption"/>
    <w:uiPriority w:val="5"/>
    <w:rsid w:val="009E7D68"/>
  </w:style>
  <w:style w:type="paragraph" w:customStyle="1" w:styleId="IndentedQuotes">
    <w:name w:val="Indented: Quotes"/>
    <w:aliases w:val="etc."/>
    <w:basedOn w:val="AIHWbodytext"/>
    <w:next w:val="AIHWbodytext"/>
    <w:uiPriority w:val="4"/>
    <w:qFormat/>
    <w:rsid w:val="009E7D68"/>
  </w:style>
  <w:style w:type="paragraph" w:customStyle="1" w:styleId="TableFigSubtotal">
    <w:name w:val="Table/Fig: Subtotal"/>
    <w:basedOn w:val="TableFigText"/>
    <w:next w:val="TableFigText"/>
    <w:uiPriority w:val="6"/>
    <w:rsid w:val="009E7D68"/>
    <w:rPr>
      <w:i/>
    </w:rPr>
  </w:style>
  <w:style w:type="numbering" w:styleId="111111">
    <w:name w:val="Outline List 2"/>
    <w:basedOn w:val="NoList"/>
    <w:rsid w:val="009E7D68"/>
    <w:pPr>
      <w:numPr>
        <w:numId w:val="4"/>
      </w:numPr>
    </w:pPr>
  </w:style>
  <w:style w:type="numbering" w:styleId="1ai">
    <w:name w:val="Outline List 1"/>
    <w:basedOn w:val="NoList"/>
    <w:rsid w:val="009E7D68"/>
    <w:pPr>
      <w:numPr>
        <w:numId w:val="5"/>
      </w:numPr>
    </w:pPr>
  </w:style>
  <w:style w:type="numbering" w:styleId="ArticleSection">
    <w:name w:val="Outline List 3"/>
    <w:basedOn w:val="NoList"/>
    <w:rsid w:val="009E7D68"/>
    <w:pPr>
      <w:numPr>
        <w:numId w:val="6"/>
      </w:numPr>
    </w:pPr>
  </w:style>
  <w:style w:type="paragraph" w:styleId="BlockText">
    <w:name w:val="Block Text"/>
    <w:basedOn w:val="Normal"/>
    <w:rsid w:val="009E7D68"/>
    <w:pPr>
      <w:autoSpaceDE/>
      <w:autoSpaceDN/>
      <w:adjustRightInd/>
      <w:spacing w:before="60" w:after="120" w:line="260" w:lineRule="atLeast"/>
      <w:ind w:left="1440" w:right="1440"/>
      <w:jc w:val="left"/>
      <w:textAlignment w:val="auto"/>
    </w:pPr>
    <w:rPr>
      <w:rFonts w:ascii="Book Antiqua" w:eastAsia="Times New Roman" w:hAnsi="Book Antiqua" w:cs="Times New Roman"/>
      <w:color w:val="auto"/>
      <w:lang w:val="en-AU"/>
    </w:rPr>
  </w:style>
  <w:style w:type="paragraph" w:styleId="BodyText">
    <w:name w:val="Body Text"/>
    <w:basedOn w:val="Normal"/>
    <w:link w:val="BodyTextChar"/>
    <w:rsid w:val="009E7D68"/>
    <w:p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character" w:customStyle="1" w:styleId="BodyTextChar">
    <w:name w:val="Body Text Char"/>
    <w:basedOn w:val="DefaultParagraphFont"/>
    <w:link w:val="BodyText"/>
    <w:rsid w:val="009E7D68"/>
    <w:rPr>
      <w:rFonts w:ascii="Book Antiqua" w:hAnsi="Book Antiqua"/>
      <w:sz w:val="22"/>
      <w:szCs w:val="22"/>
    </w:rPr>
  </w:style>
  <w:style w:type="paragraph" w:styleId="BodyText2">
    <w:name w:val="Body Text 2"/>
    <w:basedOn w:val="Normal"/>
    <w:link w:val="BodyText2Char"/>
    <w:rsid w:val="009E7D68"/>
    <w:pPr>
      <w:autoSpaceDE/>
      <w:autoSpaceDN/>
      <w:adjustRightInd/>
      <w:spacing w:before="60" w:after="120" w:line="480" w:lineRule="auto"/>
      <w:jc w:val="left"/>
      <w:textAlignment w:val="auto"/>
    </w:pPr>
    <w:rPr>
      <w:rFonts w:ascii="Book Antiqua" w:eastAsia="Times New Roman" w:hAnsi="Book Antiqua" w:cs="Times New Roman"/>
      <w:color w:val="auto"/>
      <w:lang w:val="en-AU"/>
    </w:rPr>
  </w:style>
  <w:style w:type="character" w:customStyle="1" w:styleId="BodyText2Char">
    <w:name w:val="Body Text 2 Char"/>
    <w:basedOn w:val="DefaultParagraphFont"/>
    <w:link w:val="BodyText2"/>
    <w:rsid w:val="009E7D68"/>
    <w:rPr>
      <w:rFonts w:ascii="Book Antiqua" w:hAnsi="Book Antiqua"/>
      <w:sz w:val="22"/>
      <w:szCs w:val="22"/>
    </w:rPr>
  </w:style>
  <w:style w:type="paragraph" w:styleId="BodyText3">
    <w:name w:val="Body Text 3"/>
    <w:basedOn w:val="Normal"/>
    <w:link w:val="BodyText3Char"/>
    <w:rsid w:val="009E7D68"/>
    <w:pPr>
      <w:autoSpaceDE/>
      <w:autoSpaceDN/>
      <w:adjustRightInd/>
      <w:spacing w:before="60" w:after="120" w:line="260" w:lineRule="atLeast"/>
      <w:jc w:val="left"/>
      <w:textAlignment w:val="auto"/>
    </w:pPr>
    <w:rPr>
      <w:rFonts w:ascii="Book Antiqua" w:eastAsia="Times New Roman" w:hAnsi="Book Antiqua" w:cs="Times New Roman"/>
      <w:color w:val="auto"/>
      <w:sz w:val="16"/>
      <w:szCs w:val="16"/>
      <w:lang w:val="en-AU"/>
    </w:rPr>
  </w:style>
  <w:style w:type="character" w:customStyle="1" w:styleId="BodyText3Char">
    <w:name w:val="Body Text 3 Char"/>
    <w:basedOn w:val="DefaultParagraphFont"/>
    <w:link w:val="BodyText3"/>
    <w:rsid w:val="009E7D68"/>
    <w:rPr>
      <w:rFonts w:ascii="Book Antiqua" w:hAnsi="Book Antiqua"/>
      <w:sz w:val="16"/>
      <w:szCs w:val="16"/>
    </w:rPr>
  </w:style>
  <w:style w:type="paragraph" w:styleId="BodyTextFirstIndent">
    <w:name w:val="Body Text First Indent"/>
    <w:basedOn w:val="BodyText"/>
    <w:link w:val="BodyTextFirstIndentChar"/>
    <w:rsid w:val="009E7D68"/>
    <w:pPr>
      <w:ind w:firstLine="210"/>
    </w:pPr>
  </w:style>
  <w:style w:type="character" w:customStyle="1" w:styleId="BodyTextFirstIndentChar">
    <w:name w:val="Body Text First Indent Char"/>
    <w:basedOn w:val="BodyTextChar"/>
    <w:link w:val="BodyTextFirstIndent"/>
    <w:rsid w:val="009E7D68"/>
    <w:rPr>
      <w:rFonts w:ascii="Book Antiqua" w:hAnsi="Book Antiqua"/>
      <w:sz w:val="22"/>
      <w:szCs w:val="22"/>
    </w:rPr>
  </w:style>
  <w:style w:type="paragraph" w:styleId="BodyTextIndent">
    <w:name w:val="Body Text Indent"/>
    <w:basedOn w:val="Normal"/>
    <w:link w:val="BodyTextIndentChar"/>
    <w:rsid w:val="009E7D68"/>
    <w:pPr>
      <w:autoSpaceDE/>
      <w:autoSpaceDN/>
      <w:adjustRightInd/>
      <w:spacing w:before="60" w:after="120" w:line="260" w:lineRule="atLeast"/>
      <w:ind w:left="283"/>
      <w:jc w:val="left"/>
      <w:textAlignment w:val="auto"/>
    </w:pPr>
    <w:rPr>
      <w:rFonts w:ascii="Book Antiqua" w:eastAsia="Times New Roman" w:hAnsi="Book Antiqua" w:cs="Times New Roman"/>
      <w:color w:val="auto"/>
      <w:lang w:val="en-AU"/>
    </w:rPr>
  </w:style>
  <w:style w:type="character" w:customStyle="1" w:styleId="BodyTextIndentChar">
    <w:name w:val="Body Text Indent Char"/>
    <w:basedOn w:val="DefaultParagraphFont"/>
    <w:link w:val="BodyTextIndent"/>
    <w:rsid w:val="009E7D68"/>
    <w:rPr>
      <w:rFonts w:ascii="Book Antiqua" w:hAnsi="Book Antiqua"/>
      <w:sz w:val="22"/>
      <w:szCs w:val="22"/>
    </w:rPr>
  </w:style>
  <w:style w:type="paragraph" w:styleId="BodyTextFirstIndent2">
    <w:name w:val="Body Text First Indent 2"/>
    <w:basedOn w:val="BodyTextIndent"/>
    <w:link w:val="BodyTextFirstIndent2Char"/>
    <w:rsid w:val="009E7D68"/>
    <w:pPr>
      <w:ind w:firstLine="210"/>
    </w:pPr>
  </w:style>
  <w:style w:type="character" w:customStyle="1" w:styleId="BodyTextFirstIndent2Char">
    <w:name w:val="Body Text First Indent 2 Char"/>
    <w:basedOn w:val="BodyTextIndentChar"/>
    <w:link w:val="BodyTextFirstIndent2"/>
    <w:rsid w:val="009E7D68"/>
    <w:rPr>
      <w:rFonts w:ascii="Book Antiqua" w:hAnsi="Book Antiqua"/>
      <w:sz w:val="22"/>
      <w:szCs w:val="22"/>
    </w:rPr>
  </w:style>
  <w:style w:type="paragraph" w:styleId="BodyTextIndent2">
    <w:name w:val="Body Text Indent 2"/>
    <w:basedOn w:val="Normal"/>
    <w:link w:val="BodyTextIndent2Char"/>
    <w:rsid w:val="009E7D68"/>
    <w:pPr>
      <w:autoSpaceDE/>
      <w:autoSpaceDN/>
      <w:adjustRightInd/>
      <w:spacing w:before="60" w:after="120" w:line="480" w:lineRule="auto"/>
      <w:ind w:left="283"/>
      <w:jc w:val="left"/>
      <w:textAlignment w:val="auto"/>
    </w:pPr>
    <w:rPr>
      <w:rFonts w:ascii="Book Antiqua" w:eastAsia="Times New Roman" w:hAnsi="Book Antiqua" w:cs="Times New Roman"/>
      <w:color w:val="auto"/>
      <w:lang w:val="en-AU"/>
    </w:rPr>
  </w:style>
  <w:style w:type="character" w:customStyle="1" w:styleId="BodyTextIndent2Char">
    <w:name w:val="Body Text Indent 2 Char"/>
    <w:basedOn w:val="DefaultParagraphFont"/>
    <w:link w:val="BodyTextIndent2"/>
    <w:rsid w:val="009E7D68"/>
    <w:rPr>
      <w:rFonts w:ascii="Book Antiqua" w:hAnsi="Book Antiqua"/>
      <w:sz w:val="22"/>
      <w:szCs w:val="22"/>
    </w:rPr>
  </w:style>
  <w:style w:type="paragraph" w:styleId="BodyTextIndent3">
    <w:name w:val="Body Text Indent 3"/>
    <w:basedOn w:val="Normal"/>
    <w:link w:val="BodyTextIndent3Char"/>
    <w:rsid w:val="009E7D68"/>
    <w:pPr>
      <w:autoSpaceDE/>
      <w:autoSpaceDN/>
      <w:adjustRightInd/>
      <w:spacing w:before="60" w:after="120" w:line="260" w:lineRule="atLeast"/>
      <w:ind w:left="283"/>
      <w:jc w:val="left"/>
      <w:textAlignment w:val="auto"/>
    </w:pPr>
    <w:rPr>
      <w:rFonts w:ascii="Book Antiqua" w:eastAsia="Times New Roman" w:hAnsi="Book Antiqua" w:cs="Times New Roman"/>
      <w:color w:val="auto"/>
      <w:sz w:val="16"/>
      <w:szCs w:val="16"/>
      <w:lang w:val="en-AU"/>
    </w:rPr>
  </w:style>
  <w:style w:type="character" w:customStyle="1" w:styleId="BodyTextIndent3Char">
    <w:name w:val="Body Text Indent 3 Char"/>
    <w:basedOn w:val="DefaultParagraphFont"/>
    <w:link w:val="BodyTextIndent3"/>
    <w:rsid w:val="009E7D68"/>
    <w:rPr>
      <w:rFonts w:ascii="Book Antiqua" w:hAnsi="Book Antiqua"/>
      <w:sz w:val="16"/>
      <w:szCs w:val="16"/>
    </w:rPr>
  </w:style>
  <w:style w:type="paragraph" w:styleId="Closing">
    <w:name w:val="Closing"/>
    <w:basedOn w:val="Normal"/>
    <w:link w:val="ClosingChar"/>
    <w:rsid w:val="009E7D68"/>
    <w:pPr>
      <w:autoSpaceDE/>
      <w:autoSpaceDN/>
      <w:adjustRightInd/>
      <w:spacing w:before="60" w:after="120" w:line="260" w:lineRule="atLeast"/>
      <w:ind w:left="4252"/>
      <w:jc w:val="left"/>
      <w:textAlignment w:val="auto"/>
    </w:pPr>
    <w:rPr>
      <w:rFonts w:ascii="Book Antiqua" w:eastAsia="Times New Roman" w:hAnsi="Book Antiqua" w:cs="Times New Roman"/>
      <w:color w:val="auto"/>
      <w:lang w:val="en-AU"/>
    </w:rPr>
  </w:style>
  <w:style w:type="character" w:customStyle="1" w:styleId="ClosingChar">
    <w:name w:val="Closing Char"/>
    <w:basedOn w:val="DefaultParagraphFont"/>
    <w:link w:val="Closing"/>
    <w:rsid w:val="009E7D68"/>
    <w:rPr>
      <w:rFonts w:ascii="Book Antiqua" w:hAnsi="Book Antiqua"/>
      <w:sz w:val="22"/>
      <w:szCs w:val="22"/>
    </w:rPr>
  </w:style>
  <w:style w:type="paragraph" w:styleId="Date">
    <w:name w:val="Date"/>
    <w:basedOn w:val="Normal"/>
    <w:next w:val="Normal"/>
    <w:link w:val="DateChar"/>
    <w:rsid w:val="009E7D68"/>
    <w:p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character" w:customStyle="1" w:styleId="DateChar">
    <w:name w:val="Date Char"/>
    <w:basedOn w:val="DefaultParagraphFont"/>
    <w:link w:val="Date"/>
    <w:rsid w:val="009E7D68"/>
    <w:rPr>
      <w:rFonts w:ascii="Book Antiqua" w:hAnsi="Book Antiqua"/>
      <w:sz w:val="22"/>
      <w:szCs w:val="22"/>
    </w:rPr>
  </w:style>
  <w:style w:type="paragraph" w:styleId="E-mailSignature">
    <w:name w:val="E-mail Signature"/>
    <w:basedOn w:val="Normal"/>
    <w:link w:val="E-mailSignatureChar"/>
    <w:rsid w:val="009E7D68"/>
    <w:p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character" w:customStyle="1" w:styleId="E-mailSignatureChar">
    <w:name w:val="E-mail Signature Char"/>
    <w:basedOn w:val="DefaultParagraphFont"/>
    <w:link w:val="E-mailSignature"/>
    <w:rsid w:val="009E7D68"/>
    <w:rPr>
      <w:rFonts w:ascii="Book Antiqua" w:hAnsi="Book Antiqua"/>
      <w:sz w:val="22"/>
      <w:szCs w:val="22"/>
    </w:rPr>
  </w:style>
  <w:style w:type="paragraph" w:customStyle="1" w:styleId="Bullet3">
    <w:name w:val="Bullet 3"/>
    <w:basedOn w:val="Bullet2"/>
    <w:uiPriority w:val="2"/>
    <w:qFormat/>
    <w:rsid w:val="009E7D68"/>
    <w:pPr>
      <w:numPr>
        <w:ilvl w:val="1"/>
        <w:numId w:val="18"/>
      </w:numPr>
      <w:tabs>
        <w:tab w:val="clear" w:pos="1440"/>
      </w:tabs>
      <w:ind w:left="1276" w:hanging="425"/>
    </w:pPr>
  </w:style>
  <w:style w:type="paragraph" w:styleId="EnvelopeAddress">
    <w:name w:val="envelope address"/>
    <w:basedOn w:val="Normal"/>
    <w:rsid w:val="009E7D68"/>
    <w:pPr>
      <w:framePr w:w="7920" w:h="1980" w:hRule="exact" w:hSpace="180" w:wrap="auto" w:hAnchor="page" w:xAlign="center" w:yAlign="bottom"/>
      <w:autoSpaceDE/>
      <w:autoSpaceDN/>
      <w:adjustRightInd/>
      <w:spacing w:before="60" w:after="120" w:line="260" w:lineRule="atLeast"/>
      <w:ind w:left="2880"/>
      <w:jc w:val="left"/>
      <w:textAlignment w:val="auto"/>
    </w:pPr>
    <w:rPr>
      <w:rFonts w:ascii="Arial" w:eastAsia="Times New Roman" w:hAnsi="Arial" w:cs="Arial"/>
      <w:color w:val="auto"/>
      <w:sz w:val="24"/>
      <w:lang w:val="en-AU"/>
    </w:rPr>
  </w:style>
  <w:style w:type="paragraph" w:styleId="EnvelopeReturn">
    <w:name w:val="envelope return"/>
    <w:basedOn w:val="Normal"/>
    <w:rsid w:val="009E7D68"/>
    <w:pPr>
      <w:autoSpaceDE/>
      <w:autoSpaceDN/>
      <w:adjustRightInd/>
      <w:spacing w:before="60" w:after="120" w:line="260" w:lineRule="atLeast"/>
      <w:jc w:val="left"/>
      <w:textAlignment w:val="auto"/>
    </w:pPr>
    <w:rPr>
      <w:rFonts w:ascii="Arial" w:eastAsia="Times New Roman" w:hAnsi="Arial" w:cs="Arial"/>
      <w:color w:val="auto"/>
      <w:sz w:val="20"/>
      <w:szCs w:val="20"/>
      <w:lang w:val="en-AU"/>
    </w:rPr>
  </w:style>
  <w:style w:type="character" w:styleId="FollowedHyperlink">
    <w:name w:val="FollowedHyperlink"/>
    <w:uiPriority w:val="99"/>
    <w:unhideWhenUsed/>
    <w:rsid w:val="009E7D68"/>
    <w:rPr>
      <w:color w:val="5F497A" w:themeColor="accent4" w:themeShade="BF"/>
      <w:u w:val="single"/>
    </w:rPr>
  </w:style>
  <w:style w:type="character" w:styleId="HTMLAcronym">
    <w:name w:val="HTML Acronym"/>
    <w:basedOn w:val="DefaultParagraphFont"/>
    <w:rsid w:val="009E7D68"/>
  </w:style>
  <w:style w:type="paragraph" w:styleId="HTMLAddress">
    <w:name w:val="HTML Address"/>
    <w:basedOn w:val="Normal"/>
    <w:link w:val="HTMLAddressChar"/>
    <w:rsid w:val="009E7D68"/>
    <w:pPr>
      <w:autoSpaceDE/>
      <w:autoSpaceDN/>
      <w:adjustRightInd/>
      <w:spacing w:before="60" w:after="120" w:line="260" w:lineRule="atLeast"/>
      <w:jc w:val="left"/>
      <w:textAlignment w:val="auto"/>
    </w:pPr>
    <w:rPr>
      <w:rFonts w:ascii="Book Antiqua" w:eastAsia="Times New Roman" w:hAnsi="Book Antiqua" w:cs="Times New Roman"/>
      <w:i/>
      <w:iCs/>
      <w:color w:val="auto"/>
      <w:lang w:val="en-AU"/>
    </w:rPr>
  </w:style>
  <w:style w:type="character" w:customStyle="1" w:styleId="HTMLAddressChar">
    <w:name w:val="HTML Address Char"/>
    <w:basedOn w:val="DefaultParagraphFont"/>
    <w:link w:val="HTMLAddress"/>
    <w:rsid w:val="009E7D68"/>
    <w:rPr>
      <w:rFonts w:ascii="Book Antiqua" w:hAnsi="Book Antiqua"/>
      <w:i/>
      <w:iCs/>
      <w:sz w:val="22"/>
      <w:szCs w:val="22"/>
    </w:rPr>
  </w:style>
  <w:style w:type="character" w:styleId="HTMLCite">
    <w:name w:val="HTML Cite"/>
    <w:rsid w:val="009E7D68"/>
    <w:rPr>
      <w:i/>
      <w:iCs/>
    </w:rPr>
  </w:style>
  <w:style w:type="character" w:styleId="HTMLCode">
    <w:name w:val="HTML Code"/>
    <w:rsid w:val="009E7D68"/>
    <w:rPr>
      <w:rFonts w:ascii="Courier New" w:hAnsi="Courier New" w:cs="Courier New"/>
      <w:sz w:val="20"/>
      <w:szCs w:val="20"/>
    </w:rPr>
  </w:style>
  <w:style w:type="character" w:styleId="HTMLDefinition">
    <w:name w:val="HTML Definition"/>
    <w:rsid w:val="009E7D68"/>
    <w:rPr>
      <w:i/>
      <w:iCs/>
    </w:rPr>
  </w:style>
  <w:style w:type="character" w:styleId="HTMLKeyboard">
    <w:name w:val="HTML Keyboard"/>
    <w:rsid w:val="009E7D68"/>
    <w:rPr>
      <w:rFonts w:ascii="Courier New" w:hAnsi="Courier New" w:cs="Courier New"/>
      <w:sz w:val="20"/>
      <w:szCs w:val="20"/>
    </w:rPr>
  </w:style>
  <w:style w:type="paragraph" w:styleId="HTMLPreformatted">
    <w:name w:val="HTML Preformatted"/>
    <w:basedOn w:val="Normal"/>
    <w:link w:val="HTMLPreformattedChar"/>
    <w:rsid w:val="009E7D68"/>
    <w:pPr>
      <w:autoSpaceDE/>
      <w:autoSpaceDN/>
      <w:adjustRightInd/>
      <w:spacing w:before="60" w:after="120" w:line="260" w:lineRule="atLeast"/>
      <w:jc w:val="left"/>
      <w:textAlignment w:val="auto"/>
    </w:pPr>
    <w:rPr>
      <w:rFonts w:ascii="Courier New" w:eastAsia="Times New Roman" w:hAnsi="Courier New" w:cs="Courier New"/>
      <w:color w:val="auto"/>
      <w:sz w:val="20"/>
      <w:szCs w:val="20"/>
      <w:lang w:val="en-AU"/>
    </w:rPr>
  </w:style>
  <w:style w:type="character" w:customStyle="1" w:styleId="HTMLPreformattedChar">
    <w:name w:val="HTML Preformatted Char"/>
    <w:basedOn w:val="DefaultParagraphFont"/>
    <w:link w:val="HTMLPreformatted"/>
    <w:rsid w:val="009E7D68"/>
    <w:rPr>
      <w:rFonts w:ascii="Courier New" w:hAnsi="Courier New" w:cs="Courier New"/>
    </w:rPr>
  </w:style>
  <w:style w:type="character" w:styleId="HTMLSample">
    <w:name w:val="HTML Sample"/>
    <w:rsid w:val="009E7D68"/>
    <w:rPr>
      <w:rFonts w:ascii="Courier New" w:hAnsi="Courier New" w:cs="Courier New"/>
    </w:rPr>
  </w:style>
  <w:style w:type="character" w:styleId="HTMLTypewriter">
    <w:name w:val="HTML Typewriter"/>
    <w:rsid w:val="009E7D68"/>
    <w:rPr>
      <w:rFonts w:ascii="Courier New" w:hAnsi="Courier New" w:cs="Courier New"/>
      <w:sz w:val="20"/>
      <w:szCs w:val="20"/>
    </w:rPr>
  </w:style>
  <w:style w:type="character" w:styleId="HTMLVariable">
    <w:name w:val="HTML Variable"/>
    <w:rsid w:val="009E7D68"/>
    <w:rPr>
      <w:i/>
      <w:iCs/>
    </w:rPr>
  </w:style>
  <w:style w:type="character" w:styleId="LineNumber">
    <w:name w:val="line number"/>
    <w:basedOn w:val="DefaultParagraphFont"/>
    <w:rsid w:val="009E7D68"/>
  </w:style>
  <w:style w:type="paragraph" w:styleId="List">
    <w:name w:val="List"/>
    <w:basedOn w:val="Normal"/>
    <w:rsid w:val="009E7D68"/>
    <w:pPr>
      <w:autoSpaceDE/>
      <w:autoSpaceDN/>
      <w:adjustRightInd/>
      <w:spacing w:before="60" w:after="120" w:line="260" w:lineRule="atLeast"/>
      <w:ind w:left="283" w:hanging="283"/>
      <w:jc w:val="left"/>
      <w:textAlignment w:val="auto"/>
    </w:pPr>
    <w:rPr>
      <w:rFonts w:ascii="Book Antiqua" w:eastAsia="Times New Roman" w:hAnsi="Book Antiqua" w:cs="Times New Roman"/>
      <w:color w:val="auto"/>
      <w:lang w:val="en-AU"/>
    </w:rPr>
  </w:style>
  <w:style w:type="paragraph" w:styleId="List2">
    <w:name w:val="List 2"/>
    <w:basedOn w:val="Normal"/>
    <w:rsid w:val="009E7D68"/>
    <w:pPr>
      <w:autoSpaceDE/>
      <w:autoSpaceDN/>
      <w:adjustRightInd/>
      <w:spacing w:before="60" w:after="120" w:line="260" w:lineRule="atLeast"/>
      <w:ind w:left="566" w:hanging="283"/>
      <w:jc w:val="left"/>
      <w:textAlignment w:val="auto"/>
    </w:pPr>
    <w:rPr>
      <w:rFonts w:ascii="Book Antiqua" w:eastAsia="Times New Roman" w:hAnsi="Book Antiqua" w:cs="Times New Roman"/>
      <w:color w:val="auto"/>
      <w:lang w:val="en-AU"/>
    </w:rPr>
  </w:style>
  <w:style w:type="paragraph" w:styleId="List3">
    <w:name w:val="List 3"/>
    <w:basedOn w:val="Normal"/>
    <w:rsid w:val="009E7D68"/>
    <w:pPr>
      <w:autoSpaceDE/>
      <w:autoSpaceDN/>
      <w:adjustRightInd/>
      <w:spacing w:before="60" w:after="120" w:line="260" w:lineRule="atLeast"/>
      <w:ind w:left="849" w:hanging="283"/>
      <w:jc w:val="left"/>
      <w:textAlignment w:val="auto"/>
    </w:pPr>
    <w:rPr>
      <w:rFonts w:ascii="Book Antiqua" w:eastAsia="Times New Roman" w:hAnsi="Book Antiqua" w:cs="Times New Roman"/>
      <w:color w:val="auto"/>
      <w:lang w:val="en-AU"/>
    </w:rPr>
  </w:style>
  <w:style w:type="paragraph" w:styleId="List4">
    <w:name w:val="List 4"/>
    <w:basedOn w:val="Normal"/>
    <w:rsid w:val="009E7D68"/>
    <w:pPr>
      <w:autoSpaceDE/>
      <w:autoSpaceDN/>
      <w:adjustRightInd/>
      <w:spacing w:before="60" w:after="120" w:line="260" w:lineRule="atLeast"/>
      <w:ind w:left="1132" w:hanging="283"/>
      <w:jc w:val="left"/>
      <w:textAlignment w:val="auto"/>
    </w:pPr>
    <w:rPr>
      <w:rFonts w:ascii="Book Antiqua" w:eastAsia="Times New Roman" w:hAnsi="Book Antiqua" w:cs="Times New Roman"/>
      <w:color w:val="auto"/>
      <w:lang w:val="en-AU"/>
    </w:rPr>
  </w:style>
  <w:style w:type="paragraph" w:styleId="List5">
    <w:name w:val="List 5"/>
    <w:basedOn w:val="Normal"/>
    <w:rsid w:val="009E7D68"/>
    <w:pPr>
      <w:autoSpaceDE/>
      <w:autoSpaceDN/>
      <w:adjustRightInd/>
      <w:spacing w:before="60" w:after="120" w:line="260" w:lineRule="atLeast"/>
      <w:ind w:left="1415" w:hanging="283"/>
      <w:jc w:val="left"/>
      <w:textAlignment w:val="auto"/>
    </w:pPr>
    <w:rPr>
      <w:rFonts w:ascii="Book Antiqua" w:eastAsia="Times New Roman" w:hAnsi="Book Antiqua" w:cs="Times New Roman"/>
      <w:color w:val="auto"/>
      <w:lang w:val="en-AU"/>
    </w:rPr>
  </w:style>
  <w:style w:type="paragraph" w:styleId="ListBullet">
    <w:name w:val="List Bullet"/>
    <w:basedOn w:val="Normal"/>
    <w:rsid w:val="009E7D68"/>
    <w:pPr>
      <w:numPr>
        <w:numId w:val="7"/>
      </w:num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paragraph" w:styleId="ListBullet2">
    <w:name w:val="List Bullet 2"/>
    <w:basedOn w:val="Normal"/>
    <w:rsid w:val="009E7D68"/>
    <w:pPr>
      <w:numPr>
        <w:numId w:val="8"/>
      </w:num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paragraph" w:styleId="ListBullet3">
    <w:name w:val="List Bullet 3"/>
    <w:basedOn w:val="Normal"/>
    <w:rsid w:val="009E7D68"/>
    <w:pPr>
      <w:numPr>
        <w:numId w:val="9"/>
      </w:num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paragraph" w:styleId="ListBullet4">
    <w:name w:val="List Bullet 4"/>
    <w:basedOn w:val="Normal"/>
    <w:rsid w:val="009E7D68"/>
    <w:pPr>
      <w:numPr>
        <w:numId w:val="10"/>
      </w:numPr>
      <w:tabs>
        <w:tab w:val="clear" w:pos="1209"/>
        <w:tab w:val="num" w:pos="360"/>
      </w:tabs>
      <w:autoSpaceDE/>
      <w:autoSpaceDN/>
      <w:adjustRightInd/>
      <w:spacing w:before="60" w:after="120" w:line="260" w:lineRule="atLeast"/>
      <w:ind w:left="0" w:firstLine="0"/>
      <w:jc w:val="left"/>
      <w:textAlignment w:val="auto"/>
    </w:pPr>
    <w:rPr>
      <w:rFonts w:ascii="Book Antiqua" w:eastAsia="Times New Roman" w:hAnsi="Book Antiqua" w:cs="Times New Roman"/>
      <w:color w:val="auto"/>
      <w:lang w:val="en-AU"/>
    </w:rPr>
  </w:style>
  <w:style w:type="paragraph" w:styleId="ListBullet5">
    <w:name w:val="List Bullet 5"/>
    <w:basedOn w:val="Normal"/>
    <w:rsid w:val="009E7D68"/>
    <w:pPr>
      <w:numPr>
        <w:numId w:val="11"/>
      </w:num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paragraph" w:styleId="ListContinue">
    <w:name w:val="List Continue"/>
    <w:basedOn w:val="Normal"/>
    <w:rsid w:val="009E7D68"/>
    <w:pPr>
      <w:autoSpaceDE/>
      <w:autoSpaceDN/>
      <w:adjustRightInd/>
      <w:spacing w:before="60" w:after="120" w:line="260" w:lineRule="atLeast"/>
      <w:ind w:left="283"/>
      <w:jc w:val="left"/>
      <w:textAlignment w:val="auto"/>
    </w:pPr>
    <w:rPr>
      <w:rFonts w:ascii="Book Antiqua" w:eastAsia="Times New Roman" w:hAnsi="Book Antiqua" w:cs="Times New Roman"/>
      <w:color w:val="auto"/>
      <w:lang w:val="en-AU"/>
    </w:rPr>
  </w:style>
  <w:style w:type="paragraph" w:styleId="ListContinue2">
    <w:name w:val="List Continue 2"/>
    <w:basedOn w:val="Normal"/>
    <w:rsid w:val="009E7D68"/>
    <w:pPr>
      <w:autoSpaceDE/>
      <w:autoSpaceDN/>
      <w:adjustRightInd/>
      <w:spacing w:before="60" w:after="120" w:line="260" w:lineRule="atLeast"/>
      <w:ind w:left="566"/>
      <w:jc w:val="left"/>
      <w:textAlignment w:val="auto"/>
    </w:pPr>
    <w:rPr>
      <w:rFonts w:ascii="Book Antiqua" w:eastAsia="Times New Roman" w:hAnsi="Book Antiqua" w:cs="Times New Roman"/>
      <w:color w:val="auto"/>
      <w:lang w:val="en-AU"/>
    </w:rPr>
  </w:style>
  <w:style w:type="paragraph" w:styleId="ListContinue3">
    <w:name w:val="List Continue 3"/>
    <w:basedOn w:val="Normal"/>
    <w:rsid w:val="009E7D68"/>
    <w:pPr>
      <w:autoSpaceDE/>
      <w:autoSpaceDN/>
      <w:adjustRightInd/>
      <w:spacing w:before="60" w:after="120" w:line="260" w:lineRule="atLeast"/>
      <w:ind w:left="849"/>
      <w:jc w:val="left"/>
      <w:textAlignment w:val="auto"/>
    </w:pPr>
    <w:rPr>
      <w:rFonts w:ascii="Book Antiqua" w:eastAsia="Times New Roman" w:hAnsi="Book Antiqua" w:cs="Times New Roman"/>
      <w:color w:val="auto"/>
      <w:lang w:val="en-AU"/>
    </w:rPr>
  </w:style>
  <w:style w:type="paragraph" w:styleId="ListContinue4">
    <w:name w:val="List Continue 4"/>
    <w:basedOn w:val="Normal"/>
    <w:rsid w:val="009E7D68"/>
    <w:pPr>
      <w:autoSpaceDE/>
      <w:autoSpaceDN/>
      <w:adjustRightInd/>
      <w:spacing w:before="60" w:after="120" w:line="260" w:lineRule="atLeast"/>
      <w:ind w:left="1132"/>
      <w:jc w:val="left"/>
      <w:textAlignment w:val="auto"/>
    </w:pPr>
    <w:rPr>
      <w:rFonts w:ascii="Book Antiqua" w:eastAsia="Times New Roman" w:hAnsi="Book Antiqua" w:cs="Times New Roman"/>
      <w:color w:val="auto"/>
      <w:lang w:val="en-AU"/>
    </w:rPr>
  </w:style>
  <w:style w:type="paragraph" w:styleId="ListContinue5">
    <w:name w:val="List Continue 5"/>
    <w:basedOn w:val="Normal"/>
    <w:rsid w:val="009E7D68"/>
    <w:pPr>
      <w:autoSpaceDE/>
      <w:autoSpaceDN/>
      <w:adjustRightInd/>
      <w:spacing w:before="60" w:after="120" w:line="260" w:lineRule="atLeast"/>
      <w:ind w:left="1415"/>
      <w:jc w:val="left"/>
      <w:textAlignment w:val="auto"/>
    </w:pPr>
    <w:rPr>
      <w:rFonts w:ascii="Book Antiqua" w:eastAsia="Times New Roman" w:hAnsi="Book Antiqua" w:cs="Times New Roman"/>
      <w:color w:val="auto"/>
      <w:lang w:val="en-AU"/>
    </w:rPr>
  </w:style>
  <w:style w:type="paragraph" w:styleId="ListNumber">
    <w:name w:val="List Number"/>
    <w:basedOn w:val="Normal"/>
    <w:rsid w:val="009E7D68"/>
    <w:pPr>
      <w:numPr>
        <w:numId w:val="12"/>
      </w:num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paragraph" w:styleId="ListNumber2">
    <w:name w:val="List Number 2"/>
    <w:basedOn w:val="Normal"/>
    <w:rsid w:val="009E7D68"/>
    <w:pPr>
      <w:numPr>
        <w:numId w:val="13"/>
      </w:num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paragraph" w:styleId="ListNumber3">
    <w:name w:val="List Number 3"/>
    <w:basedOn w:val="Normal"/>
    <w:rsid w:val="009E7D68"/>
    <w:pPr>
      <w:numPr>
        <w:numId w:val="14"/>
      </w:num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paragraph" w:styleId="ListNumber4">
    <w:name w:val="List Number 4"/>
    <w:basedOn w:val="Normal"/>
    <w:rsid w:val="009E7D68"/>
    <w:pPr>
      <w:numPr>
        <w:numId w:val="15"/>
      </w:num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paragraph" w:styleId="ListNumber5">
    <w:name w:val="List Number 5"/>
    <w:basedOn w:val="Normal"/>
    <w:rsid w:val="009E7D68"/>
    <w:pPr>
      <w:numPr>
        <w:numId w:val="16"/>
      </w:num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paragraph" w:styleId="MessageHeader">
    <w:name w:val="Message Header"/>
    <w:basedOn w:val="Normal"/>
    <w:link w:val="MessageHeaderChar"/>
    <w:rsid w:val="009E7D68"/>
    <w:pPr>
      <w:pBdr>
        <w:top w:val="single" w:sz="6" w:space="1" w:color="auto"/>
        <w:left w:val="single" w:sz="6" w:space="1" w:color="auto"/>
        <w:bottom w:val="single" w:sz="6" w:space="1" w:color="auto"/>
        <w:right w:val="single" w:sz="6" w:space="1" w:color="auto"/>
      </w:pBdr>
      <w:shd w:val="pct20" w:color="auto" w:fill="auto"/>
      <w:autoSpaceDE/>
      <w:autoSpaceDN/>
      <w:adjustRightInd/>
      <w:spacing w:before="60" w:after="120" w:line="260" w:lineRule="atLeast"/>
      <w:ind w:left="1134" w:hanging="1134"/>
      <w:jc w:val="left"/>
      <w:textAlignment w:val="auto"/>
    </w:pPr>
    <w:rPr>
      <w:rFonts w:ascii="Arial" w:eastAsia="Times New Roman" w:hAnsi="Arial" w:cs="Arial"/>
      <w:color w:val="auto"/>
      <w:sz w:val="24"/>
      <w:lang w:val="en-AU"/>
    </w:rPr>
  </w:style>
  <w:style w:type="character" w:customStyle="1" w:styleId="MessageHeaderChar">
    <w:name w:val="Message Header Char"/>
    <w:basedOn w:val="DefaultParagraphFont"/>
    <w:link w:val="MessageHeader"/>
    <w:rsid w:val="009E7D68"/>
    <w:rPr>
      <w:rFonts w:ascii="Arial" w:hAnsi="Arial" w:cs="Arial"/>
      <w:sz w:val="24"/>
      <w:szCs w:val="22"/>
      <w:shd w:val="pct20" w:color="auto" w:fill="auto"/>
    </w:rPr>
  </w:style>
  <w:style w:type="paragraph" w:styleId="NormalIndent">
    <w:name w:val="Normal Indent"/>
    <w:basedOn w:val="Normal"/>
    <w:rsid w:val="009E7D68"/>
    <w:pPr>
      <w:autoSpaceDE/>
      <w:autoSpaceDN/>
      <w:adjustRightInd/>
      <w:spacing w:before="60" w:after="120" w:line="260" w:lineRule="atLeast"/>
      <w:ind w:left="720"/>
      <w:jc w:val="left"/>
      <w:textAlignment w:val="auto"/>
    </w:pPr>
    <w:rPr>
      <w:rFonts w:ascii="Book Antiqua" w:eastAsia="Times New Roman" w:hAnsi="Book Antiqua" w:cs="Times New Roman"/>
      <w:color w:val="auto"/>
      <w:lang w:val="en-AU"/>
    </w:rPr>
  </w:style>
  <w:style w:type="paragraph" w:styleId="NoteHeading">
    <w:name w:val="Note Heading"/>
    <w:basedOn w:val="Normal"/>
    <w:next w:val="Normal"/>
    <w:link w:val="NoteHeadingChar"/>
    <w:rsid w:val="009E7D68"/>
    <w:p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character" w:customStyle="1" w:styleId="NoteHeadingChar">
    <w:name w:val="Note Heading Char"/>
    <w:basedOn w:val="DefaultParagraphFont"/>
    <w:link w:val="NoteHeading"/>
    <w:rsid w:val="009E7D68"/>
    <w:rPr>
      <w:rFonts w:ascii="Book Antiqua" w:hAnsi="Book Antiqua"/>
      <w:sz w:val="22"/>
      <w:szCs w:val="22"/>
    </w:rPr>
  </w:style>
  <w:style w:type="paragraph" w:styleId="PlainText">
    <w:name w:val="Plain Text"/>
    <w:basedOn w:val="Normal"/>
    <w:link w:val="PlainTextChar"/>
    <w:rsid w:val="009E7D68"/>
    <w:pPr>
      <w:autoSpaceDE/>
      <w:autoSpaceDN/>
      <w:adjustRightInd/>
      <w:spacing w:before="60" w:after="120" w:line="260" w:lineRule="atLeast"/>
      <w:jc w:val="left"/>
      <w:textAlignment w:val="auto"/>
    </w:pPr>
    <w:rPr>
      <w:rFonts w:ascii="Courier New" w:eastAsia="Times New Roman" w:hAnsi="Courier New" w:cs="Courier New"/>
      <w:color w:val="auto"/>
      <w:sz w:val="20"/>
      <w:szCs w:val="20"/>
      <w:lang w:val="en-AU"/>
    </w:rPr>
  </w:style>
  <w:style w:type="character" w:customStyle="1" w:styleId="PlainTextChar">
    <w:name w:val="Plain Text Char"/>
    <w:basedOn w:val="DefaultParagraphFont"/>
    <w:link w:val="PlainText"/>
    <w:rsid w:val="009E7D68"/>
    <w:rPr>
      <w:rFonts w:ascii="Courier New" w:hAnsi="Courier New" w:cs="Courier New"/>
    </w:rPr>
  </w:style>
  <w:style w:type="paragraph" w:styleId="Salutation">
    <w:name w:val="Salutation"/>
    <w:basedOn w:val="Normal"/>
    <w:next w:val="Normal"/>
    <w:link w:val="SalutationChar"/>
    <w:rsid w:val="009E7D68"/>
    <w:p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character" w:customStyle="1" w:styleId="SalutationChar">
    <w:name w:val="Salutation Char"/>
    <w:basedOn w:val="DefaultParagraphFont"/>
    <w:link w:val="Salutation"/>
    <w:rsid w:val="009E7D68"/>
    <w:rPr>
      <w:rFonts w:ascii="Book Antiqua" w:hAnsi="Book Antiqua"/>
      <w:sz w:val="22"/>
      <w:szCs w:val="22"/>
    </w:rPr>
  </w:style>
  <w:style w:type="paragraph" w:styleId="Signature">
    <w:name w:val="Signature"/>
    <w:basedOn w:val="Normal"/>
    <w:link w:val="SignatureChar"/>
    <w:rsid w:val="009E7D68"/>
    <w:pPr>
      <w:autoSpaceDE/>
      <w:autoSpaceDN/>
      <w:adjustRightInd/>
      <w:spacing w:before="60" w:after="120" w:line="260" w:lineRule="atLeast"/>
      <w:ind w:left="4252"/>
      <w:jc w:val="left"/>
      <w:textAlignment w:val="auto"/>
    </w:pPr>
    <w:rPr>
      <w:rFonts w:ascii="Book Antiqua" w:eastAsia="Times New Roman" w:hAnsi="Book Antiqua" w:cs="Times New Roman"/>
      <w:color w:val="auto"/>
      <w:lang w:val="en-AU"/>
    </w:rPr>
  </w:style>
  <w:style w:type="character" w:customStyle="1" w:styleId="SignatureChar">
    <w:name w:val="Signature Char"/>
    <w:basedOn w:val="DefaultParagraphFont"/>
    <w:link w:val="Signature"/>
    <w:rsid w:val="009E7D68"/>
    <w:rPr>
      <w:rFonts w:ascii="Book Antiqua" w:hAnsi="Book Antiqua"/>
      <w:sz w:val="22"/>
      <w:szCs w:val="22"/>
    </w:rPr>
  </w:style>
  <w:style w:type="table" w:styleId="Table3Deffects1">
    <w:name w:val="Table 3D effects 1"/>
    <w:basedOn w:val="TableNormal"/>
    <w:rsid w:val="009E7D68"/>
    <w:pPr>
      <w:spacing w:after="40"/>
    </w:pPr>
    <w:rPr>
      <w:rFonts w:ascii="Book Antiqua" w:hAnsi="Book Antiqua"/>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9E7D68"/>
    <w:pPr>
      <w:spacing w:after="40"/>
    </w:pPr>
    <w:rPr>
      <w:rFonts w:ascii="Book Antiqua" w:hAnsi="Book Antiqua"/>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9E7D68"/>
    <w:pPr>
      <w:spacing w:after="40"/>
    </w:pPr>
    <w:rPr>
      <w:rFonts w:ascii="Book Antiqua" w:hAnsi="Book Antiqua"/>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9E7D68"/>
    <w:pPr>
      <w:spacing w:after="40"/>
    </w:pPr>
    <w:rPr>
      <w:rFonts w:ascii="Book Antiqua" w:hAnsi="Book Antiqua"/>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9E7D68"/>
    <w:pPr>
      <w:spacing w:after="40"/>
    </w:pPr>
    <w:rPr>
      <w:rFonts w:ascii="Book Antiqua" w:hAnsi="Book Antiqua"/>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9E7D68"/>
    <w:pPr>
      <w:spacing w:after="40"/>
    </w:pPr>
    <w:rPr>
      <w:rFonts w:ascii="Book Antiqua" w:hAnsi="Book Antiqua"/>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9E7D68"/>
    <w:pPr>
      <w:spacing w:after="40"/>
    </w:pPr>
    <w:rPr>
      <w:rFonts w:ascii="Book Antiqua" w:hAnsi="Book Antiqua"/>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9E7D68"/>
    <w:pPr>
      <w:spacing w:after="40"/>
    </w:pPr>
    <w:rPr>
      <w:rFonts w:ascii="Book Antiqua" w:hAnsi="Book Antiqua"/>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9E7D68"/>
    <w:pPr>
      <w:spacing w:after="40"/>
    </w:pPr>
    <w:rPr>
      <w:rFonts w:ascii="Book Antiqua" w:hAnsi="Book Antiqua"/>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9E7D68"/>
    <w:pPr>
      <w:spacing w:after="40"/>
    </w:pPr>
    <w:rPr>
      <w:rFonts w:ascii="Book Antiqua" w:hAnsi="Book Antiqua"/>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9E7D68"/>
    <w:pPr>
      <w:spacing w:after="40"/>
    </w:pPr>
    <w:rPr>
      <w:rFonts w:ascii="Book Antiqua" w:hAnsi="Book Antiqua"/>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9E7D68"/>
    <w:pPr>
      <w:spacing w:after="40"/>
    </w:pPr>
    <w:rPr>
      <w:rFonts w:ascii="Book Antiqua" w:hAnsi="Book Antiqua"/>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9E7D68"/>
    <w:pPr>
      <w:spacing w:after="40"/>
    </w:pPr>
    <w:rPr>
      <w:rFonts w:ascii="Book Antiqua" w:hAnsi="Book Antiqua"/>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9E7D68"/>
    <w:pPr>
      <w:spacing w:after="40"/>
    </w:pPr>
    <w:rPr>
      <w:rFonts w:ascii="Book Antiqua" w:hAnsi="Book Antiqua"/>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9E7D68"/>
    <w:pPr>
      <w:spacing w:after="40"/>
    </w:pPr>
    <w:rPr>
      <w:rFonts w:ascii="Book Antiqua" w:hAnsi="Book Antiqua"/>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9E7D68"/>
    <w:pPr>
      <w:spacing w:after="40"/>
    </w:pPr>
    <w:rPr>
      <w:rFonts w:ascii="Book Antiqua" w:hAnsi="Book Antiqua"/>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9E7D68"/>
    <w:pPr>
      <w:spacing w:after="40"/>
    </w:pPr>
    <w:rPr>
      <w:rFonts w:ascii="Book Antiqua" w:hAnsi="Book Antiqua"/>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9E7D68"/>
    <w:pPr>
      <w:spacing w:after="40"/>
    </w:pPr>
    <w:rPr>
      <w:rFonts w:ascii="Book Antiqua" w:hAnsi="Book Antiqu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9E7D68"/>
    <w:pPr>
      <w:spacing w:after="40"/>
    </w:pPr>
    <w:rPr>
      <w:rFonts w:ascii="Book Antiqua" w:hAnsi="Book Antiqua"/>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9E7D68"/>
    <w:pPr>
      <w:spacing w:after="40"/>
    </w:pPr>
    <w:rPr>
      <w:rFonts w:ascii="Book Antiqua" w:hAnsi="Book Antiqua"/>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9E7D68"/>
    <w:pPr>
      <w:spacing w:after="40"/>
    </w:pPr>
    <w:rPr>
      <w:rFonts w:ascii="Book Antiqua" w:hAnsi="Book Antiqua"/>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9E7D68"/>
    <w:pPr>
      <w:spacing w:after="40"/>
    </w:pPr>
    <w:rPr>
      <w:rFonts w:ascii="Book Antiqua" w:hAnsi="Book Antiqu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9E7D68"/>
    <w:pPr>
      <w:spacing w:after="40"/>
    </w:pPr>
    <w:rPr>
      <w:rFonts w:ascii="Book Antiqua" w:hAnsi="Book Antiqua"/>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9E7D68"/>
    <w:pPr>
      <w:spacing w:after="40"/>
    </w:pPr>
    <w:rPr>
      <w:rFonts w:ascii="Book Antiqua" w:hAnsi="Book Antiqua"/>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9E7D68"/>
    <w:pPr>
      <w:spacing w:after="40"/>
    </w:pPr>
    <w:rPr>
      <w:rFonts w:ascii="Book Antiqua" w:hAnsi="Book Antiqua"/>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9E7D68"/>
    <w:pPr>
      <w:spacing w:after="40"/>
    </w:pPr>
    <w:rPr>
      <w:rFonts w:ascii="Book Antiqua" w:hAnsi="Book Antiqua"/>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9E7D68"/>
    <w:pPr>
      <w:spacing w:after="40"/>
    </w:pPr>
    <w:rPr>
      <w:rFonts w:ascii="Book Antiqua" w:hAnsi="Book Antiqua"/>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9E7D68"/>
    <w:pPr>
      <w:spacing w:after="40"/>
    </w:pPr>
    <w:rPr>
      <w:rFonts w:ascii="Book Antiqua" w:hAnsi="Book Antiqua"/>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9E7D68"/>
    <w:pPr>
      <w:spacing w:after="40"/>
    </w:pPr>
    <w:rPr>
      <w:rFonts w:ascii="Book Antiqua" w:hAnsi="Book Antiqua"/>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9E7D68"/>
    <w:pPr>
      <w:spacing w:after="40"/>
    </w:pPr>
    <w:rPr>
      <w:rFonts w:ascii="Book Antiqua" w:hAnsi="Book Antiqua"/>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9E7D68"/>
    <w:pPr>
      <w:spacing w:after="40"/>
    </w:pPr>
    <w:rPr>
      <w:rFonts w:ascii="Book Antiqua" w:hAnsi="Book Antiqua"/>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9E7D68"/>
    <w:pPr>
      <w:spacing w:after="40"/>
    </w:pPr>
    <w:rPr>
      <w:rFonts w:ascii="Book Antiqua" w:hAnsi="Book Antiqua"/>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9E7D68"/>
    <w:pPr>
      <w:spacing w:after="40"/>
    </w:pPr>
    <w:rPr>
      <w:rFonts w:ascii="Book Antiqua" w:hAnsi="Book Antiqua"/>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Figures">
    <w:name w:val="table of figures"/>
    <w:basedOn w:val="TOC1"/>
    <w:next w:val="AIHWbodytext"/>
    <w:uiPriority w:val="21"/>
    <w:unhideWhenUsed/>
    <w:rsid w:val="009E7D68"/>
    <w:pPr>
      <w:keepNext/>
      <w:keepLines/>
      <w:tabs>
        <w:tab w:val="right" w:leader="dot" w:pos="9072"/>
      </w:tabs>
      <w:spacing w:before="60" w:after="120" w:line="240" w:lineRule="atLeast"/>
      <w:ind w:left="992" w:hanging="992"/>
    </w:pPr>
    <w:rPr>
      <w:rFonts w:ascii="Book Antiqua" w:eastAsia="Times New Roman" w:hAnsi="Book Antiqua" w:cs="Times New Roman"/>
      <w:b w:val="0"/>
      <w:color w:val="auto"/>
      <w:sz w:val="20"/>
      <w:szCs w:val="20"/>
      <w:lang w:val="en-AU" w:eastAsia="en-US"/>
    </w:rPr>
  </w:style>
  <w:style w:type="table" w:styleId="TableProfessional">
    <w:name w:val="Table Professional"/>
    <w:basedOn w:val="TableNormal"/>
    <w:rsid w:val="009E7D68"/>
    <w:pPr>
      <w:spacing w:after="40"/>
    </w:pPr>
    <w:rPr>
      <w:rFonts w:ascii="Book Antiqua" w:hAnsi="Book Antiqu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9E7D68"/>
    <w:pPr>
      <w:spacing w:after="40"/>
    </w:pPr>
    <w:rPr>
      <w:rFonts w:ascii="Book Antiqua" w:hAnsi="Book Antiqua"/>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9E7D68"/>
    <w:pPr>
      <w:spacing w:after="40"/>
    </w:pPr>
    <w:rPr>
      <w:rFonts w:ascii="Book Antiqua" w:hAnsi="Book Antiqua"/>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9E7D68"/>
    <w:pPr>
      <w:spacing w:after="40"/>
    </w:pPr>
    <w:rPr>
      <w:rFonts w:ascii="Book Antiqua" w:hAnsi="Book Antiqua"/>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9E7D68"/>
    <w:pPr>
      <w:spacing w:after="40"/>
    </w:pPr>
    <w:rPr>
      <w:rFonts w:ascii="Book Antiqua" w:hAnsi="Book Antiqua"/>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9E7D68"/>
    <w:pPr>
      <w:spacing w:after="40"/>
    </w:pPr>
    <w:rPr>
      <w:rFonts w:ascii="Book Antiqua" w:hAnsi="Book Antiqua"/>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9E7D68"/>
    <w:pPr>
      <w:spacing w:after="40"/>
    </w:pPr>
    <w:rPr>
      <w:rFonts w:ascii="Book Antiqua" w:hAnsi="Book Antiq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9E7D68"/>
    <w:pPr>
      <w:spacing w:after="40"/>
    </w:pPr>
    <w:rPr>
      <w:rFonts w:ascii="Book Antiqua" w:hAnsi="Book Antiqua"/>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9E7D68"/>
    <w:pPr>
      <w:spacing w:after="40"/>
    </w:pPr>
    <w:rPr>
      <w:rFonts w:ascii="Book Antiqua" w:hAnsi="Book Antiqua"/>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9E7D68"/>
    <w:pPr>
      <w:spacing w:after="40"/>
    </w:pPr>
    <w:rPr>
      <w:rFonts w:ascii="Book Antiqua" w:hAnsi="Book Antiqu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ableFigHeadingtotal">
    <w:name w:val="Table/Fig: Heading &amp; total"/>
    <w:basedOn w:val="TableFigText"/>
    <w:next w:val="TableFigText"/>
    <w:uiPriority w:val="6"/>
    <w:rsid w:val="009E7D68"/>
    <w:rPr>
      <w:b/>
    </w:rPr>
  </w:style>
  <w:style w:type="paragraph" w:styleId="DocumentMap">
    <w:name w:val="Document Map"/>
    <w:basedOn w:val="Normal"/>
    <w:link w:val="DocumentMapChar"/>
    <w:rsid w:val="009E7D68"/>
    <w:pPr>
      <w:shd w:val="clear" w:color="auto" w:fill="000080"/>
      <w:autoSpaceDE/>
      <w:autoSpaceDN/>
      <w:adjustRightInd/>
      <w:spacing w:before="60" w:after="120" w:line="260" w:lineRule="atLeast"/>
      <w:jc w:val="left"/>
      <w:textAlignment w:val="auto"/>
    </w:pPr>
    <w:rPr>
      <w:rFonts w:ascii="Tahoma" w:eastAsia="Times New Roman" w:hAnsi="Tahoma" w:cs="Tahoma"/>
      <w:color w:val="auto"/>
      <w:sz w:val="20"/>
      <w:szCs w:val="20"/>
      <w:lang w:val="en-AU"/>
    </w:rPr>
  </w:style>
  <w:style w:type="character" w:customStyle="1" w:styleId="DocumentMapChar">
    <w:name w:val="Document Map Char"/>
    <w:basedOn w:val="DefaultParagraphFont"/>
    <w:link w:val="DocumentMap"/>
    <w:rsid w:val="009E7D68"/>
    <w:rPr>
      <w:rFonts w:ascii="Tahoma" w:hAnsi="Tahoma" w:cs="Tahoma"/>
      <w:shd w:val="clear" w:color="auto" w:fill="000080"/>
    </w:rPr>
  </w:style>
  <w:style w:type="character" w:styleId="CommentReference">
    <w:name w:val="annotation reference"/>
    <w:uiPriority w:val="21"/>
    <w:unhideWhenUsed/>
    <w:rsid w:val="009E7D68"/>
    <w:rPr>
      <w:sz w:val="16"/>
      <w:szCs w:val="16"/>
    </w:rPr>
  </w:style>
  <w:style w:type="paragraph" w:styleId="CommentText">
    <w:name w:val="annotation text"/>
    <w:basedOn w:val="Normal"/>
    <w:link w:val="CommentTextChar"/>
    <w:uiPriority w:val="21"/>
    <w:unhideWhenUsed/>
    <w:rsid w:val="009E7D68"/>
    <w:pPr>
      <w:autoSpaceDE/>
      <w:autoSpaceDN/>
      <w:adjustRightInd/>
      <w:spacing w:before="60" w:after="120" w:line="260" w:lineRule="atLeast"/>
      <w:jc w:val="left"/>
      <w:textAlignment w:val="auto"/>
    </w:pPr>
    <w:rPr>
      <w:rFonts w:ascii="Book Antiqua" w:eastAsia="Times New Roman" w:hAnsi="Book Antiqua" w:cs="Times New Roman"/>
      <w:color w:val="auto"/>
      <w:sz w:val="20"/>
      <w:szCs w:val="20"/>
      <w:lang w:val="en-AU"/>
    </w:rPr>
  </w:style>
  <w:style w:type="character" w:customStyle="1" w:styleId="CommentTextChar">
    <w:name w:val="Comment Text Char"/>
    <w:basedOn w:val="DefaultParagraphFont"/>
    <w:link w:val="CommentText"/>
    <w:uiPriority w:val="21"/>
    <w:rsid w:val="009E7D68"/>
    <w:rPr>
      <w:rFonts w:ascii="Book Antiqua" w:hAnsi="Book Antiqua"/>
    </w:rPr>
  </w:style>
  <w:style w:type="paragraph" w:styleId="CommentSubject">
    <w:name w:val="annotation subject"/>
    <w:basedOn w:val="CommentText"/>
    <w:next w:val="CommentText"/>
    <w:link w:val="CommentSubjectChar"/>
    <w:uiPriority w:val="21"/>
    <w:unhideWhenUsed/>
    <w:rsid w:val="009E7D68"/>
    <w:rPr>
      <w:b/>
      <w:bCs/>
    </w:rPr>
  </w:style>
  <w:style w:type="character" w:customStyle="1" w:styleId="CommentSubjectChar">
    <w:name w:val="Comment Subject Char"/>
    <w:basedOn w:val="CommentTextChar"/>
    <w:link w:val="CommentSubject"/>
    <w:uiPriority w:val="21"/>
    <w:rsid w:val="009E7D68"/>
    <w:rPr>
      <w:rFonts w:ascii="Book Antiqua" w:hAnsi="Book Antiqua"/>
      <w:b/>
      <w:bCs/>
    </w:rPr>
  </w:style>
  <w:style w:type="paragraph" w:customStyle="1" w:styleId="BoxItalics">
    <w:name w:val="Box: Italics"/>
    <w:basedOn w:val="BoxText"/>
    <w:next w:val="BoxText"/>
    <w:link w:val="BoxItalicsChar"/>
    <w:uiPriority w:val="3"/>
    <w:qFormat/>
    <w:rsid w:val="009E7D68"/>
    <w:pPr>
      <w:pBdr>
        <w:top w:val="single" w:sz="4" w:space="10" w:color="000000"/>
        <w:left w:val="single" w:sz="4" w:space="10" w:color="000000"/>
        <w:bottom w:val="single" w:sz="4" w:space="10" w:color="000000"/>
        <w:right w:val="single" w:sz="4" w:space="10" w:color="000000"/>
      </w:pBdr>
      <w:tabs>
        <w:tab w:val="left" w:pos="397"/>
      </w:tabs>
      <w:spacing w:after="20" w:line="240" w:lineRule="atLeast"/>
      <w:ind w:left="255" w:right="255"/>
    </w:pPr>
    <w:rPr>
      <w:i/>
      <w:sz w:val="21"/>
    </w:rPr>
  </w:style>
  <w:style w:type="character" w:customStyle="1" w:styleId="BoxTextChar">
    <w:name w:val="Box: Text Char"/>
    <w:link w:val="BoxText"/>
    <w:uiPriority w:val="3"/>
    <w:rsid w:val="009E7D68"/>
    <w:rPr>
      <w:rFonts w:ascii="Book Antiqua" w:hAnsi="Book Antiqua"/>
      <w:sz w:val="22"/>
      <w:lang w:eastAsia="en-US"/>
    </w:rPr>
  </w:style>
  <w:style w:type="character" w:customStyle="1" w:styleId="BoxItalicsChar">
    <w:name w:val="Box: Italics Char"/>
    <w:link w:val="BoxItalics"/>
    <w:uiPriority w:val="3"/>
    <w:rsid w:val="009E7D68"/>
    <w:rPr>
      <w:rFonts w:ascii="Book Antiqua" w:hAnsi="Book Antiqua"/>
      <w:i/>
      <w:sz w:val="21"/>
      <w:lang w:eastAsia="en-US"/>
    </w:rPr>
  </w:style>
  <w:style w:type="paragraph" w:customStyle="1" w:styleId="AIHWbodytextintable">
    <w:name w:val="AIHW body text in table"/>
    <w:basedOn w:val="AIHWbodytext"/>
    <w:next w:val="AIHWbodytext"/>
    <w:rsid w:val="009E7D68"/>
    <w:pPr>
      <w:spacing w:before="80" w:after="80"/>
    </w:pPr>
  </w:style>
  <w:style w:type="paragraph" w:customStyle="1" w:styleId="Boxcontinued">
    <w:name w:val="Box: (continued)"/>
    <w:basedOn w:val="BoxText"/>
    <w:next w:val="BoxHeading1"/>
    <w:uiPriority w:val="4"/>
    <w:rsid w:val="009E7D68"/>
    <w:pPr>
      <w:pBdr>
        <w:top w:val="single" w:sz="4" w:space="10" w:color="000000"/>
        <w:left w:val="single" w:sz="4" w:space="10" w:color="000000"/>
        <w:bottom w:val="single" w:sz="4" w:space="10" w:color="000000"/>
        <w:right w:val="single" w:sz="4" w:space="10" w:color="000000"/>
      </w:pBdr>
      <w:tabs>
        <w:tab w:val="left" w:pos="397"/>
      </w:tabs>
      <w:spacing w:before="0" w:after="0" w:line="240" w:lineRule="atLeast"/>
      <w:ind w:left="255" w:right="255"/>
      <w:jc w:val="right"/>
    </w:pPr>
    <w:rPr>
      <w:i/>
      <w:sz w:val="20"/>
    </w:rPr>
  </w:style>
  <w:style w:type="paragraph" w:customStyle="1" w:styleId="xl63">
    <w:name w:val="xl63"/>
    <w:basedOn w:val="Normal"/>
    <w:rsid w:val="009E7D68"/>
    <w:pPr>
      <w:autoSpaceDE/>
      <w:autoSpaceDN/>
      <w:adjustRightInd/>
      <w:spacing w:before="100" w:beforeAutospacing="1" w:after="100" w:afterAutospacing="1"/>
      <w:jc w:val="left"/>
      <w:textAlignment w:val="top"/>
    </w:pPr>
    <w:rPr>
      <w:rFonts w:ascii="Book Antiqua" w:eastAsia="Times New Roman" w:hAnsi="Book Antiqua" w:cs="Times New Roman"/>
      <w:color w:val="auto"/>
      <w:sz w:val="18"/>
      <w:szCs w:val="18"/>
      <w:lang w:val="en-AU"/>
    </w:rPr>
  </w:style>
  <w:style w:type="paragraph" w:customStyle="1" w:styleId="xl64">
    <w:name w:val="xl64"/>
    <w:basedOn w:val="Normal"/>
    <w:rsid w:val="009E7D68"/>
    <w:pPr>
      <w:autoSpaceDE/>
      <w:autoSpaceDN/>
      <w:adjustRightInd/>
      <w:spacing w:before="100" w:beforeAutospacing="1" w:after="100" w:afterAutospacing="1"/>
      <w:jc w:val="left"/>
      <w:textAlignment w:val="top"/>
    </w:pPr>
    <w:rPr>
      <w:rFonts w:ascii="Book Antiqua" w:eastAsia="Times New Roman" w:hAnsi="Book Antiqua" w:cs="Times New Roman"/>
      <w:color w:val="auto"/>
      <w:sz w:val="18"/>
      <w:szCs w:val="18"/>
      <w:lang w:val="en-AU"/>
    </w:rPr>
  </w:style>
  <w:style w:type="paragraph" w:customStyle="1" w:styleId="xl65">
    <w:name w:val="xl65"/>
    <w:basedOn w:val="Normal"/>
    <w:rsid w:val="009E7D68"/>
    <w:pPr>
      <w:shd w:val="clear" w:color="000000" w:fill="F2F2F2"/>
      <w:autoSpaceDE/>
      <w:autoSpaceDN/>
      <w:adjustRightInd/>
      <w:spacing w:before="100" w:beforeAutospacing="1" w:after="100" w:afterAutospacing="1"/>
      <w:jc w:val="left"/>
      <w:textAlignment w:val="top"/>
    </w:pPr>
    <w:rPr>
      <w:rFonts w:ascii="Book Antiqua" w:eastAsia="Times New Roman" w:hAnsi="Book Antiqua" w:cs="Times New Roman"/>
      <w:color w:val="auto"/>
      <w:sz w:val="18"/>
      <w:szCs w:val="18"/>
      <w:lang w:val="en-AU"/>
    </w:rPr>
  </w:style>
  <w:style w:type="paragraph" w:customStyle="1" w:styleId="xl66">
    <w:name w:val="xl66"/>
    <w:basedOn w:val="Normal"/>
    <w:rsid w:val="009E7D68"/>
    <w:pPr>
      <w:autoSpaceDE/>
      <w:autoSpaceDN/>
      <w:adjustRightInd/>
      <w:spacing w:before="100" w:beforeAutospacing="1" w:after="100" w:afterAutospacing="1"/>
      <w:jc w:val="left"/>
      <w:textAlignment w:val="top"/>
    </w:pPr>
    <w:rPr>
      <w:rFonts w:ascii="Book Antiqua" w:eastAsia="Times New Roman" w:hAnsi="Book Antiqua" w:cs="Times New Roman"/>
      <w:color w:val="auto"/>
      <w:sz w:val="18"/>
      <w:szCs w:val="18"/>
      <w:lang w:val="en-AU"/>
    </w:rPr>
  </w:style>
  <w:style w:type="paragraph" w:customStyle="1" w:styleId="xl67">
    <w:name w:val="xl67"/>
    <w:basedOn w:val="Normal"/>
    <w:rsid w:val="009E7D68"/>
    <w:pPr>
      <w:autoSpaceDE/>
      <w:autoSpaceDN/>
      <w:adjustRightInd/>
      <w:spacing w:before="100" w:beforeAutospacing="1" w:after="100" w:afterAutospacing="1"/>
      <w:jc w:val="left"/>
      <w:textAlignment w:val="top"/>
    </w:pPr>
    <w:rPr>
      <w:rFonts w:ascii="Book Antiqua" w:eastAsia="Times New Roman" w:hAnsi="Book Antiqua" w:cs="Times New Roman"/>
      <w:color w:val="auto"/>
      <w:sz w:val="18"/>
      <w:szCs w:val="18"/>
      <w:lang w:val="en-AU"/>
    </w:rPr>
  </w:style>
  <w:style w:type="paragraph" w:customStyle="1" w:styleId="xl68">
    <w:name w:val="xl68"/>
    <w:basedOn w:val="Normal"/>
    <w:rsid w:val="009E7D68"/>
    <w:pPr>
      <w:shd w:val="clear" w:color="000000" w:fill="F2F2F2"/>
      <w:autoSpaceDE/>
      <w:autoSpaceDN/>
      <w:adjustRightInd/>
      <w:spacing w:before="100" w:beforeAutospacing="1" w:after="100" w:afterAutospacing="1"/>
      <w:jc w:val="left"/>
      <w:textAlignment w:val="top"/>
    </w:pPr>
    <w:rPr>
      <w:rFonts w:ascii="Book Antiqua" w:eastAsia="Times New Roman" w:hAnsi="Book Antiqua" w:cs="Times New Roman"/>
      <w:color w:val="auto"/>
      <w:sz w:val="18"/>
      <w:szCs w:val="18"/>
      <w:lang w:val="en-AU"/>
    </w:rPr>
  </w:style>
  <w:style w:type="paragraph" w:customStyle="1" w:styleId="xl69">
    <w:name w:val="xl69"/>
    <w:basedOn w:val="Normal"/>
    <w:rsid w:val="009E7D68"/>
    <w:pPr>
      <w:autoSpaceDE/>
      <w:autoSpaceDN/>
      <w:adjustRightInd/>
      <w:spacing w:before="100" w:beforeAutospacing="1" w:after="100" w:afterAutospacing="1"/>
      <w:jc w:val="right"/>
      <w:textAlignment w:val="top"/>
    </w:pPr>
    <w:rPr>
      <w:rFonts w:ascii="Book Antiqua" w:eastAsia="Times New Roman" w:hAnsi="Book Antiqua" w:cs="Times New Roman"/>
      <w:color w:val="auto"/>
      <w:sz w:val="18"/>
      <w:szCs w:val="18"/>
      <w:lang w:val="en-AU"/>
    </w:rPr>
  </w:style>
  <w:style w:type="paragraph" w:customStyle="1" w:styleId="xl70">
    <w:name w:val="xl70"/>
    <w:basedOn w:val="Normal"/>
    <w:rsid w:val="009E7D68"/>
    <w:pPr>
      <w:autoSpaceDE/>
      <w:autoSpaceDN/>
      <w:adjustRightInd/>
      <w:spacing w:before="100" w:beforeAutospacing="1" w:after="100" w:afterAutospacing="1"/>
      <w:jc w:val="center"/>
      <w:textAlignment w:val="top"/>
    </w:pPr>
    <w:rPr>
      <w:rFonts w:ascii="Book Antiqua" w:eastAsia="Times New Roman" w:hAnsi="Book Antiqua" w:cs="Times New Roman"/>
      <w:color w:val="auto"/>
      <w:sz w:val="18"/>
      <w:szCs w:val="18"/>
      <w:lang w:val="en-AU"/>
    </w:rPr>
  </w:style>
  <w:style w:type="paragraph" w:customStyle="1" w:styleId="xl71">
    <w:name w:val="xl71"/>
    <w:basedOn w:val="Normal"/>
    <w:rsid w:val="009E7D68"/>
    <w:pPr>
      <w:autoSpaceDE/>
      <w:autoSpaceDN/>
      <w:adjustRightInd/>
      <w:spacing w:before="100" w:beforeAutospacing="1" w:after="100" w:afterAutospacing="1"/>
      <w:jc w:val="right"/>
      <w:textAlignment w:val="top"/>
    </w:pPr>
    <w:rPr>
      <w:rFonts w:ascii="Book Antiqua" w:eastAsia="Times New Roman" w:hAnsi="Book Antiqua" w:cs="Times New Roman"/>
      <w:color w:val="auto"/>
      <w:sz w:val="18"/>
      <w:szCs w:val="18"/>
      <w:lang w:val="en-AU"/>
    </w:rPr>
  </w:style>
  <w:style w:type="paragraph" w:customStyle="1" w:styleId="xl72">
    <w:name w:val="xl72"/>
    <w:basedOn w:val="Normal"/>
    <w:rsid w:val="009E7D68"/>
    <w:pPr>
      <w:shd w:val="clear" w:color="000000" w:fill="F2F2F2"/>
      <w:autoSpaceDE/>
      <w:autoSpaceDN/>
      <w:adjustRightInd/>
      <w:spacing w:before="100" w:beforeAutospacing="1" w:after="100" w:afterAutospacing="1"/>
      <w:jc w:val="right"/>
      <w:textAlignment w:val="top"/>
    </w:pPr>
    <w:rPr>
      <w:rFonts w:ascii="Book Antiqua" w:eastAsia="Times New Roman" w:hAnsi="Book Antiqua" w:cs="Times New Roman"/>
      <w:color w:val="auto"/>
      <w:sz w:val="18"/>
      <w:szCs w:val="18"/>
      <w:lang w:val="en-AU"/>
    </w:rPr>
  </w:style>
  <w:style w:type="paragraph" w:customStyle="1" w:styleId="Heading1-Reference">
    <w:name w:val="Heading 1 - Reference"/>
    <w:basedOn w:val="Heading1"/>
    <w:qFormat/>
    <w:rsid w:val="009E7D68"/>
    <w:pPr>
      <w:spacing w:before="200"/>
    </w:pPr>
    <w:rPr>
      <w:i/>
      <w:color w:val="1E2BC8"/>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semiHidden="1" w:unhideWhenUsed="1" w:qFormat="1"/>
    <w:lsdException w:name="heading 8" w:semiHidden="1" w:unhideWhenUsed="1" w:qFormat="1"/>
    <w:lsdException w:name="heading 9" w:semiHidden="1" w:unhideWhenUsed="1" w:qFormat="1"/>
    <w:lsdException w:name="toc 1" w:uiPriority="9"/>
    <w:lsdException w:name="toc 2" w:uiPriority="9"/>
    <w:lsdException w:name="toc 3" w:uiPriority="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21"/>
    <w:lsdException w:name="annotation text" w:uiPriority="21"/>
    <w:lsdException w:name="header" w:uiPriority="99"/>
    <w:lsdException w:name="footer" w:uiPriority="99"/>
    <w:lsdException w:name="caption" w:semiHidden="1" w:unhideWhenUsed="1" w:qFormat="1"/>
    <w:lsdException w:name="table of figures" w:uiPriority="21"/>
    <w:lsdException w:name="footnote reference" w:uiPriority="21"/>
    <w:lsdException w:name="annotation reference" w:uiPriority="21"/>
    <w:lsdException w:name="page number" w:uiPriority="14"/>
    <w:lsdException w:name="endnote reference" w:uiPriority="12"/>
    <w:lsdException w:name="endnote text" w:uiPriority="12"/>
    <w:lsdException w:name="Title" w:uiPriority="10" w:qFormat="1"/>
    <w:lsdException w:name="Default Paragraph Font" w:uiPriority="1"/>
    <w:lsdException w:name="Subtitle" w:uiPriority="11" w:qFormat="1"/>
    <w:lsdException w:name="Hyperlink" w:uiPriority="99"/>
    <w:lsdException w:name="FollowedHyperlink" w:uiPriority="99"/>
    <w:lsdException w:name="Strong" w:qFormat="1"/>
    <w:lsdException w:name="Emphasis" w:qFormat="1"/>
    <w:lsdException w:name="Normal (Web)" w:uiPriority="99"/>
    <w:lsdException w:name="annotation subject" w:uiPriority="2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E7D68"/>
    <w:pPr>
      <w:autoSpaceDE w:val="0"/>
      <w:autoSpaceDN w:val="0"/>
      <w:adjustRightInd w:val="0"/>
      <w:spacing w:before="120"/>
      <w:jc w:val="both"/>
      <w:textAlignment w:val="center"/>
    </w:pPr>
    <w:rPr>
      <w:rFonts w:ascii="Calibri" w:eastAsiaTheme="minorEastAsia" w:hAnsi="Calibri" w:cs="MinionPro-Regular"/>
      <w:color w:val="000000"/>
      <w:sz w:val="22"/>
      <w:szCs w:val="22"/>
      <w:lang w:val="en"/>
    </w:rPr>
  </w:style>
  <w:style w:type="paragraph" w:styleId="Heading1">
    <w:name w:val="heading 1"/>
    <w:basedOn w:val="Normal"/>
    <w:next w:val="Normal"/>
    <w:link w:val="Heading1Char"/>
    <w:uiPriority w:val="1"/>
    <w:qFormat/>
    <w:rsid w:val="009E7D68"/>
    <w:pPr>
      <w:keepNext/>
      <w:keepLines/>
      <w:spacing w:before="480"/>
      <w:jc w:val="left"/>
      <w:outlineLvl w:val="0"/>
    </w:pPr>
    <w:rPr>
      <w:rFonts w:eastAsiaTheme="majorEastAsia" w:cstheme="majorBidi"/>
      <w:b/>
      <w:bCs/>
      <w:color w:val="1C1F58"/>
      <w:sz w:val="32"/>
      <w:szCs w:val="32"/>
    </w:rPr>
  </w:style>
  <w:style w:type="paragraph" w:styleId="Heading2">
    <w:name w:val="heading 2"/>
    <w:basedOn w:val="Normal"/>
    <w:next w:val="Normal"/>
    <w:link w:val="Heading2Char"/>
    <w:uiPriority w:val="1"/>
    <w:unhideWhenUsed/>
    <w:qFormat/>
    <w:rsid w:val="009E7D68"/>
    <w:pPr>
      <w:keepNext/>
      <w:keepLines/>
      <w:spacing w:before="200"/>
      <w:jc w:val="left"/>
      <w:outlineLvl w:val="1"/>
    </w:pPr>
    <w:rPr>
      <w:rFonts w:eastAsiaTheme="majorEastAsia" w:cstheme="majorBidi"/>
      <w:b/>
      <w:bCs/>
      <w:color w:val="004080"/>
      <w:sz w:val="26"/>
      <w:szCs w:val="26"/>
    </w:rPr>
  </w:style>
  <w:style w:type="paragraph" w:styleId="Heading3">
    <w:name w:val="heading 3"/>
    <w:basedOn w:val="Normal"/>
    <w:next w:val="Normal"/>
    <w:link w:val="Heading3Char"/>
    <w:uiPriority w:val="1"/>
    <w:unhideWhenUsed/>
    <w:qFormat/>
    <w:rsid w:val="009E7D68"/>
    <w:pPr>
      <w:keepNext/>
      <w:keepLines/>
      <w:spacing w:before="200"/>
      <w:jc w:val="left"/>
      <w:outlineLvl w:val="2"/>
    </w:pPr>
    <w:rPr>
      <w:rFonts w:eastAsiaTheme="majorEastAsia" w:cstheme="majorBidi"/>
      <w:b/>
      <w:bCs/>
      <w:color w:val="1E2BC8"/>
    </w:rPr>
  </w:style>
  <w:style w:type="paragraph" w:styleId="Heading4">
    <w:name w:val="heading 4"/>
    <w:basedOn w:val="Normal"/>
    <w:next w:val="Normal"/>
    <w:link w:val="Heading4Char"/>
    <w:uiPriority w:val="1"/>
    <w:unhideWhenUsed/>
    <w:qFormat/>
    <w:rsid w:val="009E7D68"/>
    <w:pPr>
      <w:keepNext/>
      <w:keepLines/>
      <w:spacing w:before="200"/>
      <w:outlineLvl w:val="3"/>
    </w:pPr>
    <w:rPr>
      <w:rFonts w:eastAsiaTheme="majorEastAsia" w:cstheme="majorBidi"/>
      <w:b/>
      <w:bCs/>
      <w:i/>
      <w:iCs/>
      <w:color w:val="2D5EA8"/>
    </w:rPr>
  </w:style>
  <w:style w:type="paragraph" w:styleId="Heading5">
    <w:name w:val="heading 5"/>
    <w:basedOn w:val="Normal"/>
    <w:next w:val="Normal"/>
    <w:link w:val="Heading5Char"/>
    <w:uiPriority w:val="1"/>
    <w:unhideWhenUsed/>
    <w:qFormat/>
    <w:rsid w:val="009E7D68"/>
    <w:pPr>
      <w:keepNext/>
      <w:keepLines/>
      <w:spacing w:before="200"/>
      <w:outlineLvl w:val="4"/>
    </w:pPr>
    <w:rPr>
      <w:rFonts w:eastAsiaTheme="majorEastAsia" w:cstheme="majorBidi"/>
      <w:color w:val="243F60" w:themeColor="accent1" w:themeShade="7F"/>
    </w:rPr>
  </w:style>
  <w:style w:type="paragraph" w:styleId="Heading6">
    <w:name w:val="heading 6"/>
    <w:basedOn w:val="Heading5"/>
    <w:next w:val="AIHWbodytext"/>
    <w:link w:val="Heading6Char"/>
    <w:uiPriority w:val="1"/>
    <w:qFormat/>
    <w:rsid w:val="009E7D68"/>
    <w:pPr>
      <w:numPr>
        <w:ilvl w:val="5"/>
      </w:numPr>
      <w:tabs>
        <w:tab w:val="left" w:pos="794"/>
        <w:tab w:val="left" w:pos="1191"/>
        <w:tab w:val="left" w:pos="2778"/>
      </w:tabs>
      <w:autoSpaceDE/>
      <w:autoSpaceDN/>
      <w:adjustRightInd/>
      <w:spacing w:before="120" w:after="40" w:line="260" w:lineRule="atLeast"/>
      <w:ind w:left="1152"/>
      <w:jc w:val="left"/>
      <w:textAlignment w:val="auto"/>
      <w:outlineLvl w:val="5"/>
    </w:pPr>
    <w:rPr>
      <w:rFonts w:ascii="Book Antiqua" w:eastAsia="Times New Roman" w:hAnsi="Book Antiqua" w:cs="Times New Roman"/>
      <w:i/>
      <w:color w:val="000000"/>
      <w:lang w:val="en-AU" w:eastAsia="en-US"/>
    </w:rPr>
  </w:style>
  <w:style w:type="paragraph" w:styleId="Heading7">
    <w:name w:val="heading 7"/>
    <w:basedOn w:val="Normal"/>
    <w:next w:val="Normal"/>
    <w:link w:val="Heading7Char"/>
    <w:semiHidden/>
    <w:rsid w:val="009E7D68"/>
    <w:pPr>
      <w:numPr>
        <w:ilvl w:val="6"/>
        <w:numId w:val="4"/>
      </w:numPr>
      <w:autoSpaceDE/>
      <w:autoSpaceDN/>
      <w:adjustRightInd/>
      <w:spacing w:before="240" w:after="60" w:line="260" w:lineRule="atLeast"/>
      <w:ind w:left="1296" w:hanging="288"/>
      <w:jc w:val="left"/>
      <w:textAlignment w:val="auto"/>
      <w:outlineLvl w:val="6"/>
    </w:pPr>
    <w:rPr>
      <w:rFonts w:ascii="Times New Roman" w:eastAsia="Times New Roman" w:hAnsi="Times New Roman" w:cs="Times New Roman"/>
      <w:color w:val="auto"/>
      <w:sz w:val="24"/>
      <w:lang w:val="en-AU"/>
    </w:rPr>
  </w:style>
  <w:style w:type="paragraph" w:styleId="Heading8">
    <w:name w:val="heading 8"/>
    <w:basedOn w:val="Normal"/>
    <w:next w:val="Normal"/>
    <w:link w:val="Heading8Char"/>
    <w:semiHidden/>
    <w:qFormat/>
    <w:rsid w:val="009E7D68"/>
    <w:pPr>
      <w:numPr>
        <w:ilvl w:val="7"/>
        <w:numId w:val="4"/>
      </w:numPr>
      <w:autoSpaceDE/>
      <w:autoSpaceDN/>
      <w:adjustRightInd/>
      <w:spacing w:before="240" w:after="60" w:line="260" w:lineRule="atLeast"/>
      <w:ind w:left="1440" w:hanging="432"/>
      <w:jc w:val="left"/>
      <w:textAlignment w:val="auto"/>
      <w:outlineLvl w:val="7"/>
    </w:pPr>
    <w:rPr>
      <w:rFonts w:ascii="Times New Roman" w:eastAsia="Times New Roman" w:hAnsi="Times New Roman" w:cs="Times New Roman"/>
      <w:i/>
      <w:iCs/>
      <w:color w:val="auto"/>
      <w:sz w:val="24"/>
      <w:lang w:val="en-AU"/>
    </w:rPr>
  </w:style>
  <w:style w:type="paragraph" w:styleId="Heading9">
    <w:name w:val="heading 9"/>
    <w:basedOn w:val="Normal"/>
    <w:next w:val="Normal"/>
    <w:link w:val="Heading9Char"/>
    <w:semiHidden/>
    <w:rsid w:val="009E7D68"/>
    <w:pPr>
      <w:numPr>
        <w:ilvl w:val="8"/>
        <w:numId w:val="4"/>
      </w:numPr>
      <w:autoSpaceDE/>
      <w:autoSpaceDN/>
      <w:adjustRightInd/>
      <w:spacing w:before="240" w:after="60" w:line="260" w:lineRule="atLeast"/>
      <w:ind w:left="1584" w:hanging="144"/>
      <w:jc w:val="left"/>
      <w:textAlignment w:val="auto"/>
      <w:outlineLvl w:val="8"/>
    </w:pPr>
    <w:rPr>
      <w:rFonts w:ascii="Arial" w:eastAsia="Times New Roman" w:hAnsi="Arial" w:cs="Arial"/>
      <w:color w:val="auto"/>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sid w:val="00A705AF"/>
    <w:rPr>
      <w:i/>
      <w:iCs/>
    </w:rPr>
  </w:style>
  <w:style w:type="character" w:styleId="Strong">
    <w:name w:val="Strong"/>
    <w:basedOn w:val="DefaultParagraphFont"/>
    <w:qFormat/>
    <w:rsid w:val="00A705AF"/>
    <w:rPr>
      <w:b/>
      <w:bCs/>
    </w:rPr>
  </w:style>
  <w:style w:type="paragraph" w:styleId="Subtitle">
    <w:name w:val="Subtitle"/>
    <w:basedOn w:val="Normal"/>
    <w:next w:val="Normal"/>
    <w:link w:val="SubtitleChar"/>
    <w:uiPriority w:val="11"/>
    <w:qFormat/>
    <w:rsid w:val="009E7D68"/>
    <w:pPr>
      <w:numPr>
        <w:ilvl w:val="1"/>
      </w:numPr>
    </w:pPr>
    <w:rPr>
      <w:rFonts w:eastAsiaTheme="majorEastAsia" w:cstheme="majorBidi"/>
      <w:b/>
      <w:iCs/>
      <w:color w:val="72D0F4"/>
      <w:spacing w:val="15"/>
      <w:sz w:val="48"/>
    </w:rPr>
  </w:style>
  <w:style w:type="character" w:customStyle="1" w:styleId="SubtitleChar">
    <w:name w:val="Subtitle Char"/>
    <w:basedOn w:val="DefaultParagraphFont"/>
    <w:link w:val="Subtitle"/>
    <w:uiPriority w:val="11"/>
    <w:rsid w:val="009E7D68"/>
    <w:rPr>
      <w:rFonts w:ascii="Calibri" w:eastAsiaTheme="majorEastAsia" w:hAnsi="Calibri" w:cstheme="majorBidi"/>
      <w:b/>
      <w:iCs/>
      <w:color w:val="72D0F4"/>
      <w:spacing w:val="15"/>
      <w:sz w:val="48"/>
      <w:szCs w:val="22"/>
      <w:lang w:val="en"/>
    </w:rPr>
  </w:style>
  <w:style w:type="paragraph" w:styleId="Title">
    <w:name w:val="Title"/>
    <w:next w:val="ChapterBodyCopy"/>
    <w:link w:val="TitleChar"/>
    <w:autoRedefine/>
    <w:uiPriority w:val="10"/>
    <w:qFormat/>
    <w:rsid w:val="009E7D68"/>
    <w:pPr>
      <w:pageBreakBefore/>
      <w:spacing w:before="4200" w:after="240"/>
      <w:contextualSpacing/>
    </w:pPr>
    <w:rPr>
      <w:rFonts w:ascii="Calibri" w:eastAsiaTheme="majorEastAsia" w:hAnsi="Calibri" w:cstheme="majorBidi"/>
      <w:b/>
      <w:color w:val="1C1F58"/>
      <w:spacing w:val="5"/>
      <w:kern w:val="28"/>
      <w:sz w:val="72"/>
      <w:szCs w:val="72"/>
      <w:lang w:val="en"/>
    </w:rPr>
  </w:style>
  <w:style w:type="character" w:customStyle="1" w:styleId="TitleChar">
    <w:name w:val="Title Char"/>
    <w:basedOn w:val="DefaultParagraphFont"/>
    <w:link w:val="Title"/>
    <w:uiPriority w:val="10"/>
    <w:rsid w:val="009E7D68"/>
    <w:rPr>
      <w:rFonts w:ascii="Calibri" w:eastAsiaTheme="majorEastAsia" w:hAnsi="Calibri" w:cstheme="majorBidi"/>
      <w:b/>
      <w:color w:val="1C1F58"/>
      <w:spacing w:val="5"/>
      <w:kern w:val="28"/>
      <w:sz w:val="72"/>
      <w:szCs w:val="72"/>
      <w:lang w:val="en"/>
    </w:rPr>
  </w:style>
  <w:style w:type="paragraph" w:styleId="NoSpacing">
    <w:name w:val="No Spacing"/>
    <w:uiPriority w:val="1"/>
    <w:qFormat/>
    <w:rsid w:val="00A4512D"/>
    <w:rPr>
      <w:sz w:val="24"/>
      <w:szCs w:val="24"/>
      <w:lang w:eastAsia="en-US"/>
    </w:rPr>
  </w:style>
  <w:style w:type="character" w:styleId="SubtleEmphasis">
    <w:name w:val="Subtle Emphasis"/>
    <w:basedOn w:val="DefaultParagraphFont"/>
    <w:uiPriority w:val="19"/>
    <w:qFormat/>
    <w:rsid w:val="009E7D68"/>
    <w:rPr>
      <w:rFonts w:asciiTheme="majorHAnsi" w:hAnsiTheme="majorHAnsi"/>
      <w:i w:val="0"/>
      <w:iCs w:val="0"/>
      <w:caps/>
      <w:smallCaps w:val="0"/>
      <w:color w:val="808080" w:themeColor="text1" w:themeTint="7F"/>
      <w:sz w:val="28"/>
      <w:szCs w:val="36"/>
    </w:rPr>
  </w:style>
  <w:style w:type="character" w:styleId="IntenseEmphasis">
    <w:name w:val="Intense Emphasis"/>
    <w:basedOn w:val="DefaultParagraphFont"/>
    <w:uiPriority w:val="21"/>
    <w:qFormat/>
    <w:rsid w:val="00A4512D"/>
    <w:rPr>
      <w:b/>
      <w:bCs/>
      <w:i/>
      <w:iCs/>
      <w:color w:val="4F81BD" w:themeColor="accent1"/>
    </w:rPr>
  </w:style>
  <w:style w:type="paragraph" w:styleId="Quote">
    <w:name w:val="Quote"/>
    <w:basedOn w:val="Normal"/>
    <w:next w:val="Normal"/>
    <w:link w:val="QuoteChar"/>
    <w:uiPriority w:val="29"/>
    <w:qFormat/>
    <w:rsid w:val="009E7D68"/>
    <w:pPr>
      <w:jc w:val="left"/>
    </w:pPr>
    <w:rPr>
      <w:iCs/>
      <w:color w:val="2F3490"/>
    </w:rPr>
  </w:style>
  <w:style w:type="character" w:customStyle="1" w:styleId="QuoteChar">
    <w:name w:val="Quote Char"/>
    <w:basedOn w:val="DefaultParagraphFont"/>
    <w:link w:val="Quote"/>
    <w:uiPriority w:val="29"/>
    <w:rsid w:val="009E7D68"/>
    <w:rPr>
      <w:rFonts w:ascii="Calibri" w:eastAsiaTheme="minorEastAsia" w:hAnsi="Calibri" w:cs="MinionPro-Regular"/>
      <w:iCs/>
      <w:color w:val="2F3490"/>
      <w:sz w:val="22"/>
      <w:szCs w:val="22"/>
      <w:lang w:val="en"/>
    </w:rPr>
  </w:style>
  <w:style w:type="paragraph" w:styleId="IntenseQuote">
    <w:name w:val="Intense Quote"/>
    <w:basedOn w:val="Normal"/>
    <w:next w:val="Normal"/>
    <w:link w:val="IntenseQuoteChar"/>
    <w:uiPriority w:val="30"/>
    <w:qFormat/>
    <w:rsid w:val="00A4512D"/>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A4512D"/>
    <w:rPr>
      <w:b/>
      <w:bCs/>
      <w:i/>
      <w:iCs/>
      <w:color w:val="4F81BD" w:themeColor="accent1"/>
      <w:sz w:val="24"/>
      <w:szCs w:val="24"/>
      <w:lang w:eastAsia="en-US"/>
    </w:rPr>
  </w:style>
  <w:style w:type="character" w:styleId="SubtleReference">
    <w:name w:val="Subtle Reference"/>
    <w:basedOn w:val="DefaultParagraphFont"/>
    <w:uiPriority w:val="31"/>
    <w:qFormat/>
    <w:rsid w:val="00A4512D"/>
    <w:rPr>
      <w:smallCaps/>
      <w:color w:val="C0504D" w:themeColor="accent2"/>
      <w:u w:val="single"/>
    </w:rPr>
  </w:style>
  <w:style w:type="character" w:styleId="IntenseReference">
    <w:name w:val="Intense Reference"/>
    <w:basedOn w:val="DefaultParagraphFont"/>
    <w:uiPriority w:val="32"/>
    <w:qFormat/>
    <w:rsid w:val="009E7D68"/>
    <w:rPr>
      <w:b/>
      <w:bCs/>
      <w:i/>
      <w:smallCaps/>
      <w:color w:val="C0504D" w:themeColor="accent2"/>
      <w:spacing w:val="5"/>
      <w:u w:val="none"/>
    </w:rPr>
  </w:style>
  <w:style w:type="character" w:styleId="BookTitle">
    <w:name w:val="Book Title"/>
    <w:basedOn w:val="DefaultParagraphFont"/>
    <w:uiPriority w:val="33"/>
    <w:qFormat/>
    <w:rsid w:val="009E7D68"/>
    <w:rPr>
      <w:b/>
      <w:bCs/>
      <w:smallCaps/>
      <w:spacing w:val="5"/>
    </w:rPr>
  </w:style>
  <w:style w:type="paragraph" w:styleId="ListParagraph">
    <w:name w:val="List Paragraph"/>
    <w:basedOn w:val="Normal"/>
    <w:link w:val="ListParagraphChar"/>
    <w:uiPriority w:val="34"/>
    <w:qFormat/>
    <w:rsid w:val="009E7D68"/>
    <w:pPr>
      <w:numPr>
        <w:numId w:val="1"/>
      </w:numPr>
      <w:contextualSpacing/>
    </w:pPr>
  </w:style>
  <w:style w:type="character" w:customStyle="1" w:styleId="Heading7Char">
    <w:name w:val="Heading 7 Char"/>
    <w:basedOn w:val="DefaultParagraphFont"/>
    <w:link w:val="Heading7"/>
    <w:semiHidden/>
    <w:rsid w:val="009E7D68"/>
    <w:rPr>
      <w:sz w:val="24"/>
      <w:szCs w:val="22"/>
    </w:rPr>
  </w:style>
  <w:style w:type="character" w:customStyle="1" w:styleId="Heading8Char">
    <w:name w:val="Heading 8 Char"/>
    <w:basedOn w:val="DefaultParagraphFont"/>
    <w:link w:val="Heading8"/>
    <w:semiHidden/>
    <w:rsid w:val="009E7D68"/>
    <w:rPr>
      <w:i/>
      <w:iCs/>
      <w:sz w:val="24"/>
      <w:szCs w:val="22"/>
    </w:rPr>
  </w:style>
  <w:style w:type="character" w:customStyle="1" w:styleId="Heading9Char">
    <w:name w:val="Heading 9 Char"/>
    <w:basedOn w:val="DefaultParagraphFont"/>
    <w:link w:val="Heading9"/>
    <w:semiHidden/>
    <w:rsid w:val="009E7D68"/>
    <w:rPr>
      <w:rFonts w:ascii="Arial" w:hAnsi="Arial" w:cs="Arial"/>
      <w:sz w:val="22"/>
      <w:szCs w:val="22"/>
    </w:rPr>
  </w:style>
  <w:style w:type="character" w:customStyle="1" w:styleId="Heading1Char">
    <w:name w:val="Heading 1 Char"/>
    <w:basedOn w:val="DefaultParagraphFont"/>
    <w:link w:val="Heading1"/>
    <w:uiPriority w:val="1"/>
    <w:rsid w:val="009E7D68"/>
    <w:rPr>
      <w:rFonts w:ascii="Calibri" w:eastAsiaTheme="majorEastAsia" w:hAnsi="Calibri" w:cstheme="majorBidi"/>
      <w:b/>
      <w:bCs/>
      <w:color w:val="1C1F58"/>
      <w:sz w:val="32"/>
      <w:szCs w:val="32"/>
      <w:lang w:val="en"/>
    </w:rPr>
  </w:style>
  <w:style w:type="character" w:customStyle="1" w:styleId="Heading2Char">
    <w:name w:val="Heading 2 Char"/>
    <w:basedOn w:val="DefaultParagraphFont"/>
    <w:link w:val="Heading2"/>
    <w:uiPriority w:val="1"/>
    <w:rsid w:val="009E7D68"/>
    <w:rPr>
      <w:rFonts w:ascii="Calibri" w:eastAsiaTheme="majorEastAsia" w:hAnsi="Calibri" w:cstheme="majorBidi"/>
      <w:b/>
      <w:bCs/>
      <w:color w:val="004080"/>
      <w:sz w:val="26"/>
      <w:szCs w:val="26"/>
      <w:lang w:val="en"/>
    </w:rPr>
  </w:style>
  <w:style w:type="character" w:customStyle="1" w:styleId="Heading3Char">
    <w:name w:val="Heading 3 Char"/>
    <w:basedOn w:val="DefaultParagraphFont"/>
    <w:link w:val="Heading3"/>
    <w:uiPriority w:val="1"/>
    <w:rsid w:val="009E7D68"/>
    <w:rPr>
      <w:rFonts w:ascii="Calibri" w:eastAsiaTheme="majorEastAsia" w:hAnsi="Calibri" w:cstheme="majorBidi"/>
      <w:b/>
      <w:bCs/>
      <w:color w:val="1E2BC8"/>
      <w:sz w:val="22"/>
      <w:szCs w:val="22"/>
      <w:lang w:val="en"/>
    </w:rPr>
  </w:style>
  <w:style w:type="character" w:customStyle="1" w:styleId="Heading4Char">
    <w:name w:val="Heading 4 Char"/>
    <w:basedOn w:val="DefaultParagraphFont"/>
    <w:link w:val="Heading4"/>
    <w:uiPriority w:val="1"/>
    <w:rsid w:val="009E7D68"/>
    <w:rPr>
      <w:rFonts w:ascii="Calibri" w:eastAsiaTheme="majorEastAsia" w:hAnsi="Calibri" w:cstheme="majorBidi"/>
      <w:b/>
      <w:bCs/>
      <w:i/>
      <w:iCs/>
      <w:color w:val="2D5EA8"/>
      <w:sz w:val="22"/>
      <w:szCs w:val="22"/>
      <w:lang w:val="en"/>
    </w:rPr>
  </w:style>
  <w:style w:type="character" w:customStyle="1" w:styleId="Heading5Char">
    <w:name w:val="Heading 5 Char"/>
    <w:basedOn w:val="DefaultParagraphFont"/>
    <w:link w:val="Heading5"/>
    <w:uiPriority w:val="1"/>
    <w:rsid w:val="009E7D68"/>
    <w:rPr>
      <w:rFonts w:ascii="Calibri" w:eastAsiaTheme="majorEastAsia" w:hAnsi="Calibri" w:cstheme="majorBidi"/>
      <w:color w:val="243F60" w:themeColor="accent1" w:themeShade="7F"/>
      <w:sz w:val="22"/>
      <w:szCs w:val="22"/>
      <w:lang w:val="en"/>
    </w:rPr>
  </w:style>
  <w:style w:type="paragraph" w:styleId="Header">
    <w:name w:val="header"/>
    <w:basedOn w:val="Normal"/>
    <w:link w:val="HeaderChar"/>
    <w:uiPriority w:val="99"/>
    <w:unhideWhenUsed/>
    <w:rsid w:val="009E7D68"/>
    <w:pPr>
      <w:tabs>
        <w:tab w:val="center" w:pos="4320"/>
        <w:tab w:val="right" w:pos="8640"/>
      </w:tabs>
    </w:pPr>
  </w:style>
  <w:style w:type="character" w:customStyle="1" w:styleId="HeaderChar">
    <w:name w:val="Header Char"/>
    <w:basedOn w:val="DefaultParagraphFont"/>
    <w:link w:val="Header"/>
    <w:uiPriority w:val="99"/>
    <w:rsid w:val="009E7D68"/>
    <w:rPr>
      <w:rFonts w:ascii="Calibri" w:eastAsiaTheme="minorEastAsia" w:hAnsi="Calibri" w:cs="MinionPro-Regular"/>
      <w:color w:val="000000"/>
      <w:sz w:val="22"/>
      <w:szCs w:val="22"/>
      <w:lang w:val="en"/>
    </w:rPr>
  </w:style>
  <w:style w:type="paragraph" w:styleId="Footer">
    <w:name w:val="footer"/>
    <w:basedOn w:val="Normal"/>
    <w:link w:val="FooterChar"/>
    <w:autoRedefine/>
    <w:uiPriority w:val="99"/>
    <w:unhideWhenUsed/>
    <w:rsid w:val="009E7D68"/>
    <w:pPr>
      <w:framePr w:w="860" w:h="651" w:hRule="exact" w:wrap="notBeside" w:vAnchor="page" w:hAnchor="page" w:x="10569" w:y="15214"/>
      <w:tabs>
        <w:tab w:val="center" w:pos="4320"/>
        <w:tab w:val="right" w:pos="8640"/>
      </w:tabs>
      <w:jc w:val="center"/>
    </w:pPr>
    <w:rPr>
      <w:noProof/>
      <w:color w:val="484848"/>
      <w:sz w:val="18"/>
      <w:szCs w:val="18"/>
      <w:lang w:val="en-US"/>
    </w:rPr>
  </w:style>
  <w:style w:type="character" w:customStyle="1" w:styleId="FooterChar">
    <w:name w:val="Footer Char"/>
    <w:basedOn w:val="DefaultParagraphFont"/>
    <w:link w:val="Footer"/>
    <w:uiPriority w:val="99"/>
    <w:rsid w:val="009E7D68"/>
    <w:rPr>
      <w:rFonts w:ascii="Calibri" w:eastAsiaTheme="minorEastAsia" w:hAnsi="Calibri" w:cs="MinionPro-Regular"/>
      <w:noProof/>
      <w:color w:val="484848"/>
      <w:sz w:val="18"/>
      <w:szCs w:val="18"/>
      <w:lang w:val="en-US"/>
    </w:rPr>
  </w:style>
  <w:style w:type="paragraph" w:styleId="BalloonText">
    <w:name w:val="Balloon Text"/>
    <w:basedOn w:val="Normal"/>
    <w:link w:val="BalloonTextChar"/>
    <w:unhideWhenUsed/>
    <w:rsid w:val="009E7D68"/>
    <w:rPr>
      <w:rFonts w:ascii="Lucida Grande" w:hAnsi="Lucida Grande" w:cs="Lucida Grande"/>
      <w:sz w:val="18"/>
      <w:szCs w:val="18"/>
    </w:rPr>
  </w:style>
  <w:style w:type="character" w:customStyle="1" w:styleId="BalloonTextChar">
    <w:name w:val="Balloon Text Char"/>
    <w:basedOn w:val="DefaultParagraphFont"/>
    <w:link w:val="BalloonText"/>
    <w:rsid w:val="009E7D68"/>
    <w:rPr>
      <w:rFonts w:ascii="Lucida Grande" w:eastAsiaTheme="minorEastAsia" w:hAnsi="Lucida Grande" w:cs="Lucida Grande"/>
      <w:color w:val="000000"/>
      <w:sz w:val="18"/>
      <w:szCs w:val="18"/>
      <w:lang w:val="en"/>
    </w:rPr>
  </w:style>
  <w:style w:type="paragraph" w:styleId="TOC1">
    <w:name w:val="toc 1"/>
    <w:next w:val="Normal"/>
    <w:autoRedefine/>
    <w:uiPriority w:val="9"/>
    <w:unhideWhenUsed/>
    <w:rsid w:val="009E7D68"/>
    <w:pPr>
      <w:spacing w:before="120"/>
    </w:pPr>
    <w:rPr>
      <w:rFonts w:ascii="Calibri" w:eastAsiaTheme="minorEastAsia" w:hAnsi="Calibri" w:cs="MinionPro-Regular"/>
      <w:b/>
      <w:color w:val="548DD4"/>
      <w:sz w:val="24"/>
      <w:szCs w:val="22"/>
      <w:lang w:val="en"/>
    </w:rPr>
  </w:style>
  <w:style w:type="paragraph" w:styleId="TOC2">
    <w:name w:val="toc 2"/>
    <w:basedOn w:val="Normal"/>
    <w:next w:val="Normal"/>
    <w:autoRedefine/>
    <w:uiPriority w:val="9"/>
    <w:unhideWhenUsed/>
    <w:rsid w:val="009E7D68"/>
    <w:pPr>
      <w:keepNext/>
      <w:tabs>
        <w:tab w:val="right" w:leader="dot" w:pos="8488"/>
      </w:tabs>
      <w:spacing w:before="0"/>
      <w:ind w:left="284"/>
      <w:jc w:val="left"/>
    </w:pPr>
  </w:style>
  <w:style w:type="paragraph" w:styleId="TOC3">
    <w:name w:val="toc 3"/>
    <w:basedOn w:val="Normal"/>
    <w:next w:val="Normal"/>
    <w:autoRedefine/>
    <w:uiPriority w:val="9"/>
    <w:unhideWhenUsed/>
    <w:rsid w:val="009E7D68"/>
    <w:pPr>
      <w:keepNext/>
      <w:tabs>
        <w:tab w:val="left" w:pos="861"/>
        <w:tab w:val="right" w:leader="dot" w:pos="8488"/>
      </w:tabs>
      <w:spacing w:before="0"/>
      <w:ind w:left="567"/>
      <w:jc w:val="left"/>
    </w:pPr>
  </w:style>
  <w:style w:type="paragraph" w:styleId="TOC4">
    <w:name w:val="toc 4"/>
    <w:basedOn w:val="Normal"/>
    <w:next w:val="Normal"/>
    <w:autoRedefine/>
    <w:uiPriority w:val="39"/>
    <w:unhideWhenUsed/>
    <w:rsid w:val="009E7D68"/>
    <w:pPr>
      <w:pBdr>
        <w:between w:val="double" w:sz="6" w:space="0" w:color="auto"/>
      </w:pBdr>
      <w:spacing w:before="0"/>
      <w:ind w:left="440"/>
    </w:pPr>
    <w:rPr>
      <w:rFonts w:asciiTheme="minorHAnsi" w:hAnsiTheme="minorHAnsi"/>
      <w:sz w:val="20"/>
      <w:szCs w:val="20"/>
    </w:rPr>
  </w:style>
  <w:style w:type="paragraph" w:styleId="TOC5">
    <w:name w:val="toc 5"/>
    <w:basedOn w:val="Normal"/>
    <w:next w:val="Normal"/>
    <w:autoRedefine/>
    <w:uiPriority w:val="39"/>
    <w:unhideWhenUsed/>
    <w:rsid w:val="009E7D68"/>
    <w:pPr>
      <w:pBdr>
        <w:between w:val="double" w:sz="6" w:space="0" w:color="auto"/>
      </w:pBdr>
      <w:spacing w:before="0"/>
      <w:ind w:left="660"/>
    </w:pPr>
    <w:rPr>
      <w:rFonts w:asciiTheme="minorHAnsi" w:hAnsiTheme="minorHAnsi"/>
      <w:sz w:val="20"/>
      <w:szCs w:val="20"/>
    </w:rPr>
  </w:style>
  <w:style w:type="paragraph" w:styleId="TOC6">
    <w:name w:val="toc 6"/>
    <w:basedOn w:val="Normal"/>
    <w:next w:val="Normal"/>
    <w:autoRedefine/>
    <w:uiPriority w:val="39"/>
    <w:unhideWhenUsed/>
    <w:rsid w:val="009E7D68"/>
    <w:pPr>
      <w:pBdr>
        <w:between w:val="double" w:sz="6" w:space="0" w:color="auto"/>
      </w:pBdr>
      <w:spacing w:before="0"/>
      <w:ind w:left="880"/>
    </w:pPr>
    <w:rPr>
      <w:rFonts w:asciiTheme="minorHAnsi" w:hAnsiTheme="minorHAnsi"/>
      <w:sz w:val="20"/>
      <w:szCs w:val="20"/>
    </w:rPr>
  </w:style>
  <w:style w:type="paragraph" w:styleId="TOC7">
    <w:name w:val="toc 7"/>
    <w:basedOn w:val="Normal"/>
    <w:next w:val="Normal"/>
    <w:autoRedefine/>
    <w:uiPriority w:val="39"/>
    <w:unhideWhenUsed/>
    <w:rsid w:val="009E7D68"/>
    <w:pPr>
      <w:pBdr>
        <w:between w:val="double" w:sz="6" w:space="0" w:color="auto"/>
      </w:pBdr>
      <w:spacing w:before="0"/>
      <w:ind w:left="1100"/>
    </w:pPr>
    <w:rPr>
      <w:rFonts w:asciiTheme="minorHAnsi" w:hAnsiTheme="minorHAnsi"/>
      <w:sz w:val="20"/>
      <w:szCs w:val="20"/>
    </w:rPr>
  </w:style>
  <w:style w:type="paragraph" w:styleId="TOC8">
    <w:name w:val="toc 8"/>
    <w:basedOn w:val="Normal"/>
    <w:next w:val="Normal"/>
    <w:autoRedefine/>
    <w:uiPriority w:val="39"/>
    <w:unhideWhenUsed/>
    <w:rsid w:val="009E7D68"/>
    <w:pPr>
      <w:pBdr>
        <w:between w:val="double" w:sz="6" w:space="0" w:color="auto"/>
      </w:pBdr>
      <w:spacing w:before="0"/>
      <w:ind w:left="1320"/>
    </w:pPr>
    <w:rPr>
      <w:rFonts w:asciiTheme="minorHAnsi" w:hAnsiTheme="minorHAnsi"/>
      <w:sz w:val="20"/>
      <w:szCs w:val="20"/>
    </w:rPr>
  </w:style>
  <w:style w:type="paragraph" w:styleId="TOC9">
    <w:name w:val="toc 9"/>
    <w:basedOn w:val="Normal"/>
    <w:next w:val="Normal"/>
    <w:autoRedefine/>
    <w:uiPriority w:val="39"/>
    <w:unhideWhenUsed/>
    <w:rsid w:val="009E7D68"/>
    <w:pPr>
      <w:pBdr>
        <w:between w:val="double" w:sz="6" w:space="0" w:color="auto"/>
      </w:pBdr>
      <w:spacing w:before="0"/>
      <w:ind w:left="1540"/>
    </w:pPr>
    <w:rPr>
      <w:rFonts w:asciiTheme="minorHAnsi" w:hAnsiTheme="minorHAnsi"/>
      <w:sz w:val="20"/>
      <w:szCs w:val="20"/>
    </w:rPr>
  </w:style>
  <w:style w:type="character" w:styleId="PageNumber">
    <w:name w:val="page number"/>
    <w:basedOn w:val="DefaultParagraphFont"/>
    <w:uiPriority w:val="14"/>
    <w:unhideWhenUsed/>
    <w:rsid w:val="003F6207"/>
    <w:rPr>
      <w:rFonts w:asciiTheme="minorHAnsi" w:hAnsiTheme="minorHAnsi"/>
      <w:b w:val="0"/>
      <w:bCs w:val="0"/>
      <w:i w:val="0"/>
      <w:iCs w:val="0"/>
      <w:color w:val="000000" w:themeColor="text1"/>
      <w:sz w:val="24"/>
      <w:szCs w:val="20"/>
    </w:rPr>
  </w:style>
  <w:style w:type="paragraph" w:customStyle="1" w:styleId="BasicParagraph">
    <w:name w:val="[Basic Paragraph]"/>
    <w:basedOn w:val="Normal"/>
    <w:uiPriority w:val="99"/>
    <w:rsid w:val="009E7D68"/>
  </w:style>
  <w:style w:type="table" w:styleId="TableGrid">
    <w:name w:val="Table Grid"/>
    <w:basedOn w:val="TableNormal"/>
    <w:rsid w:val="009E7D68"/>
    <w:rPr>
      <w:rFonts w:asciiTheme="minorHAnsi" w:eastAsiaTheme="minorEastAsia" w:hAnsiTheme="minorHAnsi" w:cstheme="minorBidi"/>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1">
    <w:name w:val="Light List Accent 1"/>
    <w:basedOn w:val="TableNormal"/>
    <w:uiPriority w:val="61"/>
    <w:rsid w:val="009E7D68"/>
    <w:rPr>
      <w:rFonts w:asciiTheme="minorHAnsi" w:eastAsiaTheme="minorEastAsia" w:hAnsiTheme="minorHAnsi" w:cstheme="minorBidi"/>
      <w:sz w:val="24"/>
      <w:szCs w:val="24"/>
      <w:lang w:val="en-US"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Shading-Accent1">
    <w:name w:val="Light Shading Accent 1"/>
    <w:basedOn w:val="TableNormal"/>
    <w:uiPriority w:val="60"/>
    <w:rsid w:val="009E7D68"/>
    <w:rPr>
      <w:rFonts w:asciiTheme="minorHAnsi" w:eastAsiaTheme="minorEastAsia" w:hAnsiTheme="minorHAnsi" w:cstheme="minorBidi"/>
      <w:color w:val="000000" w:themeColor="text1"/>
      <w:sz w:val="24"/>
      <w:szCs w:val="24"/>
      <w:lang w:val="en-US"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rFonts w:asciiTheme="majorHAnsi" w:hAnsiTheme="majorHAnsi"/>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rFonts w:asciiTheme="majorHAnsi" w:hAnsiTheme="majorHAnsi"/>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Caption">
    <w:name w:val="caption"/>
    <w:basedOn w:val="Normal"/>
    <w:next w:val="Normal"/>
    <w:unhideWhenUsed/>
    <w:qFormat/>
    <w:rsid w:val="009E7D68"/>
    <w:pPr>
      <w:keepNext/>
      <w:keepLines/>
      <w:spacing w:before="200"/>
      <w:jc w:val="left"/>
    </w:pPr>
    <w:rPr>
      <w:b/>
      <w:bCs/>
      <w:color w:val="1E2BC8"/>
      <w:szCs w:val="18"/>
    </w:rPr>
  </w:style>
  <w:style w:type="table" w:customStyle="1" w:styleId="NMHCTable">
    <w:name w:val="NMHC Table"/>
    <w:basedOn w:val="LightShading-Accent1"/>
    <w:uiPriority w:val="99"/>
    <w:rsid w:val="009E7D68"/>
    <w:tblPr/>
    <w:tblStylePr w:type="firstRow">
      <w:pPr>
        <w:spacing w:before="0" w:after="0" w:line="240" w:lineRule="auto"/>
      </w:pPr>
      <w:rPr>
        <w:b/>
        <w:bCs/>
      </w:rPr>
      <w:tblPr/>
      <w:tcPr>
        <w:tcBorders>
          <w:top w:val="single" w:sz="8" w:space="0" w:color="2D5EA8"/>
          <w:left w:val="nil"/>
          <w:bottom w:val="single" w:sz="8" w:space="0" w:color="2D5EA8"/>
          <w:right w:val="nil"/>
          <w:insideH w:val="nil"/>
          <w:insideV w:val="nil"/>
        </w:tcBorders>
      </w:tcPr>
    </w:tblStylePr>
    <w:tblStylePr w:type="lastRow">
      <w:pPr>
        <w:spacing w:before="0" w:after="0" w:line="240" w:lineRule="auto"/>
      </w:pPr>
      <w:rPr>
        <w:rFonts w:asciiTheme="majorHAnsi" w:hAnsiTheme="majorHAnsi"/>
        <w:b/>
        <w:bCs/>
      </w:rPr>
      <w:tblPr/>
      <w:tcPr>
        <w:tcBorders>
          <w:top w:val="single" w:sz="8" w:space="0" w:color="2D5EA8"/>
          <w:left w:val="nil"/>
          <w:bottom w:val="single" w:sz="8" w:space="0" w:color="2D5EA8"/>
          <w:right w:val="nil"/>
          <w:insideH w:val="nil"/>
          <w:insideV w:val="nil"/>
        </w:tcBorders>
      </w:tcPr>
    </w:tblStylePr>
    <w:tblStylePr w:type="firstCol">
      <w:rPr>
        <w:rFonts w:asciiTheme="majorHAnsi" w:hAnsiTheme="majorHAnsi"/>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left w:val="nil"/>
          <w:bottom w:val="nil"/>
          <w:right w:val="nil"/>
          <w:insideH w:val="nil"/>
          <w:insideV w:val="nil"/>
          <w:tl2br w:val="nil"/>
          <w:tr2bl w:val="nil"/>
        </w:tcBorders>
        <w:shd w:val="clear" w:color="auto" w:fill="B9E6FB"/>
      </w:tcPr>
    </w:tblStylePr>
  </w:style>
  <w:style w:type="table" w:customStyle="1" w:styleId="Style1">
    <w:name w:val="Style1"/>
    <w:basedOn w:val="TableNormal"/>
    <w:uiPriority w:val="99"/>
    <w:rsid w:val="009E7D68"/>
    <w:rPr>
      <w:rFonts w:asciiTheme="minorHAnsi" w:eastAsiaTheme="minorEastAsia" w:hAnsiTheme="minorHAnsi" w:cstheme="minorBidi"/>
      <w:sz w:val="24"/>
      <w:szCs w:val="24"/>
      <w:lang w:val="en-US" w:eastAsia="en-US"/>
    </w:rPr>
    <w:tblPr/>
    <w:tblStylePr w:type="firstRow">
      <w:tblPr/>
      <w:tcPr>
        <w:shd w:val="clear" w:color="auto" w:fill="2F3490"/>
      </w:tcPr>
    </w:tblStylePr>
  </w:style>
  <w:style w:type="paragraph" w:customStyle="1" w:styleId="ChapterBodyCopy">
    <w:name w:val="Chapter Body Copy"/>
    <w:qFormat/>
    <w:rsid w:val="009E7D68"/>
    <w:rPr>
      <w:rFonts w:asciiTheme="majorHAnsi" w:eastAsiaTheme="minorEastAsia" w:hAnsiTheme="majorHAnsi" w:cstheme="minorBidi"/>
      <w:sz w:val="22"/>
      <w:szCs w:val="24"/>
      <w:lang w:val="en-US" w:eastAsia="en-US"/>
    </w:rPr>
  </w:style>
  <w:style w:type="paragraph" w:customStyle="1" w:styleId="DocumentTitle">
    <w:name w:val="Document Title"/>
    <w:qFormat/>
    <w:rsid w:val="009E7D68"/>
    <w:rPr>
      <w:rFonts w:ascii="Calibri" w:eastAsiaTheme="minorEastAsia" w:hAnsi="Calibri" w:cs="MinionPro-Regular"/>
      <w:b/>
      <w:color w:val="FFFFFF" w:themeColor="background1"/>
      <w:sz w:val="144"/>
      <w:szCs w:val="32"/>
      <w:lang w:val="en"/>
    </w:rPr>
  </w:style>
  <w:style w:type="character" w:customStyle="1" w:styleId="ListParagraphChar">
    <w:name w:val="List Paragraph Char"/>
    <w:link w:val="ListParagraph"/>
    <w:uiPriority w:val="34"/>
    <w:locked/>
    <w:rsid w:val="009E7D68"/>
    <w:rPr>
      <w:rFonts w:ascii="Calibri" w:eastAsiaTheme="minorEastAsia" w:hAnsi="Calibri" w:cs="MinionPro-Regular"/>
      <w:color w:val="000000"/>
      <w:sz w:val="22"/>
      <w:szCs w:val="22"/>
      <w:lang w:val="en"/>
    </w:rPr>
  </w:style>
  <w:style w:type="paragraph" w:styleId="EndnoteText">
    <w:name w:val="endnote text"/>
    <w:basedOn w:val="Normal"/>
    <w:link w:val="EndnoteTextChar"/>
    <w:uiPriority w:val="12"/>
    <w:unhideWhenUsed/>
    <w:rsid w:val="009E7D68"/>
    <w:pPr>
      <w:autoSpaceDE/>
      <w:autoSpaceDN/>
      <w:adjustRightInd/>
      <w:spacing w:before="60" w:after="120" w:line="260" w:lineRule="atLeast"/>
      <w:jc w:val="left"/>
      <w:textAlignment w:val="auto"/>
    </w:pPr>
    <w:rPr>
      <w:rFonts w:eastAsia="Times New Roman" w:cs="Times New Roman"/>
      <w:color w:val="auto"/>
      <w:lang w:val="en-AU"/>
    </w:rPr>
  </w:style>
  <w:style w:type="character" w:customStyle="1" w:styleId="EndnoteTextChar">
    <w:name w:val="Endnote Text Char"/>
    <w:basedOn w:val="DefaultParagraphFont"/>
    <w:link w:val="EndnoteText"/>
    <w:uiPriority w:val="12"/>
    <w:rsid w:val="009E7D68"/>
    <w:rPr>
      <w:rFonts w:ascii="Calibri" w:hAnsi="Calibri"/>
      <w:sz w:val="22"/>
      <w:szCs w:val="22"/>
    </w:rPr>
  </w:style>
  <w:style w:type="character" w:styleId="EndnoteReference">
    <w:name w:val="endnote reference"/>
    <w:uiPriority w:val="12"/>
    <w:unhideWhenUsed/>
    <w:rsid w:val="009E7D68"/>
    <w:rPr>
      <w:vertAlign w:val="superscript"/>
    </w:rPr>
  </w:style>
  <w:style w:type="character" w:styleId="Hyperlink">
    <w:name w:val="Hyperlink"/>
    <w:uiPriority w:val="99"/>
    <w:unhideWhenUsed/>
    <w:rsid w:val="009E7D68"/>
    <w:rPr>
      <w:color w:val="1F497D"/>
      <w:u w:val="single"/>
    </w:rPr>
  </w:style>
  <w:style w:type="character" w:styleId="FootnoteReference">
    <w:name w:val="footnote reference"/>
    <w:uiPriority w:val="21"/>
    <w:unhideWhenUsed/>
    <w:rsid w:val="009E7D68"/>
    <w:rPr>
      <w:dstrike w:val="0"/>
      <w:vertAlign w:val="superscript"/>
    </w:rPr>
  </w:style>
  <w:style w:type="paragraph" w:styleId="FootnoteText">
    <w:name w:val="footnote text"/>
    <w:basedOn w:val="Normal"/>
    <w:link w:val="FootnoteTextChar"/>
    <w:uiPriority w:val="21"/>
    <w:unhideWhenUsed/>
    <w:rsid w:val="009E7D68"/>
    <w:pPr>
      <w:autoSpaceDE/>
      <w:autoSpaceDN/>
      <w:adjustRightInd/>
      <w:spacing w:before="60" w:after="20" w:line="220" w:lineRule="atLeast"/>
      <w:ind w:left="397" w:hanging="397"/>
      <w:jc w:val="left"/>
      <w:textAlignment w:val="auto"/>
    </w:pPr>
    <w:rPr>
      <w:rFonts w:ascii="Book Antiqua" w:eastAsia="Times New Roman" w:hAnsi="Book Antiqua" w:cs="Times New Roman"/>
      <w:color w:val="auto"/>
      <w:sz w:val="18"/>
      <w:szCs w:val="20"/>
      <w:lang w:val="en-AU" w:eastAsia="en-US"/>
    </w:rPr>
  </w:style>
  <w:style w:type="character" w:customStyle="1" w:styleId="FootnoteTextChar">
    <w:name w:val="Footnote Text Char"/>
    <w:basedOn w:val="DefaultParagraphFont"/>
    <w:link w:val="FootnoteText"/>
    <w:uiPriority w:val="21"/>
    <w:rsid w:val="009E7D68"/>
    <w:rPr>
      <w:rFonts w:ascii="Book Antiqua" w:hAnsi="Book Antiqua"/>
      <w:sz w:val="18"/>
      <w:lang w:eastAsia="en-US"/>
    </w:rPr>
  </w:style>
  <w:style w:type="paragraph" w:styleId="NormalWeb">
    <w:name w:val="Normal (Web)"/>
    <w:basedOn w:val="Normal"/>
    <w:uiPriority w:val="99"/>
    <w:rsid w:val="009E7D68"/>
    <w:pPr>
      <w:autoSpaceDE/>
      <w:autoSpaceDN/>
      <w:adjustRightInd/>
      <w:spacing w:before="60" w:after="120" w:line="260" w:lineRule="atLeast"/>
      <w:jc w:val="left"/>
      <w:textAlignment w:val="auto"/>
    </w:pPr>
    <w:rPr>
      <w:rFonts w:ascii="Times New Roman" w:eastAsia="Times New Roman" w:hAnsi="Times New Roman" w:cs="Times New Roman"/>
      <w:color w:val="auto"/>
      <w:sz w:val="24"/>
      <w:lang w:val="en-AU"/>
    </w:rPr>
  </w:style>
  <w:style w:type="paragraph" w:customStyle="1" w:styleId="AIHWbodytext">
    <w:name w:val="AIHW body text"/>
    <w:basedOn w:val="Normal"/>
    <w:link w:val="AIHWbodytextChar"/>
    <w:qFormat/>
    <w:rsid w:val="009E7D68"/>
    <w:pPr>
      <w:autoSpaceDE/>
      <w:autoSpaceDN/>
      <w:adjustRightInd/>
      <w:spacing w:before="60" w:after="120" w:line="260" w:lineRule="atLeast"/>
      <w:jc w:val="left"/>
      <w:textAlignment w:val="auto"/>
    </w:pPr>
    <w:rPr>
      <w:rFonts w:ascii="Book Antiqua" w:eastAsia="Times New Roman" w:hAnsi="Book Antiqua" w:cs="Times New Roman"/>
      <w:color w:val="auto"/>
      <w:szCs w:val="20"/>
      <w:lang w:val="en-AU" w:eastAsia="en-US"/>
    </w:rPr>
  </w:style>
  <w:style w:type="character" w:customStyle="1" w:styleId="AIHWbodytextChar">
    <w:name w:val="AIHW body text Char"/>
    <w:link w:val="AIHWbodytext"/>
    <w:locked/>
    <w:rsid w:val="009E7D68"/>
    <w:rPr>
      <w:rFonts w:ascii="Book Antiqua" w:hAnsi="Book Antiqua"/>
      <w:sz w:val="22"/>
      <w:lang w:eastAsia="en-US"/>
    </w:rPr>
  </w:style>
  <w:style w:type="paragraph" w:customStyle="1" w:styleId="Default">
    <w:name w:val="Default"/>
    <w:rsid w:val="009E7D68"/>
    <w:pPr>
      <w:autoSpaceDE w:val="0"/>
      <w:autoSpaceDN w:val="0"/>
      <w:adjustRightInd w:val="0"/>
    </w:pPr>
    <w:rPr>
      <w:rFonts w:ascii="Calibri" w:hAnsi="Calibri" w:cs="Calibri"/>
      <w:color w:val="000000"/>
      <w:sz w:val="24"/>
      <w:szCs w:val="24"/>
    </w:rPr>
  </w:style>
  <w:style w:type="paragraph" w:customStyle="1" w:styleId="FigureCaption">
    <w:name w:val="Figure: Caption"/>
    <w:basedOn w:val="Normal"/>
    <w:next w:val="AIHWbodytext"/>
    <w:uiPriority w:val="5"/>
    <w:rsid w:val="009E7D68"/>
    <w:pPr>
      <w:keepNext/>
      <w:keepLines/>
      <w:autoSpaceDE/>
      <w:autoSpaceDN/>
      <w:adjustRightInd/>
      <w:spacing w:after="120" w:line="240" w:lineRule="atLeast"/>
      <w:jc w:val="left"/>
      <w:textAlignment w:val="auto"/>
    </w:pPr>
    <w:rPr>
      <w:rFonts w:ascii="Book Antiqua" w:eastAsia="Times New Roman" w:hAnsi="Book Antiqua" w:cs="Times New Roman"/>
      <w:b/>
      <w:color w:val="auto"/>
      <w:sz w:val="20"/>
      <w:szCs w:val="20"/>
      <w:lang w:val="en-AU" w:eastAsia="en-US"/>
    </w:rPr>
  </w:style>
  <w:style w:type="paragraph" w:styleId="TOCHeading">
    <w:name w:val="TOC Heading"/>
    <w:basedOn w:val="Heading1"/>
    <w:next w:val="Normal"/>
    <w:uiPriority w:val="39"/>
    <w:semiHidden/>
    <w:unhideWhenUsed/>
    <w:qFormat/>
    <w:rsid w:val="009E7D68"/>
    <w:pPr>
      <w:jc w:val="both"/>
      <w:outlineLvl w:val="9"/>
    </w:pPr>
    <w:rPr>
      <w:rFonts w:asciiTheme="majorHAnsi" w:hAnsiTheme="majorHAnsi"/>
      <w:color w:val="365F91" w:themeColor="accent1" w:themeShade="BF"/>
      <w:sz w:val="28"/>
      <w:szCs w:val="28"/>
    </w:rPr>
  </w:style>
  <w:style w:type="paragraph" w:customStyle="1" w:styleId="Bullet1">
    <w:name w:val="Bullet 1"/>
    <w:basedOn w:val="AIHWbodytext"/>
    <w:link w:val="Bullet1Char"/>
    <w:uiPriority w:val="2"/>
    <w:qFormat/>
    <w:rsid w:val="009E7D68"/>
    <w:pPr>
      <w:numPr>
        <w:numId w:val="2"/>
      </w:numPr>
      <w:spacing w:before="40" w:after="80"/>
    </w:pPr>
  </w:style>
  <w:style w:type="paragraph" w:customStyle="1" w:styleId="TableSourcefootnotes">
    <w:name w:val="Table: Source &amp; footnotes"/>
    <w:basedOn w:val="AIHWbodytext"/>
    <w:next w:val="AIHWbodytext"/>
    <w:uiPriority w:val="5"/>
    <w:rsid w:val="009E7D68"/>
    <w:pPr>
      <w:keepLines/>
      <w:tabs>
        <w:tab w:val="left" w:pos="397"/>
      </w:tabs>
      <w:spacing w:before="120" w:line="180" w:lineRule="atLeast"/>
    </w:pPr>
    <w:rPr>
      <w:rFonts w:ascii="Arial" w:hAnsi="Arial"/>
      <w:sz w:val="14"/>
    </w:rPr>
  </w:style>
  <w:style w:type="character" w:customStyle="1" w:styleId="Bullet1Char">
    <w:name w:val="Bullet 1 Char"/>
    <w:basedOn w:val="DefaultParagraphFont"/>
    <w:link w:val="Bullet1"/>
    <w:uiPriority w:val="2"/>
    <w:locked/>
    <w:rsid w:val="009E7D68"/>
    <w:rPr>
      <w:rFonts w:ascii="Book Antiqua" w:hAnsi="Book Antiqua"/>
      <w:sz w:val="22"/>
      <w:lang w:eastAsia="en-US"/>
    </w:rPr>
  </w:style>
  <w:style w:type="character" w:customStyle="1" w:styleId="apple-converted-space">
    <w:name w:val="apple-converted-space"/>
    <w:basedOn w:val="DefaultParagraphFont"/>
    <w:rsid w:val="009E7D68"/>
  </w:style>
  <w:style w:type="character" w:customStyle="1" w:styleId="table-note">
    <w:name w:val="table-note"/>
    <w:basedOn w:val="DefaultParagraphFont"/>
    <w:qFormat/>
    <w:rsid w:val="009E7D68"/>
  </w:style>
  <w:style w:type="paragraph" w:customStyle="1" w:styleId="TableFigText">
    <w:name w:val="Table/Fig: Text"/>
    <w:basedOn w:val="AIHWbodytext"/>
    <w:link w:val="TableFigTextChar"/>
    <w:uiPriority w:val="6"/>
    <w:rsid w:val="009E7D68"/>
    <w:pPr>
      <w:keepLines/>
      <w:tabs>
        <w:tab w:val="left" w:pos="198"/>
      </w:tabs>
      <w:spacing w:after="60" w:line="200" w:lineRule="atLeast"/>
    </w:pPr>
    <w:rPr>
      <w:rFonts w:ascii="Arial" w:hAnsi="Arial"/>
      <w:sz w:val="16"/>
    </w:rPr>
  </w:style>
  <w:style w:type="paragraph" w:customStyle="1" w:styleId="TableCaption">
    <w:name w:val="Table: Caption"/>
    <w:basedOn w:val="AIHWbodytext"/>
    <w:next w:val="Normal"/>
    <w:uiPriority w:val="5"/>
    <w:rsid w:val="009E7D68"/>
    <w:pPr>
      <w:keepNext/>
      <w:keepLines/>
      <w:spacing w:before="240" w:line="240" w:lineRule="atLeast"/>
    </w:pPr>
    <w:rPr>
      <w:b/>
      <w:sz w:val="20"/>
    </w:rPr>
  </w:style>
  <w:style w:type="character" w:customStyle="1" w:styleId="TableFigTextChar">
    <w:name w:val="Table/Fig: Text Char"/>
    <w:link w:val="TableFigText"/>
    <w:uiPriority w:val="6"/>
    <w:rsid w:val="009E7D68"/>
    <w:rPr>
      <w:rFonts w:ascii="Arial" w:hAnsi="Arial"/>
      <w:sz w:val="16"/>
      <w:lang w:eastAsia="en-US"/>
    </w:rPr>
  </w:style>
  <w:style w:type="paragraph" w:customStyle="1" w:styleId="TableFigNotesnumbered">
    <w:name w:val="Table/Fig: Notes numbered"/>
    <w:basedOn w:val="TableSourcefootnotes"/>
    <w:link w:val="TableFigNotesnumberedChar"/>
    <w:uiPriority w:val="6"/>
    <w:rsid w:val="009E7D68"/>
    <w:pPr>
      <w:tabs>
        <w:tab w:val="clear" w:pos="397"/>
      </w:tabs>
      <w:spacing w:after="0"/>
      <w:ind w:left="397" w:hanging="397"/>
    </w:pPr>
  </w:style>
  <w:style w:type="character" w:customStyle="1" w:styleId="TableFigNotesnumberedChar">
    <w:name w:val="Table/Fig: Notes numbered Char"/>
    <w:link w:val="TableFigNotesnumbered"/>
    <w:uiPriority w:val="6"/>
    <w:rsid w:val="009E7D68"/>
    <w:rPr>
      <w:rFonts w:ascii="Arial" w:hAnsi="Arial"/>
      <w:sz w:val="14"/>
      <w:lang w:eastAsia="en-US"/>
    </w:rPr>
  </w:style>
  <w:style w:type="paragraph" w:styleId="Revision">
    <w:name w:val="Revision"/>
    <w:hidden/>
    <w:uiPriority w:val="99"/>
    <w:semiHidden/>
    <w:rsid w:val="009E7D68"/>
    <w:rPr>
      <w:rFonts w:ascii="Calibri" w:eastAsiaTheme="minorEastAsia" w:hAnsi="Calibri" w:cs="MinionPro-Regular"/>
      <w:color w:val="000000"/>
      <w:sz w:val="22"/>
      <w:szCs w:val="22"/>
      <w:lang w:val="en"/>
    </w:rPr>
  </w:style>
  <w:style w:type="character" w:customStyle="1" w:styleId="Heading6Char">
    <w:name w:val="Heading 6 Char"/>
    <w:basedOn w:val="DefaultParagraphFont"/>
    <w:link w:val="Heading6"/>
    <w:uiPriority w:val="1"/>
    <w:rsid w:val="009E7D68"/>
    <w:rPr>
      <w:rFonts w:ascii="Book Antiqua" w:hAnsi="Book Antiqua"/>
      <w:i/>
      <w:color w:val="000000"/>
      <w:sz w:val="22"/>
      <w:szCs w:val="22"/>
      <w:lang w:eastAsia="en-US"/>
    </w:rPr>
  </w:style>
  <w:style w:type="paragraph" w:customStyle="1" w:styleId="Bullet2">
    <w:name w:val="Bullet 2"/>
    <w:basedOn w:val="Bullet1"/>
    <w:uiPriority w:val="2"/>
    <w:qFormat/>
    <w:rsid w:val="009E7D68"/>
    <w:pPr>
      <w:numPr>
        <w:numId w:val="3"/>
      </w:numPr>
      <w:tabs>
        <w:tab w:val="clear" w:pos="794"/>
        <w:tab w:val="num" w:pos="397"/>
      </w:tabs>
      <w:ind w:left="397"/>
    </w:pPr>
  </w:style>
  <w:style w:type="paragraph" w:customStyle="1" w:styleId="BoxHeading2">
    <w:name w:val="Box: Heading 2"/>
    <w:basedOn w:val="BoxText"/>
    <w:next w:val="BoxText"/>
    <w:uiPriority w:val="3"/>
    <w:qFormat/>
    <w:rsid w:val="009E7D68"/>
    <w:pPr>
      <w:pBdr>
        <w:top w:val="single" w:sz="4" w:space="10" w:color="000000"/>
        <w:left w:val="single" w:sz="4" w:space="10" w:color="000000"/>
        <w:bottom w:val="single" w:sz="4" w:space="10" w:color="000000"/>
        <w:right w:val="single" w:sz="4" w:space="10" w:color="000000"/>
      </w:pBdr>
      <w:tabs>
        <w:tab w:val="left" w:pos="397"/>
      </w:tabs>
      <w:spacing w:before="120" w:after="60" w:line="240" w:lineRule="atLeast"/>
      <w:ind w:left="255" w:right="255"/>
    </w:pPr>
    <w:rPr>
      <w:b/>
      <w:sz w:val="21"/>
    </w:rPr>
  </w:style>
  <w:style w:type="table" w:customStyle="1" w:styleId="AIHWTable">
    <w:name w:val="AIHW Table"/>
    <w:basedOn w:val="TableNormal"/>
    <w:rsid w:val="009E7D68"/>
    <w:pPr>
      <w:tabs>
        <w:tab w:val="left" w:pos="198"/>
      </w:tabs>
      <w:spacing w:after="60" w:line="200" w:lineRule="atLeast"/>
      <w:jc w:val="right"/>
    </w:pPr>
    <w:rPr>
      <w:rFonts w:ascii="Arial" w:hAnsi="Arial"/>
      <w:color w:val="000000"/>
      <w:sz w:val="16"/>
    </w:rPr>
    <w:tblPr>
      <w:tblBorders>
        <w:top w:val="single" w:sz="4" w:space="0" w:color="000000"/>
        <w:bottom w:val="single" w:sz="4" w:space="0" w:color="000000"/>
      </w:tblBorders>
      <w:tblCellMar>
        <w:left w:w="85" w:type="dxa"/>
        <w:right w:w="85" w:type="dxa"/>
      </w:tblCellMar>
    </w:tblPr>
    <w:tcPr>
      <w:shd w:val="clear" w:color="auto" w:fill="auto"/>
      <w:vAlign w:val="bottom"/>
    </w:tcPr>
    <w:tblStylePr w:type="firstRow">
      <w:rPr>
        <w:rFonts w:ascii="Arial" w:hAnsi="Arial"/>
        <w:b/>
        <w:i w:val="0"/>
        <w:caps w:val="0"/>
        <w:smallCaps w:val="0"/>
        <w:strike w:val="0"/>
        <w:dstrike w:val="0"/>
        <w:vanish w:val="0"/>
        <w:color w:val="000000"/>
        <w:sz w:val="16"/>
        <w14:shadow w14:blurRad="0" w14:dist="0" w14:dir="0" w14:sx="0" w14:sy="0" w14:kx="0" w14:ky="0" w14:algn="none">
          <w14:srgbClr w14:val="000000"/>
        </w14:shadow>
        <w14:textOutline w14:w="0" w14:cap="rnd" w14:cmpd="sng" w14:algn="ctr">
          <w14:noFill/>
          <w14:prstDash w14:val="solid"/>
          <w14:bevel/>
        </w14:textOutline>
      </w:rPr>
      <w:tblPr/>
      <w:tcPr>
        <w:tcBorders>
          <w:top w:val="single" w:sz="4" w:space="0" w:color="000000"/>
          <w:left w:val="nil"/>
          <w:bottom w:val="single" w:sz="4" w:space="0" w:color="000000"/>
          <w:right w:val="nil"/>
          <w:insideH w:val="nil"/>
          <w:insideV w:val="nil"/>
          <w:tl2br w:val="nil"/>
          <w:tr2bl w:val="nil"/>
        </w:tcBorders>
      </w:tcPr>
    </w:tblStylePr>
    <w:tblStylePr w:type="firstCol">
      <w:pPr>
        <w:wordWrap/>
        <w:jc w:val="left"/>
      </w:pPr>
    </w:tblStylePr>
  </w:style>
  <w:style w:type="table" w:styleId="LightShading">
    <w:name w:val="Light Shading"/>
    <w:basedOn w:val="TableNormal"/>
    <w:uiPriority w:val="60"/>
    <w:rsid w:val="009E7D68"/>
    <w:rPr>
      <w:rFonts w:ascii="Book Antiqua" w:hAnsi="Book Antiqua"/>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BoxText">
    <w:name w:val="Box: Text"/>
    <w:basedOn w:val="AIHWbodytext"/>
    <w:next w:val="AIHWbodytext"/>
    <w:link w:val="BoxTextChar"/>
    <w:uiPriority w:val="3"/>
    <w:qFormat/>
    <w:rsid w:val="009E7D68"/>
  </w:style>
  <w:style w:type="paragraph" w:customStyle="1" w:styleId="BoxBullet1">
    <w:name w:val="Box: Bullet 1"/>
    <w:basedOn w:val="BoxText"/>
    <w:uiPriority w:val="3"/>
    <w:qFormat/>
    <w:rsid w:val="009E7D68"/>
    <w:pPr>
      <w:numPr>
        <w:numId w:val="17"/>
      </w:numPr>
      <w:pBdr>
        <w:top w:val="single" w:sz="4" w:space="10" w:color="000000"/>
        <w:left w:val="single" w:sz="4" w:space="10" w:color="000000"/>
        <w:bottom w:val="single" w:sz="4" w:space="10" w:color="000000"/>
        <w:right w:val="single" w:sz="4" w:space="10" w:color="000000"/>
      </w:pBdr>
      <w:tabs>
        <w:tab w:val="clear" w:pos="964"/>
        <w:tab w:val="num" w:pos="714"/>
      </w:tabs>
      <w:spacing w:after="20" w:line="240" w:lineRule="atLeast"/>
      <w:ind w:left="709" w:right="255" w:hanging="454"/>
    </w:pPr>
    <w:rPr>
      <w:sz w:val="21"/>
    </w:rPr>
  </w:style>
  <w:style w:type="paragraph" w:customStyle="1" w:styleId="BoxHeading1">
    <w:name w:val="Box: Heading 1"/>
    <w:basedOn w:val="BoxText"/>
    <w:next w:val="BoxText"/>
    <w:uiPriority w:val="3"/>
    <w:qFormat/>
    <w:rsid w:val="009E7D68"/>
    <w:pPr>
      <w:keepNext/>
      <w:keepLines/>
      <w:pBdr>
        <w:top w:val="single" w:sz="4" w:space="10" w:color="000000"/>
        <w:left w:val="single" w:sz="4" w:space="10" w:color="000000"/>
        <w:bottom w:val="single" w:sz="4" w:space="10" w:color="000000"/>
        <w:right w:val="single" w:sz="4" w:space="10" w:color="000000"/>
      </w:pBdr>
      <w:spacing w:before="120" w:after="60" w:line="240" w:lineRule="atLeast"/>
      <w:ind w:left="255" w:right="255"/>
    </w:pPr>
    <w:rPr>
      <w:rFonts w:ascii="Arial" w:hAnsi="Arial"/>
      <w:b/>
    </w:rPr>
  </w:style>
  <w:style w:type="paragraph" w:customStyle="1" w:styleId="FigureSourcefootnotes">
    <w:name w:val="Figure: Source &amp; footnotes"/>
    <w:basedOn w:val="TableSourcefootnotes"/>
    <w:next w:val="FigureCaption"/>
    <w:uiPriority w:val="5"/>
    <w:rsid w:val="009E7D68"/>
  </w:style>
  <w:style w:type="paragraph" w:customStyle="1" w:styleId="IndentedQuotes">
    <w:name w:val="Indented: Quotes"/>
    <w:aliases w:val="etc."/>
    <w:basedOn w:val="AIHWbodytext"/>
    <w:next w:val="AIHWbodytext"/>
    <w:uiPriority w:val="4"/>
    <w:qFormat/>
    <w:rsid w:val="009E7D68"/>
  </w:style>
  <w:style w:type="paragraph" w:customStyle="1" w:styleId="TableFigSubtotal">
    <w:name w:val="Table/Fig: Subtotal"/>
    <w:basedOn w:val="TableFigText"/>
    <w:next w:val="TableFigText"/>
    <w:uiPriority w:val="6"/>
    <w:rsid w:val="009E7D68"/>
    <w:rPr>
      <w:i/>
    </w:rPr>
  </w:style>
  <w:style w:type="numbering" w:styleId="111111">
    <w:name w:val="Outline List 2"/>
    <w:basedOn w:val="NoList"/>
    <w:rsid w:val="009E7D68"/>
    <w:pPr>
      <w:numPr>
        <w:numId w:val="4"/>
      </w:numPr>
    </w:pPr>
  </w:style>
  <w:style w:type="numbering" w:styleId="1ai">
    <w:name w:val="Outline List 1"/>
    <w:basedOn w:val="NoList"/>
    <w:rsid w:val="009E7D68"/>
    <w:pPr>
      <w:numPr>
        <w:numId w:val="5"/>
      </w:numPr>
    </w:pPr>
  </w:style>
  <w:style w:type="numbering" w:styleId="ArticleSection">
    <w:name w:val="Outline List 3"/>
    <w:basedOn w:val="NoList"/>
    <w:rsid w:val="009E7D68"/>
    <w:pPr>
      <w:numPr>
        <w:numId w:val="6"/>
      </w:numPr>
    </w:pPr>
  </w:style>
  <w:style w:type="paragraph" w:styleId="BlockText">
    <w:name w:val="Block Text"/>
    <w:basedOn w:val="Normal"/>
    <w:rsid w:val="009E7D68"/>
    <w:pPr>
      <w:autoSpaceDE/>
      <w:autoSpaceDN/>
      <w:adjustRightInd/>
      <w:spacing w:before="60" w:after="120" w:line="260" w:lineRule="atLeast"/>
      <w:ind w:left="1440" w:right="1440"/>
      <w:jc w:val="left"/>
      <w:textAlignment w:val="auto"/>
    </w:pPr>
    <w:rPr>
      <w:rFonts w:ascii="Book Antiqua" w:eastAsia="Times New Roman" w:hAnsi="Book Antiqua" w:cs="Times New Roman"/>
      <w:color w:val="auto"/>
      <w:lang w:val="en-AU"/>
    </w:rPr>
  </w:style>
  <w:style w:type="paragraph" w:styleId="BodyText">
    <w:name w:val="Body Text"/>
    <w:basedOn w:val="Normal"/>
    <w:link w:val="BodyTextChar"/>
    <w:rsid w:val="009E7D68"/>
    <w:p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character" w:customStyle="1" w:styleId="BodyTextChar">
    <w:name w:val="Body Text Char"/>
    <w:basedOn w:val="DefaultParagraphFont"/>
    <w:link w:val="BodyText"/>
    <w:rsid w:val="009E7D68"/>
    <w:rPr>
      <w:rFonts w:ascii="Book Antiqua" w:hAnsi="Book Antiqua"/>
      <w:sz w:val="22"/>
      <w:szCs w:val="22"/>
    </w:rPr>
  </w:style>
  <w:style w:type="paragraph" w:styleId="BodyText2">
    <w:name w:val="Body Text 2"/>
    <w:basedOn w:val="Normal"/>
    <w:link w:val="BodyText2Char"/>
    <w:rsid w:val="009E7D68"/>
    <w:pPr>
      <w:autoSpaceDE/>
      <w:autoSpaceDN/>
      <w:adjustRightInd/>
      <w:spacing w:before="60" w:after="120" w:line="480" w:lineRule="auto"/>
      <w:jc w:val="left"/>
      <w:textAlignment w:val="auto"/>
    </w:pPr>
    <w:rPr>
      <w:rFonts w:ascii="Book Antiqua" w:eastAsia="Times New Roman" w:hAnsi="Book Antiqua" w:cs="Times New Roman"/>
      <w:color w:val="auto"/>
      <w:lang w:val="en-AU"/>
    </w:rPr>
  </w:style>
  <w:style w:type="character" w:customStyle="1" w:styleId="BodyText2Char">
    <w:name w:val="Body Text 2 Char"/>
    <w:basedOn w:val="DefaultParagraphFont"/>
    <w:link w:val="BodyText2"/>
    <w:rsid w:val="009E7D68"/>
    <w:rPr>
      <w:rFonts w:ascii="Book Antiqua" w:hAnsi="Book Antiqua"/>
      <w:sz w:val="22"/>
      <w:szCs w:val="22"/>
    </w:rPr>
  </w:style>
  <w:style w:type="paragraph" w:styleId="BodyText3">
    <w:name w:val="Body Text 3"/>
    <w:basedOn w:val="Normal"/>
    <w:link w:val="BodyText3Char"/>
    <w:rsid w:val="009E7D68"/>
    <w:pPr>
      <w:autoSpaceDE/>
      <w:autoSpaceDN/>
      <w:adjustRightInd/>
      <w:spacing w:before="60" w:after="120" w:line="260" w:lineRule="atLeast"/>
      <w:jc w:val="left"/>
      <w:textAlignment w:val="auto"/>
    </w:pPr>
    <w:rPr>
      <w:rFonts w:ascii="Book Antiqua" w:eastAsia="Times New Roman" w:hAnsi="Book Antiqua" w:cs="Times New Roman"/>
      <w:color w:val="auto"/>
      <w:sz w:val="16"/>
      <w:szCs w:val="16"/>
      <w:lang w:val="en-AU"/>
    </w:rPr>
  </w:style>
  <w:style w:type="character" w:customStyle="1" w:styleId="BodyText3Char">
    <w:name w:val="Body Text 3 Char"/>
    <w:basedOn w:val="DefaultParagraphFont"/>
    <w:link w:val="BodyText3"/>
    <w:rsid w:val="009E7D68"/>
    <w:rPr>
      <w:rFonts w:ascii="Book Antiqua" w:hAnsi="Book Antiqua"/>
      <w:sz w:val="16"/>
      <w:szCs w:val="16"/>
    </w:rPr>
  </w:style>
  <w:style w:type="paragraph" w:styleId="BodyTextFirstIndent">
    <w:name w:val="Body Text First Indent"/>
    <w:basedOn w:val="BodyText"/>
    <w:link w:val="BodyTextFirstIndentChar"/>
    <w:rsid w:val="009E7D68"/>
    <w:pPr>
      <w:ind w:firstLine="210"/>
    </w:pPr>
  </w:style>
  <w:style w:type="character" w:customStyle="1" w:styleId="BodyTextFirstIndentChar">
    <w:name w:val="Body Text First Indent Char"/>
    <w:basedOn w:val="BodyTextChar"/>
    <w:link w:val="BodyTextFirstIndent"/>
    <w:rsid w:val="009E7D68"/>
    <w:rPr>
      <w:rFonts w:ascii="Book Antiqua" w:hAnsi="Book Antiqua"/>
      <w:sz w:val="22"/>
      <w:szCs w:val="22"/>
    </w:rPr>
  </w:style>
  <w:style w:type="paragraph" w:styleId="BodyTextIndent">
    <w:name w:val="Body Text Indent"/>
    <w:basedOn w:val="Normal"/>
    <w:link w:val="BodyTextIndentChar"/>
    <w:rsid w:val="009E7D68"/>
    <w:pPr>
      <w:autoSpaceDE/>
      <w:autoSpaceDN/>
      <w:adjustRightInd/>
      <w:spacing w:before="60" w:after="120" w:line="260" w:lineRule="atLeast"/>
      <w:ind w:left="283"/>
      <w:jc w:val="left"/>
      <w:textAlignment w:val="auto"/>
    </w:pPr>
    <w:rPr>
      <w:rFonts w:ascii="Book Antiqua" w:eastAsia="Times New Roman" w:hAnsi="Book Antiqua" w:cs="Times New Roman"/>
      <w:color w:val="auto"/>
      <w:lang w:val="en-AU"/>
    </w:rPr>
  </w:style>
  <w:style w:type="character" w:customStyle="1" w:styleId="BodyTextIndentChar">
    <w:name w:val="Body Text Indent Char"/>
    <w:basedOn w:val="DefaultParagraphFont"/>
    <w:link w:val="BodyTextIndent"/>
    <w:rsid w:val="009E7D68"/>
    <w:rPr>
      <w:rFonts w:ascii="Book Antiqua" w:hAnsi="Book Antiqua"/>
      <w:sz w:val="22"/>
      <w:szCs w:val="22"/>
    </w:rPr>
  </w:style>
  <w:style w:type="paragraph" w:styleId="BodyTextFirstIndent2">
    <w:name w:val="Body Text First Indent 2"/>
    <w:basedOn w:val="BodyTextIndent"/>
    <w:link w:val="BodyTextFirstIndent2Char"/>
    <w:rsid w:val="009E7D68"/>
    <w:pPr>
      <w:ind w:firstLine="210"/>
    </w:pPr>
  </w:style>
  <w:style w:type="character" w:customStyle="1" w:styleId="BodyTextFirstIndent2Char">
    <w:name w:val="Body Text First Indent 2 Char"/>
    <w:basedOn w:val="BodyTextIndentChar"/>
    <w:link w:val="BodyTextFirstIndent2"/>
    <w:rsid w:val="009E7D68"/>
    <w:rPr>
      <w:rFonts w:ascii="Book Antiqua" w:hAnsi="Book Antiqua"/>
      <w:sz w:val="22"/>
      <w:szCs w:val="22"/>
    </w:rPr>
  </w:style>
  <w:style w:type="paragraph" w:styleId="BodyTextIndent2">
    <w:name w:val="Body Text Indent 2"/>
    <w:basedOn w:val="Normal"/>
    <w:link w:val="BodyTextIndent2Char"/>
    <w:rsid w:val="009E7D68"/>
    <w:pPr>
      <w:autoSpaceDE/>
      <w:autoSpaceDN/>
      <w:adjustRightInd/>
      <w:spacing w:before="60" w:after="120" w:line="480" w:lineRule="auto"/>
      <w:ind w:left="283"/>
      <w:jc w:val="left"/>
      <w:textAlignment w:val="auto"/>
    </w:pPr>
    <w:rPr>
      <w:rFonts w:ascii="Book Antiqua" w:eastAsia="Times New Roman" w:hAnsi="Book Antiqua" w:cs="Times New Roman"/>
      <w:color w:val="auto"/>
      <w:lang w:val="en-AU"/>
    </w:rPr>
  </w:style>
  <w:style w:type="character" w:customStyle="1" w:styleId="BodyTextIndent2Char">
    <w:name w:val="Body Text Indent 2 Char"/>
    <w:basedOn w:val="DefaultParagraphFont"/>
    <w:link w:val="BodyTextIndent2"/>
    <w:rsid w:val="009E7D68"/>
    <w:rPr>
      <w:rFonts w:ascii="Book Antiqua" w:hAnsi="Book Antiqua"/>
      <w:sz w:val="22"/>
      <w:szCs w:val="22"/>
    </w:rPr>
  </w:style>
  <w:style w:type="paragraph" w:styleId="BodyTextIndent3">
    <w:name w:val="Body Text Indent 3"/>
    <w:basedOn w:val="Normal"/>
    <w:link w:val="BodyTextIndent3Char"/>
    <w:rsid w:val="009E7D68"/>
    <w:pPr>
      <w:autoSpaceDE/>
      <w:autoSpaceDN/>
      <w:adjustRightInd/>
      <w:spacing w:before="60" w:after="120" w:line="260" w:lineRule="atLeast"/>
      <w:ind w:left="283"/>
      <w:jc w:val="left"/>
      <w:textAlignment w:val="auto"/>
    </w:pPr>
    <w:rPr>
      <w:rFonts w:ascii="Book Antiqua" w:eastAsia="Times New Roman" w:hAnsi="Book Antiqua" w:cs="Times New Roman"/>
      <w:color w:val="auto"/>
      <w:sz w:val="16"/>
      <w:szCs w:val="16"/>
      <w:lang w:val="en-AU"/>
    </w:rPr>
  </w:style>
  <w:style w:type="character" w:customStyle="1" w:styleId="BodyTextIndent3Char">
    <w:name w:val="Body Text Indent 3 Char"/>
    <w:basedOn w:val="DefaultParagraphFont"/>
    <w:link w:val="BodyTextIndent3"/>
    <w:rsid w:val="009E7D68"/>
    <w:rPr>
      <w:rFonts w:ascii="Book Antiqua" w:hAnsi="Book Antiqua"/>
      <w:sz w:val="16"/>
      <w:szCs w:val="16"/>
    </w:rPr>
  </w:style>
  <w:style w:type="paragraph" w:styleId="Closing">
    <w:name w:val="Closing"/>
    <w:basedOn w:val="Normal"/>
    <w:link w:val="ClosingChar"/>
    <w:rsid w:val="009E7D68"/>
    <w:pPr>
      <w:autoSpaceDE/>
      <w:autoSpaceDN/>
      <w:adjustRightInd/>
      <w:spacing w:before="60" w:after="120" w:line="260" w:lineRule="atLeast"/>
      <w:ind w:left="4252"/>
      <w:jc w:val="left"/>
      <w:textAlignment w:val="auto"/>
    </w:pPr>
    <w:rPr>
      <w:rFonts w:ascii="Book Antiqua" w:eastAsia="Times New Roman" w:hAnsi="Book Antiqua" w:cs="Times New Roman"/>
      <w:color w:val="auto"/>
      <w:lang w:val="en-AU"/>
    </w:rPr>
  </w:style>
  <w:style w:type="character" w:customStyle="1" w:styleId="ClosingChar">
    <w:name w:val="Closing Char"/>
    <w:basedOn w:val="DefaultParagraphFont"/>
    <w:link w:val="Closing"/>
    <w:rsid w:val="009E7D68"/>
    <w:rPr>
      <w:rFonts w:ascii="Book Antiqua" w:hAnsi="Book Antiqua"/>
      <w:sz w:val="22"/>
      <w:szCs w:val="22"/>
    </w:rPr>
  </w:style>
  <w:style w:type="paragraph" w:styleId="Date">
    <w:name w:val="Date"/>
    <w:basedOn w:val="Normal"/>
    <w:next w:val="Normal"/>
    <w:link w:val="DateChar"/>
    <w:rsid w:val="009E7D68"/>
    <w:p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character" w:customStyle="1" w:styleId="DateChar">
    <w:name w:val="Date Char"/>
    <w:basedOn w:val="DefaultParagraphFont"/>
    <w:link w:val="Date"/>
    <w:rsid w:val="009E7D68"/>
    <w:rPr>
      <w:rFonts w:ascii="Book Antiqua" w:hAnsi="Book Antiqua"/>
      <w:sz w:val="22"/>
      <w:szCs w:val="22"/>
    </w:rPr>
  </w:style>
  <w:style w:type="paragraph" w:styleId="E-mailSignature">
    <w:name w:val="E-mail Signature"/>
    <w:basedOn w:val="Normal"/>
    <w:link w:val="E-mailSignatureChar"/>
    <w:rsid w:val="009E7D68"/>
    <w:p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character" w:customStyle="1" w:styleId="E-mailSignatureChar">
    <w:name w:val="E-mail Signature Char"/>
    <w:basedOn w:val="DefaultParagraphFont"/>
    <w:link w:val="E-mailSignature"/>
    <w:rsid w:val="009E7D68"/>
    <w:rPr>
      <w:rFonts w:ascii="Book Antiqua" w:hAnsi="Book Antiqua"/>
      <w:sz w:val="22"/>
      <w:szCs w:val="22"/>
    </w:rPr>
  </w:style>
  <w:style w:type="paragraph" w:customStyle="1" w:styleId="Bullet3">
    <w:name w:val="Bullet 3"/>
    <w:basedOn w:val="Bullet2"/>
    <w:uiPriority w:val="2"/>
    <w:qFormat/>
    <w:rsid w:val="009E7D68"/>
    <w:pPr>
      <w:numPr>
        <w:ilvl w:val="1"/>
        <w:numId w:val="18"/>
      </w:numPr>
      <w:tabs>
        <w:tab w:val="clear" w:pos="1440"/>
      </w:tabs>
      <w:ind w:left="1276" w:hanging="425"/>
    </w:pPr>
  </w:style>
  <w:style w:type="paragraph" w:styleId="EnvelopeAddress">
    <w:name w:val="envelope address"/>
    <w:basedOn w:val="Normal"/>
    <w:rsid w:val="009E7D68"/>
    <w:pPr>
      <w:framePr w:w="7920" w:h="1980" w:hRule="exact" w:hSpace="180" w:wrap="auto" w:hAnchor="page" w:xAlign="center" w:yAlign="bottom"/>
      <w:autoSpaceDE/>
      <w:autoSpaceDN/>
      <w:adjustRightInd/>
      <w:spacing w:before="60" w:after="120" w:line="260" w:lineRule="atLeast"/>
      <w:ind w:left="2880"/>
      <w:jc w:val="left"/>
      <w:textAlignment w:val="auto"/>
    </w:pPr>
    <w:rPr>
      <w:rFonts w:ascii="Arial" w:eastAsia="Times New Roman" w:hAnsi="Arial" w:cs="Arial"/>
      <w:color w:val="auto"/>
      <w:sz w:val="24"/>
      <w:lang w:val="en-AU"/>
    </w:rPr>
  </w:style>
  <w:style w:type="paragraph" w:styleId="EnvelopeReturn">
    <w:name w:val="envelope return"/>
    <w:basedOn w:val="Normal"/>
    <w:rsid w:val="009E7D68"/>
    <w:pPr>
      <w:autoSpaceDE/>
      <w:autoSpaceDN/>
      <w:adjustRightInd/>
      <w:spacing w:before="60" w:after="120" w:line="260" w:lineRule="atLeast"/>
      <w:jc w:val="left"/>
      <w:textAlignment w:val="auto"/>
    </w:pPr>
    <w:rPr>
      <w:rFonts w:ascii="Arial" w:eastAsia="Times New Roman" w:hAnsi="Arial" w:cs="Arial"/>
      <w:color w:val="auto"/>
      <w:sz w:val="20"/>
      <w:szCs w:val="20"/>
      <w:lang w:val="en-AU"/>
    </w:rPr>
  </w:style>
  <w:style w:type="character" w:styleId="FollowedHyperlink">
    <w:name w:val="FollowedHyperlink"/>
    <w:uiPriority w:val="99"/>
    <w:unhideWhenUsed/>
    <w:rsid w:val="009E7D68"/>
    <w:rPr>
      <w:color w:val="5F497A" w:themeColor="accent4" w:themeShade="BF"/>
      <w:u w:val="single"/>
    </w:rPr>
  </w:style>
  <w:style w:type="character" w:styleId="HTMLAcronym">
    <w:name w:val="HTML Acronym"/>
    <w:basedOn w:val="DefaultParagraphFont"/>
    <w:rsid w:val="009E7D68"/>
  </w:style>
  <w:style w:type="paragraph" w:styleId="HTMLAddress">
    <w:name w:val="HTML Address"/>
    <w:basedOn w:val="Normal"/>
    <w:link w:val="HTMLAddressChar"/>
    <w:rsid w:val="009E7D68"/>
    <w:pPr>
      <w:autoSpaceDE/>
      <w:autoSpaceDN/>
      <w:adjustRightInd/>
      <w:spacing w:before="60" w:after="120" w:line="260" w:lineRule="atLeast"/>
      <w:jc w:val="left"/>
      <w:textAlignment w:val="auto"/>
    </w:pPr>
    <w:rPr>
      <w:rFonts w:ascii="Book Antiqua" w:eastAsia="Times New Roman" w:hAnsi="Book Antiqua" w:cs="Times New Roman"/>
      <w:i/>
      <w:iCs/>
      <w:color w:val="auto"/>
      <w:lang w:val="en-AU"/>
    </w:rPr>
  </w:style>
  <w:style w:type="character" w:customStyle="1" w:styleId="HTMLAddressChar">
    <w:name w:val="HTML Address Char"/>
    <w:basedOn w:val="DefaultParagraphFont"/>
    <w:link w:val="HTMLAddress"/>
    <w:rsid w:val="009E7D68"/>
    <w:rPr>
      <w:rFonts w:ascii="Book Antiqua" w:hAnsi="Book Antiqua"/>
      <w:i/>
      <w:iCs/>
      <w:sz w:val="22"/>
      <w:szCs w:val="22"/>
    </w:rPr>
  </w:style>
  <w:style w:type="character" w:styleId="HTMLCite">
    <w:name w:val="HTML Cite"/>
    <w:rsid w:val="009E7D68"/>
    <w:rPr>
      <w:i/>
      <w:iCs/>
    </w:rPr>
  </w:style>
  <w:style w:type="character" w:styleId="HTMLCode">
    <w:name w:val="HTML Code"/>
    <w:rsid w:val="009E7D68"/>
    <w:rPr>
      <w:rFonts w:ascii="Courier New" w:hAnsi="Courier New" w:cs="Courier New"/>
      <w:sz w:val="20"/>
      <w:szCs w:val="20"/>
    </w:rPr>
  </w:style>
  <w:style w:type="character" w:styleId="HTMLDefinition">
    <w:name w:val="HTML Definition"/>
    <w:rsid w:val="009E7D68"/>
    <w:rPr>
      <w:i/>
      <w:iCs/>
    </w:rPr>
  </w:style>
  <w:style w:type="character" w:styleId="HTMLKeyboard">
    <w:name w:val="HTML Keyboard"/>
    <w:rsid w:val="009E7D68"/>
    <w:rPr>
      <w:rFonts w:ascii="Courier New" w:hAnsi="Courier New" w:cs="Courier New"/>
      <w:sz w:val="20"/>
      <w:szCs w:val="20"/>
    </w:rPr>
  </w:style>
  <w:style w:type="paragraph" w:styleId="HTMLPreformatted">
    <w:name w:val="HTML Preformatted"/>
    <w:basedOn w:val="Normal"/>
    <w:link w:val="HTMLPreformattedChar"/>
    <w:rsid w:val="009E7D68"/>
    <w:pPr>
      <w:autoSpaceDE/>
      <w:autoSpaceDN/>
      <w:adjustRightInd/>
      <w:spacing w:before="60" w:after="120" w:line="260" w:lineRule="atLeast"/>
      <w:jc w:val="left"/>
      <w:textAlignment w:val="auto"/>
    </w:pPr>
    <w:rPr>
      <w:rFonts w:ascii="Courier New" w:eastAsia="Times New Roman" w:hAnsi="Courier New" w:cs="Courier New"/>
      <w:color w:val="auto"/>
      <w:sz w:val="20"/>
      <w:szCs w:val="20"/>
      <w:lang w:val="en-AU"/>
    </w:rPr>
  </w:style>
  <w:style w:type="character" w:customStyle="1" w:styleId="HTMLPreformattedChar">
    <w:name w:val="HTML Preformatted Char"/>
    <w:basedOn w:val="DefaultParagraphFont"/>
    <w:link w:val="HTMLPreformatted"/>
    <w:rsid w:val="009E7D68"/>
    <w:rPr>
      <w:rFonts w:ascii="Courier New" w:hAnsi="Courier New" w:cs="Courier New"/>
    </w:rPr>
  </w:style>
  <w:style w:type="character" w:styleId="HTMLSample">
    <w:name w:val="HTML Sample"/>
    <w:rsid w:val="009E7D68"/>
    <w:rPr>
      <w:rFonts w:ascii="Courier New" w:hAnsi="Courier New" w:cs="Courier New"/>
    </w:rPr>
  </w:style>
  <w:style w:type="character" w:styleId="HTMLTypewriter">
    <w:name w:val="HTML Typewriter"/>
    <w:rsid w:val="009E7D68"/>
    <w:rPr>
      <w:rFonts w:ascii="Courier New" w:hAnsi="Courier New" w:cs="Courier New"/>
      <w:sz w:val="20"/>
      <w:szCs w:val="20"/>
    </w:rPr>
  </w:style>
  <w:style w:type="character" w:styleId="HTMLVariable">
    <w:name w:val="HTML Variable"/>
    <w:rsid w:val="009E7D68"/>
    <w:rPr>
      <w:i/>
      <w:iCs/>
    </w:rPr>
  </w:style>
  <w:style w:type="character" w:styleId="LineNumber">
    <w:name w:val="line number"/>
    <w:basedOn w:val="DefaultParagraphFont"/>
    <w:rsid w:val="009E7D68"/>
  </w:style>
  <w:style w:type="paragraph" w:styleId="List">
    <w:name w:val="List"/>
    <w:basedOn w:val="Normal"/>
    <w:rsid w:val="009E7D68"/>
    <w:pPr>
      <w:autoSpaceDE/>
      <w:autoSpaceDN/>
      <w:adjustRightInd/>
      <w:spacing w:before="60" w:after="120" w:line="260" w:lineRule="atLeast"/>
      <w:ind w:left="283" w:hanging="283"/>
      <w:jc w:val="left"/>
      <w:textAlignment w:val="auto"/>
    </w:pPr>
    <w:rPr>
      <w:rFonts w:ascii="Book Antiqua" w:eastAsia="Times New Roman" w:hAnsi="Book Antiqua" w:cs="Times New Roman"/>
      <w:color w:val="auto"/>
      <w:lang w:val="en-AU"/>
    </w:rPr>
  </w:style>
  <w:style w:type="paragraph" w:styleId="List2">
    <w:name w:val="List 2"/>
    <w:basedOn w:val="Normal"/>
    <w:rsid w:val="009E7D68"/>
    <w:pPr>
      <w:autoSpaceDE/>
      <w:autoSpaceDN/>
      <w:adjustRightInd/>
      <w:spacing w:before="60" w:after="120" w:line="260" w:lineRule="atLeast"/>
      <w:ind w:left="566" w:hanging="283"/>
      <w:jc w:val="left"/>
      <w:textAlignment w:val="auto"/>
    </w:pPr>
    <w:rPr>
      <w:rFonts w:ascii="Book Antiqua" w:eastAsia="Times New Roman" w:hAnsi="Book Antiqua" w:cs="Times New Roman"/>
      <w:color w:val="auto"/>
      <w:lang w:val="en-AU"/>
    </w:rPr>
  </w:style>
  <w:style w:type="paragraph" w:styleId="List3">
    <w:name w:val="List 3"/>
    <w:basedOn w:val="Normal"/>
    <w:rsid w:val="009E7D68"/>
    <w:pPr>
      <w:autoSpaceDE/>
      <w:autoSpaceDN/>
      <w:adjustRightInd/>
      <w:spacing w:before="60" w:after="120" w:line="260" w:lineRule="atLeast"/>
      <w:ind w:left="849" w:hanging="283"/>
      <w:jc w:val="left"/>
      <w:textAlignment w:val="auto"/>
    </w:pPr>
    <w:rPr>
      <w:rFonts w:ascii="Book Antiqua" w:eastAsia="Times New Roman" w:hAnsi="Book Antiqua" w:cs="Times New Roman"/>
      <w:color w:val="auto"/>
      <w:lang w:val="en-AU"/>
    </w:rPr>
  </w:style>
  <w:style w:type="paragraph" w:styleId="List4">
    <w:name w:val="List 4"/>
    <w:basedOn w:val="Normal"/>
    <w:rsid w:val="009E7D68"/>
    <w:pPr>
      <w:autoSpaceDE/>
      <w:autoSpaceDN/>
      <w:adjustRightInd/>
      <w:spacing w:before="60" w:after="120" w:line="260" w:lineRule="atLeast"/>
      <w:ind w:left="1132" w:hanging="283"/>
      <w:jc w:val="left"/>
      <w:textAlignment w:val="auto"/>
    </w:pPr>
    <w:rPr>
      <w:rFonts w:ascii="Book Antiqua" w:eastAsia="Times New Roman" w:hAnsi="Book Antiqua" w:cs="Times New Roman"/>
      <w:color w:val="auto"/>
      <w:lang w:val="en-AU"/>
    </w:rPr>
  </w:style>
  <w:style w:type="paragraph" w:styleId="List5">
    <w:name w:val="List 5"/>
    <w:basedOn w:val="Normal"/>
    <w:rsid w:val="009E7D68"/>
    <w:pPr>
      <w:autoSpaceDE/>
      <w:autoSpaceDN/>
      <w:adjustRightInd/>
      <w:spacing w:before="60" w:after="120" w:line="260" w:lineRule="atLeast"/>
      <w:ind w:left="1415" w:hanging="283"/>
      <w:jc w:val="left"/>
      <w:textAlignment w:val="auto"/>
    </w:pPr>
    <w:rPr>
      <w:rFonts w:ascii="Book Antiqua" w:eastAsia="Times New Roman" w:hAnsi="Book Antiqua" w:cs="Times New Roman"/>
      <w:color w:val="auto"/>
      <w:lang w:val="en-AU"/>
    </w:rPr>
  </w:style>
  <w:style w:type="paragraph" w:styleId="ListBullet">
    <w:name w:val="List Bullet"/>
    <w:basedOn w:val="Normal"/>
    <w:rsid w:val="009E7D68"/>
    <w:pPr>
      <w:numPr>
        <w:numId w:val="7"/>
      </w:num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paragraph" w:styleId="ListBullet2">
    <w:name w:val="List Bullet 2"/>
    <w:basedOn w:val="Normal"/>
    <w:rsid w:val="009E7D68"/>
    <w:pPr>
      <w:numPr>
        <w:numId w:val="8"/>
      </w:num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paragraph" w:styleId="ListBullet3">
    <w:name w:val="List Bullet 3"/>
    <w:basedOn w:val="Normal"/>
    <w:rsid w:val="009E7D68"/>
    <w:pPr>
      <w:numPr>
        <w:numId w:val="9"/>
      </w:num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paragraph" w:styleId="ListBullet4">
    <w:name w:val="List Bullet 4"/>
    <w:basedOn w:val="Normal"/>
    <w:rsid w:val="009E7D68"/>
    <w:pPr>
      <w:numPr>
        <w:numId w:val="10"/>
      </w:numPr>
      <w:tabs>
        <w:tab w:val="clear" w:pos="1209"/>
        <w:tab w:val="num" w:pos="360"/>
      </w:tabs>
      <w:autoSpaceDE/>
      <w:autoSpaceDN/>
      <w:adjustRightInd/>
      <w:spacing w:before="60" w:after="120" w:line="260" w:lineRule="atLeast"/>
      <w:ind w:left="0" w:firstLine="0"/>
      <w:jc w:val="left"/>
      <w:textAlignment w:val="auto"/>
    </w:pPr>
    <w:rPr>
      <w:rFonts w:ascii="Book Antiqua" w:eastAsia="Times New Roman" w:hAnsi="Book Antiqua" w:cs="Times New Roman"/>
      <w:color w:val="auto"/>
      <w:lang w:val="en-AU"/>
    </w:rPr>
  </w:style>
  <w:style w:type="paragraph" w:styleId="ListBullet5">
    <w:name w:val="List Bullet 5"/>
    <w:basedOn w:val="Normal"/>
    <w:rsid w:val="009E7D68"/>
    <w:pPr>
      <w:numPr>
        <w:numId w:val="11"/>
      </w:num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paragraph" w:styleId="ListContinue">
    <w:name w:val="List Continue"/>
    <w:basedOn w:val="Normal"/>
    <w:rsid w:val="009E7D68"/>
    <w:pPr>
      <w:autoSpaceDE/>
      <w:autoSpaceDN/>
      <w:adjustRightInd/>
      <w:spacing w:before="60" w:after="120" w:line="260" w:lineRule="atLeast"/>
      <w:ind w:left="283"/>
      <w:jc w:val="left"/>
      <w:textAlignment w:val="auto"/>
    </w:pPr>
    <w:rPr>
      <w:rFonts w:ascii="Book Antiqua" w:eastAsia="Times New Roman" w:hAnsi="Book Antiqua" w:cs="Times New Roman"/>
      <w:color w:val="auto"/>
      <w:lang w:val="en-AU"/>
    </w:rPr>
  </w:style>
  <w:style w:type="paragraph" w:styleId="ListContinue2">
    <w:name w:val="List Continue 2"/>
    <w:basedOn w:val="Normal"/>
    <w:rsid w:val="009E7D68"/>
    <w:pPr>
      <w:autoSpaceDE/>
      <w:autoSpaceDN/>
      <w:adjustRightInd/>
      <w:spacing w:before="60" w:after="120" w:line="260" w:lineRule="atLeast"/>
      <w:ind w:left="566"/>
      <w:jc w:val="left"/>
      <w:textAlignment w:val="auto"/>
    </w:pPr>
    <w:rPr>
      <w:rFonts w:ascii="Book Antiqua" w:eastAsia="Times New Roman" w:hAnsi="Book Antiqua" w:cs="Times New Roman"/>
      <w:color w:val="auto"/>
      <w:lang w:val="en-AU"/>
    </w:rPr>
  </w:style>
  <w:style w:type="paragraph" w:styleId="ListContinue3">
    <w:name w:val="List Continue 3"/>
    <w:basedOn w:val="Normal"/>
    <w:rsid w:val="009E7D68"/>
    <w:pPr>
      <w:autoSpaceDE/>
      <w:autoSpaceDN/>
      <w:adjustRightInd/>
      <w:spacing w:before="60" w:after="120" w:line="260" w:lineRule="atLeast"/>
      <w:ind w:left="849"/>
      <w:jc w:val="left"/>
      <w:textAlignment w:val="auto"/>
    </w:pPr>
    <w:rPr>
      <w:rFonts w:ascii="Book Antiqua" w:eastAsia="Times New Roman" w:hAnsi="Book Antiqua" w:cs="Times New Roman"/>
      <w:color w:val="auto"/>
      <w:lang w:val="en-AU"/>
    </w:rPr>
  </w:style>
  <w:style w:type="paragraph" w:styleId="ListContinue4">
    <w:name w:val="List Continue 4"/>
    <w:basedOn w:val="Normal"/>
    <w:rsid w:val="009E7D68"/>
    <w:pPr>
      <w:autoSpaceDE/>
      <w:autoSpaceDN/>
      <w:adjustRightInd/>
      <w:spacing w:before="60" w:after="120" w:line="260" w:lineRule="atLeast"/>
      <w:ind w:left="1132"/>
      <w:jc w:val="left"/>
      <w:textAlignment w:val="auto"/>
    </w:pPr>
    <w:rPr>
      <w:rFonts w:ascii="Book Antiqua" w:eastAsia="Times New Roman" w:hAnsi="Book Antiqua" w:cs="Times New Roman"/>
      <w:color w:val="auto"/>
      <w:lang w:val="en-AU"/>
    </w:rPr>
  </w:style>
  <w:style w:type="paragraph" w:styleId="ListContinue5">
    <w:name w:val="List Continue 5"/>
    <w:basedOn w:val="Normal"/>
    <w:rsid w:val="009E7D68"/>
    <w:pPr>
      <w:autoSpaceDE/>
      <w:autoSpaceDN/>
      <w:adjustRightInd/>
      <w:spacing w:before="60" w:after="120" w:line="260" w:lineRule="atLeast"/>
      <w:ind w:left="1415"/>
      <w:jc w:val="left"/>
      <w:textAlignment w:val="auto"/>
    </w:pPr>
    <w:rPr>
      <w:rFonts w:ascii="Book Antiqua" w:eastAsia="Times New Roman" w:hAnsi="Book Antiqua" w:cs="Times New Roman"/>
      <w:color w:val="auto"/>
      <w:lang w:val="en-AU"/>
    </w:rPr>
  </w:style>
  <w:style w:type="paragraph" w:styleId="ListNumber">
    <w:name w:val="List Number"/>
    <w:basedOn w:val="Normal"/>
    <w:rsid w:val="009E7D68"/>
    <w:pPr>
      <w:numPr>
        <w:numId w:val="12"/>
      </w:num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paragraph" w:styleId="ListNumber2">
    <w:name w:val="List Number 2"/>
    <w:basedOn w:val="Normal"/>
    <w:rsid w:val="009E7D68"/>
    <w:pPr>
      <w:numPr>
        <w:numId w:val="13"/>
      </w:num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paragraph" w:styleId="ListNumber3">
    <w:name w:val="List Number 3"/>
    <w:basedOn w:val="Normal"/>
    <w:rsid w:val="009E7D68"/>
    <w:pPr>
      <w:numPr>
        <w:numId w:val="14"/>
      </w:num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paragraph" w:styleId="ListNumber4">
    <w:name w:val="List Number 4"/>
    <w:basedOn w:val="Normal"/>
    <w:rsid w:val="009E7D68"/>
    <w:pPr>
      <w:numPr>
        <w:numId w:val="15"/>
      </w:num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paragraph" w:styleId="ListNumber5">
    <w:name w:val="List Number 5"/>
    <w:basedOn w:val="Normal"/>
    <w:rsid w:val="009E7D68"/>
    <w:pPr>
      <w:numPr>
        <w:numId w:val="16"/>
      </w:num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paragraph" w:styleId="MessageHeader">
    <w:name w:val="Message Header"/>
    <w:basedOn w:val="Normal"/>
    <w:link w:val="MessageHeaderChar"/>
    <w:rsid w:val="009E7D68"/>
    <w:pPr>
      <w:pBdr>
        <w:top w:val="single" w:sz="6" w:space="1" w:color="auto"/>
        <w:left w:val="single" w:sz="6" w:space="1" w:color="auto"/>
        <w:bottom w:val="single" w:sz="6" w:space="1" w:color="auto"/>
        <w:right w:val="single" w:sz="6" w:space="1" w:color="auto"/>
      </w:pBdr>
      <w:shd w:val="pct20" w:color="auto" w:fill="auto"/>
      <w:autoSpaceDE/>
      <w:autoSpaceDN/>
      <w:adjustRightInd/>
      <w:spacing w:before="60" w:after="120" w:line="260" w:lineRule="atLeast"/>
      <w:ind w:left="1134" w:hanging="1134"/>
      <w:jc w:val="left"/>
      <w:textAlignment w:val="auto"/>
    </w:pPr>
    <w:rPr>
      <w:rFonts w:ascii="Arial" w:eastAsia="Times New Roman" w:hAnsi="Arial" w:cs="Arial"/>
      <w:color w:val="auto"/>
      <w:sz w:val="24"/>
      <w:lang w:val="en-AU"/>
    </w:rPr>
  </w:style>
  <w:style w:type="character" w:customStyle="1" w:styleId="MessageHeaderChar">
    <w:name w:val="Message Header Char"/>
    <w:basedOn w:val="DefaultParagraphFont"/>
    <w:link w:val="MessageHeader"/>
    <w:rsid w:val="009E7D68"/>
    <w:rPr>
      <w:rFonts w:ascii="Arial" w:hAnsi="Arial" w:cs="Arial"/>
      <w:sz w:val="24"/>
      <w:szCs w:val="22"/>
      <w:shd w:val="pct20" w:color="auto" w:fill="auto"/>
    </w:rPr>
  </w:style>
  <w:style w:type="paragraph" w:styleId="NormalIndent">
    <w:name w:val="Normal Indent"/>
    <w:basedOn w:val="Normal"/>
    <w:rsid w:val="009E7D68"/>
    <w:pPr>
      <w:autoSpaceDE/>
      <w:autoSpaceDN/>
      <w:adjustRightInd/>
      <w:spacing w:before="60" w:after="120" w:line="260" w:lineRule="atLeast"/>
      <w:ind w:left="720"/>
      <w:jc w:val="left"/>
      <w:textAlignment w:val="auto"/>
    </w:pPr>
    <w:rPr>
      <w:rFonts w:ascii="Book Antiqua" w:eastAsia="Times New Roman" w:hAnsi="Book Antiqua" w:cs="Times New Roman"/>
      <w:color w:val="auto"/>
      <w:lang w:val="en-AU"/>
    </w:rPr>
  </w:style>
  <w:style w:type="paragraph" w:styleId="NoteHeading">
    <w:name w:val="Note Heading"/>
    <w:basedOn w:val="Normal"/>
    <w:next w:val="Normal"/>
    <w:link w:val="NoteHeadingChar"/>
    <w:rsid w:val="009E7D68"/>
    <w:p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character" w:customStyle="1" w:styleId="NoteHeadingChar">
    <w:name w:val="Note Heading Char"/>
    <w:basedOn w:val="DefaultParagraphFont"/>
    <w:link w:val="NoteHeading"/>
    <w:rsid w:val="009E7D68"/>
    <w:rPr>
      <w:rFonts w:ascii="Book Antiqua" w:hAnsi="Book Antiqua"/>
      <w:sz w:val="22"/>
      <w:szCs w:val="22"/>
    </w:rPr>
  </w:style>
  <w:style w:type="paragraph" w:styleId="PlainText">
    <w:name w:val="Plain Text"/>
    <w:basedOn w:val="Normal"/>
    <w:link w:val="PlainTextChar"/>
    <w:rsid w:val="009E7D68"/>
    <w:pPr>
      <w:autoSpaceDE/>
      <w:autoSpaceDN/>
      <w:adjustRightInd/>
      <w:spacing w:before="60" w:after="120" w:line="260" w:lineRule="atLeast"/>
      <w:jc w:val="left"/>
      <w:textAlignment w:val="auto"/>
    </w:pPr>
    <w:rPr>
      <w:rFonts w:ascii="Courier New" w:eastAsia="Times New Roman" w:hAnsi="Courier New" w:cs="Courier New"/>
      <w:color w:val="auto"/>
      <w:sz w:val="20"/>
      <w:szCs w:val="20"/>
      <w:lang w:val="en-AU"/>
    </w:rPr>
  </w:style>
  <w:style w:type="character" w:customStyle="1" w:styleId="PlainTextChar">
    <w:name w:val="Plain Text Char"/>
    <w:basedOn w:val="DefaultParagraphFont"/>
    <w:link w:val="PlainText"/>
    <w:rsid w:val="009E7D68"/>
    <w:rPr>
      <w:rFonts w:ascii="Courier New" w:hAnsi="Courier New" w:cs="Courier New"/>
    </w:rPr>
  </w:style>
  <w:style w:type="paragraph" w:styleId="Salutation">
    <w:name w:val="Salutation"/>
    <w:basedOn w:val="Normal"/>
    <w:next w:val="Normal"/>
    <w:link w:val="SalutationChar"/>
    <w:rsid w:val="009E7D68"/>
    <w:p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character" w:customStyle="1" w:styleId="SalutationChar">
    <w:name w:val="Salutation Char"/>
    <w:basedOn w:val="DefaultParagraphFont"/>
    <w:link w:val="Salutation"/>
    <w:rsid w:val="009E7D68"/>
    <w:rPr>
      <w:rFonts w:ascii="Book Antiqua" w:hAnsi="Book Antiqua"/>
      <w:sz w:val="22"/>
      <w:szCs w:val="22"/>
    </w:rPr>
  </w:style>
  <w:style w:type="paragraph" w:styleId="Signature">
    <w:name w:val="Signature"/>
    <w:basedOn w:val="Normal"/>
    <w:link w:val="SignatureChar"/>
    <w:rsid w:val="009E7D68"/>
    <w:pPr>
      <w:autoSpaceDE/>
      <w:autoSpaceDN/>
      <w:adjustRightInd/>
      <w:spacing w:before="60" w:after="120" w:line="260" w:lineRule="atLeast"/>
      <w:ind w:left="4252"/>
      <w:jc w:val="left"/>
      <w:textAlignment w:val="auto"/>
    </w:pPr>
    <w:rPr>
      <w:rFonts w:ascii="Book Antiqua" w:eastAsia="Times New Roman" w:hAnsi="Book Antiqua" w:cs="Times New Roman"/>
      <w:color w:val="auto"/>
      <w:lang w:val="en-AU"/>
    </w:rPr>
  </w:style>
  <w:style w:type="character" w:customStyle="1" w:styleId="SignatureChar">
    <w:name w:val="Signature Char"/>
    <w:basedOn w:val="DefaultParagraphFont"/>
    <w:link w:val="Signature"/>
    <w:rsid w:val="009E7D68"/>
    <w:rPr>
      <w:rFonts w:ascii="Book Antiqua" w:hAnsi="Book Antiqua"/>
      <w:sz w:val="22"/>
      <w:szCs w:val="22"/>
    </w:rPr>
  </w:style>
  <w:style w:type="table" w:styleId="Table3Deffects1">
    <w:name w:val="Table 3D effects 1"/>
    <w:basedOn w:val="TableNormal"/>
    <w:rsid w:val="009E7D68"/>
    <w:pPr>
      <w:spacing w:after="40"/>
    </w:pPr>
    <w:rPr>
      <w:rFonts w:ascii="Book Antiqua" w:hAnsi="Book Antiqua"/>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9E7D68"/>
    <w:pPr>
      <w:spacing w:after="40"/>
    </w:pPr>
    <w:rPr>
      <w:rFonts w:ascii="Book Antiqua" w:hAnsi="Book Antiqua"/>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9E7D68"/>
    <w:pPr>
      <w:spacing w:after="40"/>
    </w:pPr>
    <w:rPr>
      <w:rFonts w:ascii="Book Antiqua" w:hAnsi="Book Antiqua"/>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9E7D68"/>
    <w:pPr>
      <w:spacing w:after="40"/>
    </w:pPr>
    <w:rPr>
      <w:rFonts w:ascii="Book Antiqua" w:hAnsi="Book Antiqua"/>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9E7D68"/>
    <w:pPr>
      <w:spacing w:after="40"/>
    </w:pPr>
    <w:rPr>
      <w:rFonts w:ascii="Book Antiqua" w:hAnsi="Book Antiqua"/>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9E7D68"/>
    <w:pPr>
      <w:spacing w:after="40"/>
    </w:pPr>
    <w:rPr>
      <w:rFonts w:ascii="Book Antiqua" w:hAnsi="Book Antiqua"/>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9E7D68"/>
    <w:pPr>
      <w:spacing w:after="40"/>
    </w:pPr>
    <w:rPr>
      <w:rFonts w:ascii="Book Antiqua" w:hAnsi="Book Antiqua"/>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9E7D68"/>
    <w:pPr>
      <w:spacing w:after="40"/>
    </w:pPr>
    <w:rPr>
      <w:rFonts w:ascii="Book Antiqua" w:hAnsi="Book Antiqua"/>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9E7D68"/>
    <w:pPr>
      <w:spacing w:after="40"/>
    </w:pPr>
    <w:rPr>
      <w:rFonts w:ascii="Book Antiqua" w:hAnsi="Book Antiqua"/>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9E7D68"/>
    <w:pPr>
      <w:spacing w:after="40"/>
    </w:pPr>
    <w:rPr>
      <w:rFonts w:ascii="Book Antiqua" w:hAnsi="Book Antiqua"/>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9E7D68"/>
    <w:pPr>
      <w:spacing w:after="40"/>
    </w:pPr>
    <w:rPr>
      <w:rFonts w:ascii="Book Antiqua" w:hAnsi="Book Antiqua"/>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9E7D68"/>
    <w:pPr>
      <w:spacing w:after="40"/>
    </w:pPr>
    <w:rPr>
      <w:rFonts w:ascii="Book Antiqua" w:hAnsi="Book Antiqua"/>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9E7D68"/>
    <w:pPr>
      <w:spacing w:after="40"/>
    </w:pPr>
    <w:rPr>
      <w:rFonts w:ascii="Book Antiqua" w:hAnsi="Book Antiqua"/>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9E7D68"/>
    <w:pPr>
      <w:spacing w:after="40"/>
    </w:pPr>
    <w:rPr>
      <w:rFonts w:ascii="Book Antiqua" w:hAnsi="Book Antiqua"/>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9E7D68"/>
    <w:pPr>
      <w:spacing w:after="40"/>
    </w:pPr>
    <w:rPr>
      <w:rFonts w:ascii="Book Antiqua" w:hAnsi="Book Antiqua"/>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9E7D68"/>
    <w:pPr>
      <w:spacing w:after="40"/>
    </w:pPr>
    <w:rPr>
      <w:rFonts w:ascii="Book Antiqua" w:hAnsi="Book Antiqua"/>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9E7D68"/>
    <w:pPr>
      <w:spacing w:after="40"/>
    </w:pPr>
    <w:rPr>
      <w:rFonts w:ascii="Book Antiqua" w:hAnsi="Book Antiqua"/>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9E7D68"/>
    <w:pPr>
      <w:spacing w:after="40"/>
    </w:pPr>
    <w:rPr>
      <w:rFonts w:ascii="Book Antiqua" w:hAnsi="Book Antiqu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9E7D68"/>
    <w:pPr>
      <w:spacing w:after="40"/>
    </w:pPr>
    <w:rPr>
      <w:rFonts w:ascii="Book Antiqua" w:hAnsi="Book Antiqua"/>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9E7D68"/>
    <w:pPr>
      <w:spacing w:after="40"/>
    </w:pPr>
    <w:rPr>
      <w:rFonts w:ascii="Book Antiqua" w:hAnsi="Book Antiqua"/>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9E7D68"/>
    <w:pPr>
      <w:spacing w:after="40"/>
    </w:pPr>
    <w:rPr>
      <w:rFonts w:ascii="Book Antiqua" w:hAnsi="Book Antiqua"/>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9E7D68"/>
    <w:pPr>
      <w:spacing w:after="40"/>
    </w:pPr>
    <w:rPr>
      <w:rFonts w:ascii="Book Antiqua" w:hAnsi="Book Antiqu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9E7D68"/>
    <w:pPr>
      <w:spacing w:after="40"/>
    </w:pPr>
    <w:rPr>
      <w:rFonts w:ascii="Book Antiqua" w:hAnsi="Book Antiqua"/>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9E7D68"/>
    <w:pPr>
      <w:spacing w:after="40"/>
    </w:pPr>
    <w:rPr>
      <w:rFonts w:ascii="Book Antiqua" w:hAnsi="Book Antiqua"/>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9E7D68"/>
    <w:pPr>
      <w:spacing w:after="40"/>
    </w:pPr>
    <w:rPr>
      <w:rFonts w:ascii="Book Antiqua" w:hAnsi="Book Antiqua"/>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9E7D68"/>
    <w:pPr>
      <w:spacing w:after="40"/>
    </w:pPr>
    <w:rPr>
      <w:rFonts w:ascii="Book Antiqua" w:hAnsi="Book Antiqua"/>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9E7D68"/>
    <w:pPr>
      <w:spacing w:after="40"/>
    </w:pPr>
    <w:rPr>
      <w:rFonts w:ascii="Book Antiqua" w:hAnsi="Book Antiqua"/>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9E7D68"/>
    <w:pPr>
      <w:spacing w:after="40"/>
    </w:pPr>
    <w:rPr>
      <w:rFonts w:ascii="Book Antiqua" w:hAnsi="Book Antiqua"/>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9E7D68"/>
    <w:pPr>
      <w:spacing w:after="40"/>
    </w:pPr>
    <w:rPr>
      <w:rFonts w:ascii="Book Antiqua" w:hAnsi="Book Antiqua"/>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9E7D68"/>
    <w:pPr>
      <w:spacing w:after="40"/>
    </w:pPr>
    <w:rPr>
      <w:rFonts w:ascii="Book Antiqua" w:hAnsi="Book Antiqua"/>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9E7D68"/>
    <w:pPr>
      <w:spacing w:after="40"/>
    </w:pPr>
    <w:rPr>
      <w:rFonts w:ascii="Book Antiqua" w:hAnsi="Book Antiqua"/>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9E7D68"/>
    <w:pPr>
      <w:spacing w:after="40"/>
    </w:pPr>
    <w:rPr>
      <w:rFonts w:ascii="Book Antiqua" w:hAnsi="Book Antiqua"/>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9E7D68"/>
    <w:pPr>
      <w:spacing w:after="40"/>
    </w:pPr>
    <w:rPr>
      <w:rFonts w:ascii="Book Antiqua" w:hAnsi="Book Antiqua"/>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Figures">
    <w:name w:val="table of figures"/>
    <w:basedOn w:val="TOC1"/>
    <w:next w:val="AIHWbodytext"/>
    <w:uiPriority w:val="21"/>
    <w:unhideWhenUsed/>
    <w:rsid w:val="009E7D68"/>
    <w:pPr>
      <w:keepNext/>
      <w:keepLines/>
      <w:tabs>
        <w:tab w:val="right" w:leader="dot" w:pos="9072"/>
      </w:tabs>
      <w:spacing w:before="60" w:after="120" w:line="240" w:lineRule="atLeast"/>
      <w:ind w:left="992" w:hanging="992"/>
    </w:pPr>
    <w:rPr>
      <w:rFonts w:ascii="Book Antiqua" w:eastAsia="Times New Roman" w:hAnsi="Book Antiqua" w:cs="Times New Roman"/>
      <w:b w:val="0"/>
      <w:color w:val="auto"/>
      <w:sz w:val="20"/>
      <w:szCs w:val="20"/>
      <w:lang w:val="en-AU" w:eastAsia="en-US"/>
    </w:rPr>
  </w:style>
  <w:style w:type="table" w:styleId="TableProfessional">
    <w:name w:val="Table Professional"/>
    <w:basedOn w:val="TableNormal"/>
    <w:rsid w:val="009E7D68"/>
    <w:pPr>
      <w:spacing w:after="40"/>
    </w:pPr>
    <w:rPr>
      <w:rFonts w:ascii="Book Antiqua" w:hAnsi="Book Antiqu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9E7D68"/>
    <w:pPr>
      <w:spacing w:after="40"/>
    </w:pPr>
    <w:rPr>
      <w:rFonts w:ascii="Book Antiqua" w:hAnsi="Book Antiqua"/>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9E7D68"/>
    <w:pPr>
      <w:spacing w:after="40"/>
    </w:pPr>
    <w:rPr>
      <w:rFonts w:ascii="Book Antiqua" w:hAnsi="Book Antiqua"/>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9E7D68"/>
    <w:pPr>
      <w:spacing w:after="40"/>
    </w:pPr>
    <w:rPr>
      <w:rFonts w:ascii="Book Antiqua" w:hAnsi="Book Antiqua"/>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9E7D68"/>
    <w:pPr>
      <w:spacing w:after="40"/>
    </w:pPr>
    <w:rPr>
      <w:rFonts w:ascii="Book Antiqua" w:hAnsi="Book Antiqua"/>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9E7D68"/>
    <w:pPr>
      <w:spacing w:after="40"/>
    </w:pPr>
    <w:rPr>
      <w:rFonts w:ascii="Book Antiqua" w:hAnsi="Book Antiqua"/>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9E7D68"/>
    <w:pPr>
      <w:spacing w:after="40"/>
    </w:pPr>
    <w:rPr>
      <w:rFonts w:ascii="Book Antiqua" w:hAnsi="Book Antiq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9E7D68"/>
    <w:pPr>
      <w:spacing w:after="40"/>
    </w:pPr>
    <w:rPr>
      <w:rFonts w:ascii="Book Antiqua" w:hAnsi="Book Antiqua"/>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9E7D68"/>
    <w:pPr>
      <w:spacing w:after="40"/>
    </w:pPr>
    <w:rPr>
      <w:rFonts w:ascii="Book Antiqua" w:hAnsi="Book Antiqua"/>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9E7D68"/>
    <w:pPr>
      <w:spacing w:after="40"/>
    </w:pPr>
    <w:rPr>
      <w:rFonts w:ascii="Book Antiqua" w:hAnsi="Book Antiqu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ableFigHeadingtotal">
    <w:name w:val="Table/Fig: Heading &amp; total"/>
    <w:basedOn w:val="TableFigText"/>
    <w:next w:val="TableFigText"/>
    <w:uiPriority w:val="6"/>
    <w:rsid w:val="009E7D68"/>
    <w:rPr>
      <w:b/>
    </w:rPr>
  </w:style>
  <w:style w:type="paragraph" w:styleId="DocumentMap">
    <w:name w:val="Document Map"/>
    <w:basedOn w:val="Normal"/>
    <w:link w:val="DocumentMapChar"/>
    <w:rsid w:val="009E7D68"/>
    <w:pPr>
      <w:shd w:val="clear" w:color="auto" w:fill="000080"/>
      <w:autoSpaceDE/>
      <w:autoSpaceDN/>
      <w:adjustRightInd/>
      <w:spacing w:before="60" w:after="120" w:line="260" w:lineRule="atLeast"/>
      <w:jc w:val="left"/>
      <w:textAlignment w:val="auto"/>
    </w:pPr>
    <w:rPr>
      <w:rFonts w:ascii="Tahoma" w:eastAsia="Times New Roman" w:hAnsi="Tahoma" w:cs="Tahoma"/>
      <w:color w:val="auto"/>
      <w:sz w:val="20"/>
      <w:szCs w:val="20"/>
      <w:lang w:val="en-AU"/>
    </w:rPr>
  </w:style>
  <w:style w:type="character" w:customStyle="1" w:styleId="DocumentMapChar">
    <w:name w:val="Document Map Char"/>
    <w:basedOn w:val="DefaultParagraphFont"/>
    <w:link w:val="DocumentMap"/>
    <w:rsid w:val="009E7D68"/>
    <w:rPr>
      <w:rFonts w:ascii="Tahoma" w:hAnsi="Tahoma" w:cs="Tahoma"/>
      <w:shd w:val="clear" w:color="auto" w:fill="000080"/>
    </w:rPr>
  </w:style>
  <w:style w:type="character" w:styleId="CommentReference">
    <w:name w:val="annotation reference"/>
    <w:uiPriority w:val="21"/>
    <w:unhideWhenUsed/>
    <w:rsid w:val="009E7D68"/>
    <w:rPr>
      <w:sz w:val="16"/>
      <w:szCs w:val="16"/>
    </w:rPr>
  </w:style>
  <w:style w:type="paragraph" w:styleId="CommentText">
    <w:name w:val="annotation text"/>
    <w:basedOn w:val="Normal"/>
    <w:link w:val="CommentTextChar"/>
    <w:uiPriority w:val="21"/>
    <w:unhideWhenUsed/>
    <w:rsid w:val="009E7D68"/>
    <w:pPr>
      <w:autoSpaceDE/>
      <w:autoSpaceDN/>
      <w:adjustRightInd/>
      <w:spacing w:before="60" w:after="120" w:line="260" w:lineRule="atLeast"/>
      <w:jc w:val="left"/>
      <w:textAlignment w:val="auto"/>
    </w:pPr>
    <w:rPr>
      <w:rFonts w:ascii="Book Antiqua" w:eastAsia="Times New Roman" w:hAnsi="Book Antiqua" w:cs="Times New Roman"/>
      <w:color w:val="auto"/>
      <w:sz w:val="20"/>
      <w:szCs w:val="20"/>
      <w:lang w:val="en-AU"/>
    </w:rPr>
  </w:style>
  <w:style w:type="character" w:customStyle="1" w:styleId="CommentTextChar">
    <w:name w:val="Comment Text Char"/>
    <w:basedOn w:val="DefaultParagraphFont"/>
    <w:link w:val="CommentText"/>
    <w:uiPriority w:val="21"/>
    <w:rsid w:val="009E7D68"/>
    <w:rPr>
      <w:rFonts w:ascii="Book Antiqua" w:hAnsi="Book Antiqua"/>
    </w:rPr>
  </w:style>
  <w:style w:type="paragraph" w:styleId="CommentSubject">
    <w:name w:val="annotation subject"/>
    <w:basedOn w:val="CommentText"/>
    <w:next w:val="CommentText"/>
    <w:link w:val="CommentSubjectChar"/>
    <w:uiPriority w:val="21"/>
    <w:unhideWhenUsed/>
    <w:rsid w:val="009E7D68"/>
    <w:rPr>
      <w:b/>
      <w:bCs/>
    </w:rPr>
  </w:style>
  <w:style w:type="character" w:customStyle="1" w:styleId="CommentSubjectChar">
    <w:name w:val="Comment Subject Char"/>
    <w:basedOn w:val="CommentTextChar"/>
    <w:link w:val="CommentSubject"/>
    <w:uiPriority w:val="21"/>
    <w:rsid w:val="009E7D68"/>
    <w:rPr>
      <w:rFonts w:ascii="Book Antiqua" w:hAnsi="Book Antiqua"/>
      <w:b/>
      <w:bCs/>
    </w:rPr>
  </w:style>
  <w:style w:type="paragraph" w:customStyle="1" w:styleId="BoxItalics">
    <w:name w:val="Box: Italics"/>
    <w:basedOn w:val="BoxText"/>
    <w:next w:val="BoxText"/>
    <w:link w:val="BoxItalicsChar"/>
    <w:uiPriority w:val="3"/>
    <w:qFormat/>
    <w:rsid w:val="009E7D68"/>
    <w:pPr>
      <w:pBdr>
        <w:top w:val="single" w:sz="4" w:space="10" w:color="000000"/>
        <w:left w:val="single" w:sz="4" w:space="10" w:color="000000"/>
        <w:bottom w:val="single" w:sz="4" w:space="10" w:color="000000"/>
        <w:right w:val="single" w:sz="4" w:space="10" w:color="000000"/>
      </w:pBdr>
      <w:tabs>
        <w:tab w:val="left" w:pos="397"/>
      </w:tabs>
      <w:spacing w:after="20" w:line="240" w:lineRule="atLeast"/>
      <w:ind w:left="255" w:right="255"/>
    </w:pPr>
    <w:rPr>
      <w:i/>
      <w:sz w:val="21"/>
    </w:rPr>
  </w:style>
  <w:style w:type="character" w:customStyle="1" w:styleId="BoxTextChar">
    <w:name w:val="Box: Text Char"/>
    <w:link w:val="BoxText"/>
    <w:uiPriority w:val="3"/>
    <w:rsid w:val="009E7D68"/>
    <w:rPr>
      <w:rFonts w:ascii="Book Antiqua" w:hAnsi="Book Antiqua"/>
      <w:sz w:val="22"/>
      <w:lang w:eastAsia="en-US"/>
    </w:rPr>
  </w:style>
  <w:style w:type="character" w:customStyle="1" w:styleId="BoxItalicsChar">
    <w:name w:val="Box: Italics Char"/>
    <w:link w:val="BoxItalics"/>
    <w:uiPriority w:val="3"/>
    <w:rsid w:val="009E7D68"/>
    <w:rPr>
      <w:rFonts w:ascii="Book Antiqua" w:hAnsi="Book Antiqua"/>
      <w:i/>
      <w:sz w:val="21"/>
      <w:lang w:eastAsia="en-US"/>
    </w:rPr>
  </w:style>
  <w:style w:type="paragraph" w:customStyle="1" w:styleId="AIHWbodytextintable">
    <w:name w:val="AIHW body text in table"/>
    <w:basedOn w:val="AIHWbodytext"/>
    <w:next w:val="AIHWbodytext"/>
    <w:rsid w:val="009E7D68"/>
    <w:pPr>
      <w:spacing w:before="80" w:after="80"/>
    </w:pPr>
  </w:style>
  <w:style w:type="paragraph" w:customStyle="1" w:styleId="Boxcontinued">
    <w:name w:val="Box: (continued)"/>
    <w:basedOn w:val="BoxText"/>
    <w:next w:val="BoxHeading1"/>
    <w:uiPriority w:val="4"/>
    <w:rsid w:val="009E7D68"/>
    <w:pPr>
      <w:pBdr>
        <w:top w:val="single" w:sz="4" w:space="10" w:color="000000"/>
        <w:left w:val="single" w:sz="4" w:space="10" w:color="000000"/>
        <w:bottom w:val="single" w:sz="4" w:space="10" w:color="000000"/>
        <w:right w:val="single" w:sz="4" w:space="10" w:color="000000"/>
      </w:pBdr>
      <w:tabs>
        <w:tab w:val="left" w:pos="397"/>
      </w:tabs>
      <w:spacing w:before="0" w:after="0" w:line="240" w:lineRule="atLeast"/>
      <w:ind w:left="255" w:right="255"/>
      <w:jc w:val="right"/>
    </w:pPr>
    <w:rPr>
      <w:i/>
      <w:sz w:val="20"/>
    </w:rPr>
  </w:style>
  <w:style w:type="paragraph" w:customStyle="1" w:styleId="xl63">
    <w:name w:val="xl63"/>
    <w:basedOn w:val="Normal"/>
    <w:rsid w:val="009E7D68"/>
    <w:pPr>
      <w:autoSpaceDE/>
      <w:autoSpaceDN/>
      <w:adjustRightInd/>
      <w:spacing w:before="100" w:beforeAutospacing="1" w:after="100" w:afterAutospacing="1"/>
      <w:jc w:val="left"/>
      <w:textAlignment w:val="top"/>
    </w:pPr>
    <w:rPr>
      <w:rFonts w:ascii="Book Antiqua" w:eastAsia="Times New Roman" w:hAnsi="Book Antiqua" w:cs="Times New Roman"/>
      <w:color w:val="auto"/>
      <w:sz w:val="18"/>
      <w:szCs w:val="18"/>
      <w:lang w:val="en-AU"/>
    </w:rPr>
  </w:style>
  <w:style w:type="paragraph" w:customStyle="1" w:styleId="xl64">
    <w:name w:val="xl64"/>
    <w:basedOn w:val="Normal"/>
    <w:rsid w:val="009E7D68"/>
    <w:pPr>
      <w:autoSpaceDE/>
      <w:autoSpaceDN/>
      <w:adjustRightInd/>
      <w:spacing w:before="100" w:beforeAutospacing="1" w:after="100" w:afterAutospacing="1"/>
      <w:jc w:val="left"/>
      <w:textAlignment w:val="top"/>
    </w:pPr>
    <w:rPr>
      <w:rFonts w:ascii="Book Antiqua" w:eastAsia="Times New Roman" w:hAnsi="Book Antiqua" w:cs="Times New Roman"/>
      <w:color w:val="auto"/>
      <w:sz w:val="18"/>
      <w:szCs w:val="18"/>
      <w:lang w:val="en-AU"/>
    </w:rPr>
  </w:style>
  <w:style w:type="paragraph" w:customStyle="1" w:styleId="xl65">
    <w:name w:val="xl65"/>
    <w:basedOn w:val="Normal"/>
    <w:rsid w:val="009E7D68"/>
    <w:pPr>
      <w:shd w:val="clear" w:color="000000" w:fill="F2F2F2"/>
      <w:autoSpaceDE/>
      <w:autoSpaceDN/>
      <w:adjustRightInd/>
      <w:spacing w:before="100" w:beforeAutospacing="1" w:after="100" w:afterAutospacing="1"/>
      <w:jc w:val="left"/>
      <w:textAlignment w:val="top"/>
    </w:pPr>
    <w:rPr>
      <w:rFonts w:ascii="Book Antiqua" w:eastAsia="Times New Roman" w:hAnsi="Book Antiqua" w:cs="Times New Roman"/>
      <w:color w:val="auto"/>
      <w:sz w:val="18"/>
      <w:szCs w:val="18"/>
      <w:lang w:val="en-AU"/>
    </w:rPr>
  </w:style>
  <w:style w:type="paragraph" w:customStyle="1" w:styleId="xl66">
    <w:name w:val="xl66"/>
    <w:basedOn w:val="Normal"/>
    <w:rsid w:val="009E7D68"/>
    <w:pPr>
      <w:autoSpaceDE/>
      <w:autoSpaceDN/>
      <w:adjustRightInd/>
      <w:spacing w:before="100" w:beforeAutospacing="1" w:after="100" w:afterAutospacing="1"/>
      <w:jc w:val="left"/>
      <w:textAlignment w:val="top"/>
    </w:pPr>
    <w:rPr>
      <w:rFonts w:ascii="Book Antiqua" w:eastAsia="Times New Roman" w:hAnsi="Book Antiqua" w:cs="Times New Roman"/>
      <w:color w:val="auto"/>
      <w:sz w:val="18"/>
      <w:szCs w:val="18"/>
      <w:lang w:val="en-AU"/>
    </w:rPr>
  </w:style>
  <w:style w:type="paragraph" w:customStyle="1" w:styleId="xl67">
    <w:name w:val="xl67"/>
    <w:basedOn w:val="Normal"/>
    <w:rsid w:val="009E7D68"/>
    <w:pPr>
      <w:autoSpaceDE/>
      <w:autoSpaceDN/>
      <w:adjustRightInd/>
      <w:spacing w:before="100" w:beforeAutospacing="1" w:after="100" w:afterAutospacing="1"/>
      <w:jc w:val="left"/>
      <w:textAlignment w:val="top"/>
    </w:pPr>
    <w:rPr>
      <w:rFonts w:ascii="Book Antiqua" w:eastAsia="Times New Roman" w:hAnsi="Book Antiqua" w:cs="Times New Roman"/>
      <w:color w:val="auto"/>
      <w:sz w:val="18"/>
      <w:szCs w:val="18"/>
      <w:lang w:val="en-AU"/>
    </w:rPr>
  </w:style>
  <w:style w:type="paragraph" w:customStyle="1" w:styleId="xl68">
    <w:name w:val="xl68"/>
    <w:basedOn w:val="Normal"/>
    <w:rsid w:val="009E7D68"/>
    <w:pPr>
      <w:shd w:val="clear" w:color="000000" w:fill="F2F2F2"/>
      <w:autoSpaceDE/>
      <w:autoSpaceDN/>
      <w:adjustRightInd/>
      <w:spacing w:before="100" w:beforeAutospacing="1" w:after="100" w:afterAutospacing="1"/>
      <w:jc w:val="left"/>
      <w:textAlignment w:val="top"/>
    </w:pPr>
    <w:rPr>
      <w:rFonts w:ascii="Book Antiqua" w:eastAsia="Times New Roman" w:hAnsi="Book Antiqua" w:cs="Times New Roman"/>
      <w:color w:val="auto"/>
      <w:sz w:val="18"/>
      <w:szCs w:val="18"/>
      <w:lang w:val="en-AU"/>
    </w:rPr>
  </w:style>
  <w:style w:type="paragraph" w:customStyle="1" w:styleId="xl69">
    <w:name w:val="xl69"/>
    <w:basedOn w:val="Normal"/>
    <w:rsid w:val="009E7D68"/>
    <w:pPr>
      <w:autoSpaceDE/>
      <w:autoSpaceDN/>
      <w:adjustRightInd/>
      <w:spacing w:before="100" w:beforeAutospacing="1" w:after="100" w:afterAutospacing="1"/>
      <w:jc w:val="right"/>
      <w:textAlignment w:val="top"/>
    </w:pPr>
    <w:rPr>
      <w:rFonts w:ascii="Book Antiqua" w:eastAsia="Times New Roman" w:hAnsi="Book Antiqua" w:cs="Times New Roman"/>
      <w:color w:val="auto"/>
      <w:sz w:val="18"/>
      <w:szCs w:val="18"/>
      <w:lang w:val="en-AU"/>
    </w:rPr>
  </w:style>
  <w:style w:type="paragraph" w:customStyle="1" w:styleId="xl70">
    <w:name w:val="xl70"/>
    <w:basedOn w:val="Normal"/>
    <w:rsid w:val="009E7D68"/>
    <w:pPr>
      <w:autoSpaceDE/>
      <w:autoSpaceDN/>
      <w:adjustRightInd/>
      <w:spacing w:before="100" w:beforeAutospacing="1" w:after="100" w:afterAutospacing="1"/>
      <w:jc w:val="center"/>
      <w:textAlignment w:val="top"/>
    </w:pPr>
    <w:rPr>
      <w:rFonts w:ascii="Book Antiqua" w:eastAsia="Times New Roman" w:hAnsi="Book Antiqua" w:cs="Times New Roman"/>
      <w:color w:val="auto"/>
      <w:sz w:val="18"/>
      <w:szCs w:val="18"/>
      <w:lang w:val="en-AU"/>
    </w:rPr>
  </w:style>
  <w:style w:type="paragraph" w:customStyle="1" w:styleId="xl71">
    <w:name w:val="xl71"/>
    <w:basedOn w:val="Normal"/>
    <w:rsid w:val="009E7D68"/>
    <w:pPr>
      <w:autoSpaceDE/>
      <w:autoSpaceDN/>
      <w:adjustRightInd/>
      <w:spacing w:before="100" w:beforeAutospacing="1" w:after="100" w:afterAutospacing="1"/>
      <w:jc w:val="right"/>
      <w:textAlignment w:val="top"/>
    </w:pPr>
    <w:rPr>
      <w:rFonts w:ascii="Book Antiqua" w:eastAsia="Times New Roman" w:hAnsi="Book Antiqua" w:cs="Times New Roman"/>
      <w:color w:val="auto"/>
      <w:sz w:val="18"/>
      <w:szCs w:val="18"/>
      <w:lang w:val="en-AU"/>
    </w:rPr>
  </w:style>
  <w:style w:type="paragraph" w:customStyle="1" w:styleId="xl72">
    <w:name w:val="xl72"/>
    <w:basedOn w:val="Normal"/>
    <w:rsid w:val="009E7D68"/>
    <w:pPr>
      <w:shd w:val="clear" w:color="000000" w:fill="F2F2F2"/>
      <w:autoSpaceDE/>
      <w:autoSpaceDN/>
      <w:adjustRightInd/>
      <w:spacing w:before="100" w:beforeAutospacing="1" w:after="100" w:afterAutospacing="1"/>
      <w:jc w:val="right"/>
      <w:textAlignment w:val="top"/>
    </w:pPr>
    <w:rPr>
      <w:rFonts w:ascii="Book Antiqua" w:eastAsia="Times New Roman" w:hAnsi="Book Antiqua" w:cs="Times New Roman"/>
      <w:color w:val="auto"/>
      <w:sz w:val="18"/>
      <w:szCs w:val="18"/>
      <w:lang w:val="en-AU"/>
    </w:rPr>
  </w:style>
  <w:style w:type="paragraph" w:customStyle="1" w:styleId="Heading1-Reference">
    <w:name w:val="Heading 1 - Reference"/>
    <w:basedOn w:val="Heading1"/>
    <w:qFormat/>
    <w:rsid w:val="009E7D68"/>
    <w:pPr>
      <w:spacing w:before="200"/>
    </w:pPr>
    <w:rPr>
      <w:i/>
      <w:color w:val="1E2BC8"/>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18" Type="http://schemas.openxmlformats.org/officeDocument/2006/relationships/chart" Target="charts/chart6.xml"/><Relationship Id="rId26" Type="http://schemas.openxmlformats.org/officeDocument/2006/relationships/chart" Target="charts/chart14.xml"/><Relationship Id="rId3" Type="http://schemas.microsoft.com/office/2007/relationships/stylesWithEffects" Target="stylesWithEffects.xml"/><Relationship Id="rId21" Type="http://schemas.openxmlformats.org/officeDocument/2006/relationships/chart" Target="charts/chart9.xml"/><Relationship Id="rId34" Type="http://schemas.openxmlformats.org/officeDocument/2006/relationships/footer" Target="footer2.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chart" Target="charts/chart5.xml"/><Relationship Id="rId25" Type="http://schemas.openxmlformats.org/officeDocument/2006/relationships/chart" Target="charts/chart13.xm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chart" Target="charts/chart4.xml"/><Relationship Id="rId20" Type="http://schemas.openxmlformats.org/officeDocument/2006/relationships/chart" Target="charts/chart8.xml"/><Relationship Id="rId29" Type="http://schemas.openxmlformats.org/officeDocument/2006/relationships/chart" Target="charts/chart1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diagramColors" Target="diagrams/colors1.xml"/><Relationship Id="rId24" Type="http://schemas.openxmlformats.org/officeDocument/2006/relationships/chart" Target="charts/chart12.xml"/><Relationship Id="rId32" Type="http://schemas.openxmlformats.org/officeDocument/2006/relationships/header" Target="header2.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hart" Target="charts/chart3.xml"/><Relationship Id="rId23" Type="http://schemas.openxmlformats.org/officeDocument/2006/relationships/chart" Target="charts/chart11.xml"/><Relationship Id="rId28" Type="http://schemas.openxmlformats.org/officeDocument/2006/relationships/chart" Target="charts/chart16.xml"/><Relationship Id="rId36" Type="http://schemas.openxmlformats.org/officeDocument/2006/relationships/footer" Target="footer3.xml"/><Relationship Id="rId10" Type="http://schemas.openxmlformats.org/officeDocument/2006/relationships/diagramQuickStyle" Target="diagrams/quickStyle1.xml"/><Relationship Id="rId19" Type="http://schemas.openxmlformats.org/officeDocument/2006/relationships/chart" Target="charts/chart7.xm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chart" Target="charts/chart2.xml"/><Relationship Id="rId22" Type="http://schemas.openxmlformats.org/officeDocument/2006/relationships/chart" Target="charts/chart10.xml"/><Relationship Id="rId27" Type="http://schemas.openxmlformats.org/officeDocument/2006/relationships/chart" Target="charts/chart15.xml"/><Relationship Id="rId30" Type="http://schemas.openxmlformats.org/officeDocument/2006/relationships/hyperlink" Target="https://mhsa.aihw.gov.au/home/" TargetMode="External"/><Relationship Id="rId35"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charts/_rels/chart1.xml.rels><?xml version="1.0" encoding="UTF-8" standalone="yes"?>
<Relationships xmlns="http://schemas.openxmlformats.org/package/2006/relationships"><Relationship Id="rId1" Type="http://schemas.openxmlformats.org/officeDocument/2006/relationships/oleObject" Target="file:///\\FS-10\Drwho\CSC\MHPC\Mental%20Health\Projects\National%20Mental%20Health%20Commission\2014%20Review\Data\2%20June%20report\Graphics\Consolidated%20figures%20for%20NMHC%20graphic%20designer.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fs-04\Drwho\CSC\MHPC\Mental%20Health\Projects\National%20Mental%20Health%20Commission\2014%20Review\Data\2%20June%20report\S&amp;T%20data\S&amp;T%20summaries\S&amp;T_Summaries_v0.3.xlsx" TargetMode="External"/></Relationships>
</file>

<file path=word/charts/_rels/chart11.xml.rels><?xml version="1.0" encoding="UTF-8" standalone="yes"?>
<Relationships xmlns="http://schemas.openxmlformats.org/package/2006/relationships"><Relationship Id="rId3" Type="http://schemas.openxmlformats.org/officeDocument/2006/relationships/chartUserShapes" Target="../drawings/drawing5.xml"/><Relationship Id="rId2" Type="http://schemas.openxmlformats.org/officeDocument/2006/relationships/oleObject" Target="file:///\\FS-10\Drwho\CSC\MHPC\Mental%20Health\Projects\National%20Mental%20Health%20Commission\2014%20Review\Data\1%20Dec%20report\Medicare%20analysis\Expenditure%20tables%2012-13_Analysis%20for%20NMHC.xls" TargetMode="External"/><Relationship Id="rId1" Type="http://schemas.openxmlformats.org/officeDocument/2006/relationships/themeOverride" Target="../theme/themeOverride4.xml"/></Relationships>
</file>

<file path=word/charts/_rels/chart12.xml.rels><?xml version="1.0" encoding="UTF-8" standalone="yes"?>
<Relationships xmlns="http://schemas.openxmlformats.org/package/2006/relationships"><Relationship Id="rId3" Type="http://schemas.openxmlformats.org/officeDocument/2006/relationships/chartUserShapes" Target="../drawings/drawing6.xml"/><Relationship Id="rId2" Type="http://schemas.openxmlformats.org/officeDocument/2006/relationships/oleObject" Target="file:///\\FS-10\Drwho\CSC\MHPC\Mental%20Health\Projects\National%20Mental%20Health%20Commission\2014%20Review\Data\1%20Dec%20report\Medicare%20analysis\Expenditure%20tables%2012-13_Analysis%20for%20NMHC.xls" TargetMode="External"/><Relationship Id="rId1" Type="http://schemas.openxmlformats.org/officeDocument/2006/relationships/themeOverride" Target="../theme/themeOverride5.xml"/></Relationships>
</file>

<file path=word/charts/_rels/chart13.xml.rels><?xml version="1.0" encoding="UTF-8" standalone="yes"?>
<Relationships xmlns="http://schemas.openxmlformats.org/package/2006/relationships"><Relationship Id="rId3" Type="http://schemas.openxmlformats.org/officeDocument/2006/relationships/chartUserShapes" Target="../drawings/drawing7.xml"/><Relationship Id="rId2" Type="http://schemas.openxmlformats.org/officeDocument/2006/relationships/oleObject" Target="file:///\\FS-10\Drwho\CSC\MHPC\Mental%20Health\Projects\National%20Mental%20Health%20Commission\2014%20Review\Data\1%20Dec%20report\Medicare%20analysis\Expenditure%20tables%2012-13_Analysis%20for%20NMHC.xls" TargetMode="External"/><Relationship Id="rId1" Type="http://schemas.openxmlformats.org/officeDocument/2006/relationships/themeOverride" Target="../theme/themeOverride6.xml"/></Relationships>
</file>

<file path=word/charts/_rels/chart14.xml.rels><?xml version="1.0" encoding="UTF-8" standalone="yes"?>
<Relationships xmlns="http://schemas.openxmlformats.org/package/2006/relationships"><Relationship Id="rId2" Type="http://schemas.openxmlformats.org/officeDocument/2006/relationships/chartUserShapes" Target="../drawings/drawing8.xml"/><Relationship Id="rId1" Type="http://schemas.openxmlformats.org/officeDocument/2006/relationships/oleObject" Target="file:///\\fs-04\Drwho\CSC\MHPC\Mental%20Health\Projects\National%20Mental%20Health%20Commission\2014%20Review\Data\2%20June%20report\S&amp;T%20data\S&amp;T%20summaries\S&amp;T_Summaries_v0.3.xlsx" TargetMode="External"/></Relationships>
</file>

<file path=word/charts/_rels/chart15.xml.rels><?xml version="1.0" encoding="UTF-8" standalone="yes"?>
<Relationships xmlns="http://schemas.openxmlformats.org/package/2006/relationships"><Relationship Id="rId3" Type="http://schemas.openxmlformats.org/officeDocument/2006/relationships/chartUserShapes" Target="../drawings/drawing9.xml"/><Relationship Id="rId2" Type="http://schemas.openxmlformats.org/officeDocument/2006/relationships/oleObject" Target="file:///\\FS-10\Drwho\CSC\MHPC\Mental%20Health\Projects\National%20Mental%20Health%20Commission\2014%20Review\Data\2%20June%20report\Remoteness\Remoteness_Analysis_Final.xlsx" TargetMode="External"/><Relationship Id="rId1" Type="http://schemas.openxmlformats.org/officeDocument/2006/relationships/themeOverride" Target="../theme/themeOverride7.xml"/></Relationships>
</file>

<file path=word/charts/_rels/chart16.xml.rels><?xml version="1.0" encoding="UTF-8" standalone="yes"?>
<Relationships xmlns="http://schemas.openxmlformats.org/package/2006/relationships"><Relationship Id="rId2" Type="http://schemas.openxmlformats.org/officeDocument/2006/relationships/chartUserShapes" Target="../drawings/drawing10.xml"/><Relationship Id="rId1" Type="http://schemas.openxmlformats.org/officeDocument/2006/relationships/oleObject" Target="file:///\\fs-04\Drwho\CSC\MHPC\Mental%20Health\Projects\National%20Mental%20Health%20Commission\2014%20Review\Data\2%20June%20report\S&amp;T%20data\S&amp;T%20summaries\S&amp;T_Summaries_v0.3.xlsx" TargetMode="External"/></Relationships>
</file>

<file path=word/charts/_rels/chart17.xml.rels><?xml version="1.0" encoding="UTF-8" standalone="yes"?>
<Relationships xmlns="http://schemas.openxmlformats.org/package/2006/relationships"><Relationship Id="rId2" Type="http://schemas.openxmlformats.org/officeDocument/2006/relationships/chartUserShapes" Target="../drawings/drawing11.xml"/><Relationship Id="rId1" Type="http://schemas.openxmlformats.org/officeDocument/2006/relationships/oleObject" Target="file:///\\fs-04\Drwho\CSC\MHPC\Mental%20Health\Projects\National%20Mental%20Health%20Commission\2014%20Review\Data\2%20June%20report\S&amp;T%20data\S&amp;T%20summaries\S&amp;T_Summaries_v0.3.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FS-10\Drwho\CSC\MHPC\Mental%20Health\Projects\National%20Mental%20Health%20Commission\2014%20Review\Data\2%20June%20report\Graphics\Consolidated%20figures%20for%20NMHC%20graphic%20designer.xlsx" TargetMode="External"/></Relationships>
</file>

<file path=word/charts/_rels/chart3.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oleObject" Target="file:///\\FS-10\Drwho\CSC\MHPC\Mental%20Health\Projects\National%20Mental%20Health%20Commission\2014%20Review\Data\2%20June%20report\Graphics\Consolidated%20figures%20for%20NMHC%20graphic%20designer.xlsx" TargetMode="External"/><Relationship Id="rId1" Type="http://schemas.openxmlformats.org/officeDocument/2006/relationships/themeOverride" Target="../theme/themeOverride1.xml"/></Relationships>
</file>

<file path=word/charts/_rels/chart4.xml.rels><?xml version="1.0" encoding="UTF-8" standalone="yes"?>
<Relationships xmlns="http://schemas.openxmlformats.org/package/2006/relationships"><Relationship Id="rId2" Type="http://schemas.openxmlformats.org/officeDocument/2006/relationships/oleObject" Target="file:///\\FS-10\Drwho\CSC\MHPC\Mental%20Health\Projects\National%20Mental%20Health%20Commission\2014%20Review\Data\2%20June%20report\Graphics\Consolidated%20figures%20for%20NMHC%20graphic%20designer.xlsx" TargetMode="External"/><Relationship Id="rId1" Type="http://schemas.openxmlformats.org/officeDocument/2006/relationships/themeOverride" Target="../theme/themeOverride2.xml"/></Relationships>
</file>

<file path=word/charts/_rels/chart5.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oleObject" Target="file:///\\FS-10\Drwho\CSC\MHPC\Mental%20Health\Projects\National%20Mental%20Health%20Commission\2014%20Review\Data\1%20Dec%20report\Workforce\2014-11-17_2012%20Workforce%20data.xlsx" TargetMode="External"/><Relationship Id="rId1" Type="http://schemas.openxmlformats.org/officeDocument/2006/relationships/themeOverride" Target="../theme/themeOverride3.xml"/></Relationships>
</file>

<file path=word/charts/_rels/chart6.xml.rels><?xml version="1.0" encoding="UTF-8" standalone="yes"?>
<Relationships xmlns="http://schemas.openxmlformats.org/package/2006/relationships"><Relationship Id="rId1" Type="http://schemas.openxmlformats.org/officeDocument/2006/relationships/oleObject" Target="file:///\\fs-04\Drwho\CSC\MHPC\Mental%20Health\Projects\National%20Mental%20Health%20Commission\2014%20Review\Data\2%20June%20report\S&amp;T%20data\S&amp;T%20summaries\S&amp;T_Summaries_v0.1.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fs-04\Drwho\CSC\MHPC\Mental%20Health\Projects\National%20Mental%20Health%20Commission\2014%20Review\Data\2%20June%20report\S&amp;T%20data\S&amp;T%20summaries\S&amp;T_Summaries_v0.1.xlsx" TargetMode="External"/></Relationships>
</file>

<file path=word/charts/_rels/chart8.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oleObject" Target="file:///\\FS-10\Drwho\CSC\MHPC\Mental%20Health\Projects\National%20Mental%20Health%20Commission\2014%20Review\Data\2%20June%20report\Graphics\Consolidated%20figures%20for%20NMHC%20graphic%20designer.xlsx" TargetMode="External"/></Relationships>
</file>

<file path=word/charts/_rels/chart9.xml.rels><?xml version="1.0" encoding="UTF-8" standalone="yes"?>
<Relationships xmlns="http://schemas.openxmlformats.org/package/2006/relationships"><Relationship Id="rId2" Type="http://schemas.openxmlformats.org/officeDocument/2006/relationships/chartUserShapes" Target="../drawings/drawing4.xml"/><Relationship Id="rId1" Type="http://schemas.openxmlformats.org/officeDocument/2006/relationships/oleObject" Target="file:///\\FS-10\Drwho\CSC\MHPC\Mental%20Health\Projects\National%20Mental%20Health%20Commission\2014%20Review\Data\2%20June%20report\Graphics\Consolidated%20figures%20for%20NMHC%20graphic%20designer.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plotArea>
      <c:layout>
        <c:manualLayout>
          <c:layoutTarget val="inner"/>
          <c:xMode val="edge"/>
          <c:yMode val="edge"/>
          <c:x val="0.14219242914451793"/>
          <c:y val="3.2059084001749699E-2"/>
          <c:w val="0.8289930339932442"/>
          <c:h val="0.73931401648940842"/>
        </c:manualLayout>
      </c:layout>
      <c:barChart>
        <c:barDir val="col"/>
        <c:grouping val="clustered"/>
        <c:varyColors val="0"/>
        <c:ser>
          <c:idx val="0"/>
          <c:order val="0"/>
          <c:tx>
            <c:strRef>
              <c:f>'APC - separations'!$B$4</c:f>
              <c:strCache>
                <c:ptCount val="1"/>
                <c:pt idx="0">
                  <c:v>With specialised psychiatric care</c:v>
                </c:pt>
              </c:strCache>
            </c:strRef>
          </c:tx>
          <c:spPr>
            <a:solidFill>
              <a:srgbClr val="2D5EA8"/>
            </a:solidFill>
            <a:ln>
              <a:noFill/>
            </a:ln>
            <a:effectLst/>
          </c:spPr>
          <c:invertIfNegative val="0"/>
          <c:dLbls>
            <c:dLbl>
              <c:idx val="5"/>
              <c:delete val="1"/>
            </c:dLbl>
            <c:dLbl>
              <c:idx val="6"/>
              <c:delete val="1"/>
            </c:dLbl>
            <c:dLbl>
              <c:idx val="7"/>
              <c:delete val="1"/>
            </c:dLbl>
            <c:numFmt formatCode="#,##0.0" sourceLinked="0"/>
            <c:txPr>
              <a:bodyPr rot="0" vert="horz"/>
              <a:lstStyle/>
              <a:p>
                <a:pPr>
                  <a:defRPr/>
                </a:pPr>
                <a:endParaRPr lang="en-US"/>
              </a:p>
            </c:txPr>
            <c:showLegendKey val="0"/>
            <c:showVal val="1"/>
            <c:showCatName val="0"/>
            <c:showSerName val="0"/>
            <c:showPercent val="0"/>
            <c:showBubbleSize val="0"/>
            <c:showLeaderLines val="0"/>
          </c:dLbls>
          <c:cat>
            <c:strRef>
              <c:f>'APC - separations'!$C$3:$K$3</c:f>
              <c:strCache>
                <c:ptCount val="9"/>
                <c:pt idx="0">
                  <c:v>NSW</c:v>
                </c:pt>
                <c:pt idx="1">
                  <c:v>VIC</c:v>
                </c:pt>
                <c:pt idx="2">
                  <c:v>QLD</c:v>
                </c:pt>
                <c:pt idx="3">
                  <c:v>WA</c:v>
                </c:pt>
                <c:pt idx="4">
                  <c:v>SA</c:v>
                </c:pt>
                <c:pt idx="5">
                  <c:v>TAS</c:v>
                </c:pt>
                <c:pt idx="6">
                  <c:v>ACT</c:v>
                </c:pt>
                <c:pt idx="7">
                  <c:v>NT</c:v>
                </c:pt>
                <c:pt idx="8">
                  <c:v>National</c:v>
                </c:pt>
              </c:strCache>
            </c:strRef>
          </c:cat>
          <c:val>
            <c:numRef>
              <c:f>'APC - separations'!$C$4:$K$4</c:f>
              <c:numCache>
                <c:formatCode>0.0</c:formatCode>
                <c:ptCount val="9"/>
                <c:pt idx="0">
                  <c:v>6.5579351497203886</c:v>
                </c:pt>
                <c:pt idx="1">
                  <c:v>5.692311607906765</c:v>
                </c:pt>
                <c:pt idx="2">
                  <c:v>7.3681766027342697</c:v>
                </c:pt>
                <c:pt idx="3">
                  <c:v>6.2867515069363344</c:v>
                </c:pt>
                <c:pt idx="4">
                  <c:v>5.7005296245158084</c:v>
                </c:pt>
                <c:pt idx="5" formatCode="General">
                  <c:v>0</c:v>
                </c:pt>
                <c:pt idx="6" formatCode="General">
                  <c:v>0</c:v>
                </c:pt>
                <c:pt idx="7" formatCode="General">
                  <c:v>0</c:v>
                </c:pt>
                <c:pt idx="8">
                  <c:v>6.4096675094839517</c:v>
                </c:pt>
              </c:numCache>
            </c:numRef>
          </c:val>
        </c:ser>
        <c:ser>
          <c:idx val="1"/>
          <c:order val="1"/>
          <c:tx>
            <c:strRef>
              <c:f>'APC - separations'!$B$5</c:f>
              <c:strCache>
                <c:ptCount val="1"/>
                <c:pt idx="0">
                  <c:v>Without specialised psychiatric care</c:v>
                </c:pt>
              </c:strCache>
            </c:strRef>
          </c:tx>
          <c:spPr>
            <a:solidFill>
              <a:srgbClr val="72D0F4"/>
            </a:solidFill>
            <a:ln>
              <a:noFill/>
            </a:ln>
            <a:effectLst/>
          </c:spPr>
          <c:invertIfNegative val="0"/>
          <c:dLbls>
            <c:dLbl>
              <c:idx val="0"/>
              <c:layout>
                <c:manualLayout>
                  <c:x val="9.8357202380399463E-3"/>
                  <c:y val="3.4870411415781566E-17"/>
                </c:manualLayout>
              </c:layout>
              <c:dLblPos val="outEnd"/>
              <c:showLegendKey val="0"/>
              <c:showVal val="1"/>
              <c:showCatName val="0"/>
              <c:showSerName val="0"/>
              <c:showPercent val="0"/>
              <c:showBubbleSize val="0"/>
            </c:dLbl>
            <c:dLbl>
              <c:idx val="1"/>
              <c:layout>
                <c:manualLayout>
                  <c:x val="7.376790178529942E-3"/>
                  <c:y val="0"/>
                </c:manualLayout>
              </c:layout>
              <c:dLblPos val="outEnd"/>
              <c:showLegendKey val="0"/>
              <c:showVal val="1"/>
              <c:showCatName val="0"/>
              <c:showSerName val="0"/>
              <c:showPercent val="0"/>
              <c:showBubbleSize val="0"/>
            </c:dLbl>
            <c:dLbl>
              <c:idx val="2"/>
              <c:layout>
                <c:manualLayout>
                  <c:x val="4.9178601190199619E-3"/>
                  <c:y val="0"/>
                </c:manualLayout>
              </c:layout>
              <c:dLblPos val="outEnd"/>
              <c:showLegendKey val="0"/>
              <c:showVal val="1"/>
              <c:showCatName val="0"/>
              <c:showSerName val="0"/>
              <c:showPercent val="0"/>
              <c:showBubbleSize val="0"/>
            </c:dLbl>
            <c:dLbl>
              <c:idx val="3"/>
              <c:layout>
                <c:manualLayout>
                  <c:x val="4.9178601190199619E-3"/>
                  <c:y val="3.4870411415781566E-17"/>
                </c:manualLayout>
              </c:layout>
              <c:dLblPos val="outEnd"/>
              <c:showLegendKey val="0"/>
              <c:showVal val="1"/>
              <c:showCatName val="0"/>
              <c:showSerName val="0"/>
              <c:showPercent val="0"/>
              <c:showBubbleSize val="0"/>
            </c:dLbl>
            <c:dLbl>
              <c:idx val="4"/>
              <c:layout>
                <c:manualLayout>
                  <c:x val="7.376790178529942E-3"/>
                  <c:y val="0"/>
                </c:manualLayout>
              </c:layout>
              <c:dLblPos val="outEnd"/>
              <c:showLegendKey val="0"/>
              <c:showVal val="1"/>
              <c:showCatName val="0"/>
              <c:showSerName val="0"/>
              <c:showPercent val="0"/>
              <c:showBubbleSize val="0"/>
            </c:dLbl>
            <c:dLbl>
              <c:idx val="5"/>
              <c:delete val="1"/>
            </c:dLbl>
            <c:dLbl>
              <c:idx val="6"/>
              <c:delete val="1"/>
            </c:dLbl>
            <c:dLbl>
              <c:idx val="7"/>
              <c:delete val="1"/>
            </c:dLbl>
            <c:dLbl>
              <c:idx val="8"/>
              <c:layout>
                <c:manualLayout>
                  <c:x val="4.9178601190199619E-3"/>
                  <c:y val="3.8040888263727009E-3"/>
                </c:manualLayout>
              </c:layout>
              <c:dLblPos val="outEnd"/>
              <c:showLegendKey val="0"/>
              <c:showVal val="1"/>
              <c:showCatName val="0"/>
              <c:showSerName val="0"/>
              <c:showPercent val="0"/>
              <c:showBubbleSize val="0"/>
            </c:dLbl>
            <c:numFmt formatCode="#,##0.0" sourceLinked="0"/>
            <c:txPr>
              <a:bodyPr rot="0" vert="horz"/>
              <a:lstStyle/>
              <a:p>
                <a:pPr>
                  <a:defRPr/>
                </a:pPr>
                <a:endParaRPr lang="en-US"/>
              </a:p>
            </c:txPr>
            <c:dLblPos val="outEnd"/>
            <c:showLegendKey val="0"/>
            <c:showVal val="1"/>
            <c:showCatName val="0"/>
            <c:showSerName val="0"/>
            <c:showPercent val="0"/>
            <c:showBubbleSize val="0"/>
            <c:showLeaderLines val="0"/>
          </c:dLbls>
          <c:cat>
            <c:strRef>
              <c:f>'APC - separations'!$C$3:$K$3</c:f>
              <c:strCache>
                <c:ptCount val="9"/>
                <c:pt idx="0">
                  <c:v>NSW</c:v>
                </c:pt>
                <c:pt idx="1">
                  <c:v>VIC</c:v>
                </c:pt>
                <c:pt idx="2">
                  <c:v>QLD</c:v>
                </c:pt>
                <c:pt idx="3">
                  <c:v>WA</c:v>
                </c:pt>
                <c:pt idx="4">
                  <c:v>SA</c:v>
                </c:pt>
                <c:pt idx="5">
                  <c:v>TAS</c:v>
                </c:pt>
                <c:pt idx="6">
                  <c:v>ACT</c:v>
                </c:pt>
                <c:pt idx="7">
                  <c:v>NT</c:v>
                </c:pt>
                <c:pt idx="8">
                  <c:v>National</c:v>
                </c:pt>
              </c:strCache>
            </c:strRef>
          </c:cat>
          <c:val>
            <c:numRef>
              <c:f>'APC - separations'!$C$5:$K$5</c:f>
              <c:numCache>
                <c:formatCode>0.0</c:formatCode>
                <c:ptCount val="9"/>
                <c:pt idx="0">
                  <c:v>3.9865778736586077</c:v>
                </c:pt>
                <c:pt idx="1">
                  <c:v>3.9690149772013359</c:v>
                </c:pt>
                <c:pt idx="2">
                  <c:v>3.3657465956876389</c:v>
                </c:pt>
                <c:pt idx="3">
                  <c:v>4.4254118407846619</c:v>
                </c:pt>
                <c:pt idx="4">
                  <c:v>5.3402970520722022</c:v>
                </c:pt>
                <c:pt idx="5" formatCode="General">
                  <c:v>0</c:v>
                </c:pt>
                <c:pt idx="6" formatCode="General">
                  <c:v>0</c:v>
                </c:pt>
                <c:pt idx="7" formatCode="General">
                  <c:v>0</c:v>
                </c:pt>
                <c:pt idx="8">
                  <c:v>4.0028614152845599</c:v>
                </c:pt>
              </c:numCache>
            </c:numRef>
          </c:val>
        </c:ser>
        <c:dLbls>
          <c:showLegendKey val="0"/>
          <c:showVal val="0"/>
          <c:showCatName val="0"/>
          <c:showSerName val="0"/>
          <c:showPercent val="0"/>
          <c:showBubbleSize val="0"/>
        </c:dLbls>
        <c:gapWidth val="150"/>
        <c:axId val="115472256"/>
        <c:axId val="115473792"/>
      </c:barChart>
      <c:catAx>
        <c:axId val="115472256"/>
        <c:scaling>
          <c:orientation val="minMax"/>
        </c:scaling>
        <c:delete val="0"/>
        <c:axPos val="b"/>
        <c:majorTickMark val="none"/>
        <c:minorTickMark val="none"/>
        <c:tickLblPos val="nextTo"/>
        <c:crossAx val="115473792"/>
        <c:crosses val="autoZero"/>
        <c:auto val="1"/>
        <c:lblAlgn val="ctr"/>
        <c:lblOffset val="100"/>
        <c:noMultiLvlLbl val="0"/>
      </c:catAx>
      <c:valAx>
        <c:axId val="115473792"/>
        <c:scaling>
          <c:orientation val="minMax"/>
        </c:scaling>
        <c:delete val="0"/>
        <c:axPos val="l"/>
        <c:title>
          <c:tx>
            <c:rich>
              <a:bodyPr rot="-5400000" vert="horz"/>
              <a:lstStyle/>
              <a:p>
                <a:pPr>
                  <a:defRPr/>
                </a:pPr>
                <a:r>
                  <a:rPr lang="en-AU"/>
                  <a:t>Separations </a:t>
                </a:r>
              </a:p>
              <a:p>
                <a:pPr>
                  <a:defRPr/>
                </a:pPr>
                <a:r>
                  <a:rPr lang="en-AU"/>
                  <a:t>per 1,000 population</a:t>
                </a:r>
              </a:p>
            </c:rich>
          </c:tx>
          <c:layout>
            <c:manualLayout>
              <c:xMode val="edge"/>
              <c:yMode val="edge"/>
              <c:x val="0"/>
              <c:y val="0.173651978045297"/>
            </c:manualLayout>
          </c:layout>
          <c:overlay val="0"/>
        </c:title>
        <c:numFmt formatCode="0.0" sourceLinked="1"/>
        <c:majorTickMark val="out"/>
        <c:minorTickMark val="none"/>
        <c:tickLblPos val="nextTo"/>
        <c:crossAx val="115472256"/>
        <c:crosses val="autoZero"/>
        <c:crossBetween val="between"/>
      </c:valAx>
    </c:plotArea>
    <c:legend>
      <c:legendPos val="b"/>
      <c:layout>
        <c:manualLayout>
          <c:xMode val="edge"/>
          <c:yMode val="edge"/>
          <c:x val="5.5078532527696414E-2"/>
          <c:y val="0.87188853829780222"/>
          <c:w val="0.88087865323285119"/>
          <c:h val="6.8789008759288894E-2"/>
        </c:manualLayout>
      </c:layout>
      <c:overlay val="0"/>
    </c:legend>
    <c:plotVisOnly val="1"/>
    <c:dispBlanksAs val="gap"/>
    <c:showDLblsOverMax val="0"/>
  </c:chart>
  <c:spPr>
    <a:ln>
      <a:noFill/>
    </a:ln>
  </c:spPr>
  <c:txPr>
    <a:bodyPr/>
    <a:lstStyle/>
    <a:p>
      <a:pPr>
        <a:defRPr>
          <a:latin typeface="+mn-lt"/>
        </a:defRPr>
      </a:pPr>
      <a:endParaRPr lang="en-US"/>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0"/>
    <c:plotArea>
      <c:layout>
        <c:manualLayout>
          <c:layoutTarget val="inner"/>
          <c:xMode val="edge"/>
          <c:yMode val="edge"/>
          <c:x val="0.128905074365704"/>
          <c:y val="4.1666666666666699E-2"/>
          <c:w val="0.84721006216128103"/>
          <c:h val="0.66019320501603995"/>
        </c:manualLayout>
      </c:layout>
      <c:barChart>
        <c:barDir val="col"/>
        <c:grouping val="clustered"/>
        <c:varyColors val="0"/>
        <c:ser>
          <c:idx val="0"/>
          <c:order val="0"/>
          <c:tx>
            <c:strRef>
              <c:f>Expenditure!$B$4</c:f>
              <c:strCache>
                <c:ptCount val="1"/>
                <c:pt idx="0">
                  <c:v>All mental health service types</c:v>
                </c:pt>
              </c:strCache>
            </c:strRef>
          </c:tx>
          <c:spPr>
            <a:solidFill>
              <a:srgbClr val="2F3490"/>
            </a:solidFill>
            <a:ln>
              <a:noFill/>
            </a:ln>
            <a:effectLst/>
          </c:spPr>
          <c:invertIfNegative val="0"/>
          <c:dLbls>
            <c:numFmt formatCode="#,##0.00" sourceLinked="0"/>
            <c:txPr>
              <a:bodyPr rot="-5400000" vert="horz"/>
              <a:lstStyle/>
              <a:p>
                <a:pPr>
                  <a:defRPr/>
                </a:pPr>
                <a:endParaRPr lang="en-US"/>
              </a:p>
            </c:txPr>
            <c:showLegendKey val="0"/>
            <c:showVal val="1"/>
            <c:showCatName val="0"/>
            <c:showSerName val="0"/>
            <c:showPercent val="0"/>
            <c:showBubbleSize val="0"/>
            <c:showLeaderLines val="0"/>
          </c:dLbls>
          <c:cat>
            <c:strRef>
              <c:f>Expenditure!$A$5:$A$13</c:f>
              <c:strCache>
                <c:ptCount val="9"/>
                <c:pt idx="0">
                  <c:v>NSW</c:v>
                </c:pt>
                <c:pt idx="1">
                  <c:v>VIC</c:v>
                </c:pt>
                <c:pt idx="2">
                  <c:v>QLD</c:v>
                </c:pt>
                <c:pt idx="3">
                  <c:v>WA</c:v>
                </c:pt>
                <c:pt idx="4">
                  <c:v>SA</c:v>
                </c:pt>
                <c:pt idx="5">
                  <c:v>TAS</c:v>
                </c:pt>
                <c:pt idx="6">
                  <c:v>ACT</c:v>
                </c:pt>
                <c:pt idx="7">
                  <c:v>NT</c:v>
                </c:pt>
                <c:pt idx="8">
                  <c:v>National</c:v>
                </c:pt>
              </c:strCache>
            </c:strRef>
          </c:cat>
          <c:val>
            <c:numRef>
              <c:f>Expenditure!$B$5:$B$13</c:f>
              <c:numCache>
                <c:formatCode>0.0</c:formatCode>
                <c:ptCount val="9"/>
                <c:pt idx="0">
                  <c:v>191.82769852839269</c:v>
                </c:pt>
                <c:pt idx="1">
                  <c:v>181.65032647280466</c:v>
                </c:pt>
                <c:pt idx="2">
                  <c:v>197.24771211573631</c:v>
                </c:pt>
                <c:pt idx="3">
                  <c:v>243.32216617580721</c:v>
                </c:pt>
                <c:pt idx="4">
                  <c:v>208.00274876059859</c:v>
                </c:pt>
                <c:pt idx="5">
                  <c:v>209.96804301293682</c:v>
                </c:pt>
                <c:pt idx="6">
                  <c:v>213.5134871409202</c:v>
                </c:pt>
                <c:pt idx="7">
                  <c:v>209.05751339644451</c:v>
                </c:pt>
                <c:pt idx="8">
                  <c:v>197.96360360372998</c:v>
                </c:pt>
              </c:numCache>
            </c:numRef>
          </c:val>
        </c:ser>
        <c:ser>
          <c:idx val="1"/>
          <c:order val="1"/>
          <c:tx>
            <c:strRef>
              <c:f>Expenditure!$C$4</c:f>
              <c:strCache>
                <c:ptCount val="1"/>
                <c:pt idx="0">
                  <c:v>Community mental health services</c:v>
                </c:pt>
              </c:strCache>
            </c:strRef>
          </c:tx>
          <c:spPr>
            <a:solidFill>
              <a:srgbClr val="2D5EA8"/>
            </a:solidFill>
            <a:ln>
              <a:noFill/>
            </a:ln>
            <a:effectLst/>
          </c:spPr>
          <c:invertIfNegative val="0"/>
          <c:dLbls>
            <c:numFmt formatCode="#,##0.00" sourceLinked="0"/>
            <c:txPr>
              <a:bodyPr rot="-5400000" vert="horz"/>
              <a:lstStyle/>
              <a:p>
                <a:pPr>
                  <a:defRPr/>
                </a:pPr>
                <a:endParaRPr lang="en-US"/>
              </a:p>
            </c:txPr>
            <c:showLegendKey val="0"/>
            <c:showVal val="1"/>
            <c:showCatName val="0"/>
            <c:showSerName val="0"/>
            <c:showPercent val="0"/>
            <c:showBubbleSize val="0"/>
            <c:showLeaderLines val="0"/>
          </c:dLbls>
          <c:cat>
            <c:strRef>
              <c:f>Expenditure!$A$5:$A$13</c:f>
              <c:strCache>
                <c:ptCount val="9"/>
                <c:pt idx="0">
                  <c:v>NSW</c:v>
                </c:pt>
                <c:pt idx="1">
                  <c:v>VIC</c:v>
                </c:pt>
                <c:pt idx="2">
                  <c:v>QLD</c:v>
                </c:pt>
                <c:pt idx="3">
                  <c:v>WA</c:v>
                </c:pt>
                <c:pt idx="4">
                  <c:v>SA</c:v>
                </c:pt>
                <c:pt idx="5">
                  <c:v>TAS</c:v>
                </c:pt>
                <c:pt idx="6">
                  <c:v>ACT</c:v>
                </c:pt>
                <c:pt idx="7">
                  <c:v>NT</c:v>
                </c:pt>
                <c:pt idx="8">
                  <c:v>National</c:v>
                </c:pt>
              </c:strCache>
            </c:strRef>
          </c:cat>
          <c:val>
            <c:numRef>
              <c:f>Expenditure!$C$5:$C$13</c:f>
              <c:numCache>
                <c:formatCode>0.0</c:formatCode>
                <c:ptCount val="9"/>
                <c:pt idx="0">
                  <c:v>68.655521512971234</c:v>
                </c:pt>
                <c:pt idx="1">
                  <c:v>70.672844026569152</c:v>
                </c:pt>
                <c:pt idx="2">
                  <c:v>88.849237869645961</c:v>
                </c:pt>
                <c:pt idx="3">
                  <c:v>100.53705452934005</c:v>
                </c:pt>
                <c:pt idx="4">
                  <c:v>87.762615177937533</c:v>
                </c:pt>
                <c:pt idx="5">
                  <c:v>66.992036868789299</c:v>
                </c:pt>
                <c:pt idx="6">
                  <c:v>95.540669882447531</c:v>
                </c:pt>
                <c:pt idx="7">
                  <c:v>100.06609211855034</c:v>
                </c:pt>
                <c:pt idx="8">
                  <c:v>78.710854101739599</c:v>
                </c:pt>
              </c:numCache>
            </c:numRef>
          </c:val>
        </c:ser>
        <c:ser>
          <c:idx val="2"/>
          <c:order val="2"/>
          <c:tx>
            <c:strRef>
              <c:f>Expenditure!$D$4</c:f>
              <c:strCache>
                <c:ptCount val="1"/>
                <c:pt idx="0">
                  <c:v>Public hospital services</c:v>
                </c:pt>
              </c:strCache>
            </c:strRef>
          </c:tx>
          <c:spPr>
            <a:solidFill>
              <a:srgbClr val="72D0F4"/>
            </a:solidFill>
            <a:ln>
              <a:noFill/>
            </a:ln>
            <a:effectLst/>
          </c:spPr>
          <c:invertIfNegative val="0"/>
          <c:dLbls>
            <c:numFmt formatCode="#,##0.00" sourceLinked="0"/>
            <c:txPr>
              <a:bodyPr rot="-5400000" vert="horz"/>
              <a:lstStyle/>
              <a:p>
                <a:pPr>
                  <a:defRPr/>
                </a:pPr>
                <a:endParaRPr lang="en-US"/>
              </a:p>
            </c:txPr>
            <c:showLegendKey val="0"/>
            <c:showVal val="1"/>
            <c:showCatName val="0"/>
            <c:showSerName val="0"/>
            <c:showPercent val="0"/>
            <c:showBubbleSize val="0"/>
            <c:showLeaderLines val="0"/>
          </c:dLbls>
          <c:cat>
            <c:strRef>
              <c:f>Expenditure!$A$5:$A$13</c:f>
              <c:strCache>
                <c:ptCount val="9"/>
                <c:pt idx="0">
                  <c:v>NSW</c:v>
                </c:pt>
                <c:pt idx="1">
                  <c:v>VIC</c:v>
                </c:pt>
                <c:pt idx="2">
                  <c:v>QLD</c:v>
                </c:pt>
                <c:pt idx="3">
                  <c:v>WA</c:v>
                </c:pt>
                <c:pt idx="4">
                  <c:v>SA</c:v>
                </c:pt>
                <c:pt idx="5">
                  <c:v>TAS</c:v>
                </c:pt>
                <c:pt idx="6">
                  <c:v>ACT</c:v>
                </c:pt>
                <c:pt idx="7">
                  <c:v>NT</c:v>
                </c:pt>
                <c:pt idx="8">
                  <c:v>National</c:v>
                </c:pt>
              </c:strCache>
            </c:strRef>
          </c:cat>
          <c:val>
            <c:numRef>
              <c:f>Expenditure!$D$5:$D$13</c:f>
              <c:numCache>
                <c:formatCode>0.0</c:formatCode>
                <c:ptCount val="9"/>
                <c:pt idx="0">
                  <c:v>102.61</c:v>
                </c:pt>
                <c:pt idx="1">
                  <c:v>56.52</c:v>
                </c:pt>
                <c:pt idx="2">
                  <c:v>80.75</c:v>
                </c:pt>
                <c:pt idx="3">
                  <c:v>107.13</c:v>
                </c:pt>
                <c:pt idx="4">
                  <c:v>83.48</c:v>
                </c:pt>
                <c:pt idx="5">
                  <c:v>79.209999999999994</c:v>
                </c:pt>
                <c:pt idx="6">
                  <c:v>52.39</c:v>
                </c:pt>
                <c:pt idx="7">
                  <c:v>68.77</c:v>
                </c:pt>
                <c:pt idx="8">
                  <c:v>84.149999999999991</c:v>
                </c:pt>
              </c:numCache>
            </c:numRef>
          </c:val>
        </c:ser>
        <c:ser>
          <c:idx val="3"/>
          <c:order val="3"/>
          <c:tx>
            <c:strRef>
              <c:f>Expenditure!$E$4</c:f>
              <c:strCache>
                <c:ptCount val="1"/>
                <c:pt idx="0">
                  <c:v>Grants to non-government organisations</c:v>
                </c:pt>
              </c:strCache>
            </c:strRef>
          </c:tx>
          <c:spPr>
            <a:solidFill>
              <a:srgbClr val="D1D3D4"/>
            </a:solidFill>
            <a:ln>
              <a:noFill/>
            </a:ln>
            <a:effectLst/>
          </c:spPr>
          <c:invertIfNegative val="0"/>
          <c:dLbls>
            <c:numFmt formatCode="#,##0.00" sourceLinked="0"/>
            <c:txPr>
              <a:bodyPr rot="-5400000" vert="horz"/>
              <a:lstStyle/>
              <a:p>
                <a:pPr>
                  <a:defRPr/>
                </a:pPr>
                <a:endParaRPr lang="en-US"/>
              </a:p>
            </c:txPr>
            <c:showLegendKey val="0"/>
            <c:showVal val="1"/>
            <c:showCatName val="0"/>
            <c:showSerName val="0"/>
            <c:showPercent val="0"/>
            <c:showBubbleSize val="0"/>
            <c:showLeaderLines val="0"/>
          </c:dLbls>
          <c:cat>
            <c:strRef>
              <c:f>Expenditure!$A$5:$A$13</c:f>
              <c:strCache>
                <c:ptCount val="9"/>
                <c:pt idx="0">
                  <c:v>NSW</c:v>
                </c:pt>
                <c:pt idx="1">
                  <c:v>VIC</c:v>
                </c:pt>
                <c:pt idx="2">
                  <c:v>QLD</c:v>
                </c:pt>
                <c:pt idx="3">
                  <c:v>WA</c:v>
                </c:pt>
                <c:pt idx="4">
                  <c:v>SA</c:v>
                </c:pt>
                <c:pt idx="5">
                  <c:v>TAS</c:v>
                </c:pt>
                <c:pt idx="6">
                  <c:v>ACT</c:v>
                </c:pt>
                <c:pt idx="7">
                  <c:v>NT</c:v>
                </c:pt>
                <c:pt idx="8">
                  <c:v>National</c:v>
                </c:pt>
              </c:strCache>
            </c:strRef>
          </c:cat>
          <c:val>
            <c:numRef>
              <c:f>Expenditure!$E$5:$E$13</c:f>
              <c:numCache>
                <c:formatCode>0.0</c:formatCode>
                <c:ptCount val="9"/>
                <c:pt idx="0">
                  <c:v>9.3753647124499544</c:v>
                </c:pt>
                <c:pt idx="1">
                  <c:v>14.989641197221916</c:v>
                </c:pt>
                <c:pt idx="2">
                  <c:v>15.36128706142045</c:v>
                </c:pt>
                <c:pt idx="3">
                  <c:v>13.305493692476754</c:v>
                </c:pt>
                <c:pt idx="4">
                  <c:v>20.32126413779994</c:v>
                </c:pt>
                <c:pt idx="5">
                  <c:v>12.708133476032748</c:v>
                </c:pt>
                <c:pt idx="6">
                  <c:v>28.382545830940945</c:v>
                </c:pt>
                <c:pt idx="7">
                  <c:v>15.344242429451118</c:v>
                </c:pt>
                <c:pt idx="8">
                  <c:v>13.635640252257023</c:v>
                </c:pt>
              </c:numCache>
            </c:numRef>
          </c:val>
        </c:ser>
        <c:dLbls>
          <c:showLegendKey val="0"/>
          <c:showVal val="1"/>
          <c:showCatName val="0"/>
          <c:showSerName val="0"/>
          <c:showPercent val="0"/>
          <c:showBubbleSize val="0"/>
        </c:dLbls>
        <c:gapWidth val="150"/>
        <c:axId val="116470144"/>
        <c:axId val="116471680"/>
      </c:barChart>
      <c:catAx>
        <c:axId val="116470144"/>
        <c:scaling>
          <c:orientation val="minMax"/>
        </c:scaling>
        <c:delete val="0"/>
        <c:axPos val="b"/>
        <c:majorTickMark val="none"/>
        <c:minorTickMark val="none"/>
        <c:tickLblPos val="nextTo"/>
        <c:crossAx val="116471680"/>
        <c:crosses val="autoZero"/>
        <c:auto val="1"/>
        <c:lblAlgn val="ctr"/>
        <c:lblOffset val="100"/>
        <c:noMultiLvlLbl val="0"/>
      </c:catAx>
      <c:valAx>
        <c:axId val="116471680"/>
        <c:scaling>
          <c:orientation val="minMax"/>
        </c:scaling>
        <c:delete val="0"/>
        <c:axPos val="l"/>
        <c:title>
          <c:tx>
            <c:rich>
              <a:bodyPr rot="-5400000" vert="horz"/>
              <a:lstStyle/>
              <a:p>
                <a:pPr>
                  <a:defRPr/>
                </a:pPr>
                <a:r>
                  <a:rPr lang="en-US"/>
                  <a:t>Per capita expenditure, $</a:t>
                </a:r>
              </a:p>
            </c:rich>
          </c:tx>
          <c:layout>
            <c:manualLayout>
              <c:xMode val="edge"/>
              <c:yMode val="edge"/>
              <c:x val="3.5206060527442312E-3"/>
              <c:y val="0.13581678112604306"/>
            </c:manualLayout>
          </c:layout>
          <c:overlay val="0"/>
        </c:title>
        <c:numFmt formatCode="0.00" sourceLinked="0"/>
        <c:majorTickMark val="out"/>
        <c:minorTickMark val="none"/>
        <c:tickLblPos val="nextTo"/>
        <c:crossAx val="116470144"/>
        <c:crosses val="autoZero"/>
        <c:crossBetween val="between"/>
      </c:valAx>
    </c:plotArea>
    <c:legend>
      <c:legendPos val="r"/>
      <c:layout>
        <c:manualLayout>
          <c:xMode val="edge"/>
          <c:yMode val="edge"/>
          <c:x val="1.2098016903989893E-2"/>
          <c:y val="0.85305819531179305"/>
          <c:w val="0.97596538208891903"/>
          <c:h val="0.12670648927504799"/>
        </c:manualLayout>
      </c:layout>
      <c:overlay val="0"/>
    </c:legend>
    <c:plotVisOnly val="1"/>
    <c:dispBlanksAs val="gap"/>
    <c:showDLblsOverMax val="0"/>
  </c:chart>
  <c:spPr>
    <a:ln>
      <a:noFill/>
    </a:ln>
  </c:spPr>
  <c:txPr>
    <a:bodyPr/>
    <a:lstStyle/>
    <a:p>
      <a:pPr>
        <a:defRPr>
          <a:latin typeface="+mn-lt"/>
        </a:defRPr>
      </a:pPr>
      <a:endParaRPr lang="en-US"/>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3"/>
    </mc:Choice>
    <mc:Fallback>
      <c:style val="3"/>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2000434428455105"/>
          <c:y val="2.87438461197972E-2"/>
          <c:w val="0.87250656167979002"/>
          <c:h val="0.75770884666899563"/>
        </c:manualLayout>
      </c:layout>
      <c:barChart>
        <c:barDir val="col"/>
        <c:grouping val="clustered"/>
        <c:varyColors val="0"/>
        <c:ser>
          <c:idx val="0"/>
          <c:order val="0"/>
          <c:tx>
            <c:strRef>
              <c:f>'Updated figures'!$C$6</c:f>
              <c:strCache>
                <c:ptCount val="1"/>
                <c:pt idx="0">
                  <c:v>Psychiatrist</c:v>
                </c:pt>
              </c:strCache>
            </c:strRef>
          </c:tx>
          <c:spPr>
            <a:solidFill>
              <a:srgbClr val="2F3490"/>
            </a:solidFill>
            <a:ln>
              <a:noFill/>
            </a:ln>
            <a:effectLst/>
          </c:spPr>
          <c:invertIfNegative val="0"/>
          <c:dLbls>
            <c:txPr>
              <a:bodyPr rot="-5400000" vert="horz"/>
              <a:lstStyle/>
              <a:p>
                <a:pPr>
                  <a:defRPr/>
                </a:pPr>
                <a:endParaRPr lang="en-US"/>
              </a:p>
            </c:txPr>
            <c:showLegendKey val="0"/>
            <c:showVal val="1"/>
            <c:showCatName val="0"/>
            <c:showSerName val="0"/>
            <c:showPercent val="0"/>
            <c:showBubbleSize val="0"/>
            <c:showLeaderLines val="0"/>
          </c:dLbls>
          <c:cat>
            <c:strRef>
              <c:f>'Updated figures'!$D$5:$L$5</c:f>
              <c:strCache>
                <c:ptCount val="9"/>
                <c:pt idx="0">
                  <c:v>NSW</c:v>
                </c:pt>
                <c:pt idx="1">
                  <c:v>Vic</c:v>
                </c:pt>
                <c:pt idx="2">
                  <c:v>Qld</c:v>
                </c:pt>
                <c:pt idx="3">
                  <c:v>WA</c:v>
                </c:pt>
                <c:pt idx="4">
                  <c:v>SA</c:v>
                </c:pt>
                <c:pt idx="5">
                  <c:v>Tas</c:v>
                </c:pt>
                <c:pt idx="6">
                  <c:v>ACT</c:v>
                </c:pt>
                <c:pt idx="7">
                  <c:v>NT</c:v>
                </c:pt>
                <c:pt idx="8">
                  <c:v>National total</c:v>
                </c:pt>
              </c:strCache>
            </c:strRef>
          </c:cat>
          <c:val>
            <c:numRef>
              <c:f>'Updated figures'!$D$6:$L$6</c:f>
              <c:numCache>
                <c:formatCode>#,##0.00</c:formatCode>
                <c:ptCount val="9"/>
                <c:pt idx="0">
                  <c:v>12.85227866153039</c:v>
                </c:pt>
                <c:pt idx="1">
                  <c:v>16.219878994803157</c:v>
                </c:pt>
                <c:pt idx="2">
                  <c:v>12.062873242829003</c:v>
                </c:pt>
                <c:pt idx="3">
                  <c:v>7.1762311786509683</c:v>
                </c:pt>
                <c:pt idx="4">
                  <c:v>13.749323767393642</c:v>
                </c:pt>
                <c:pt idx="5">
                  <c:v>8.5873306205405484</c:v>
                </c:pt>
                <c:pt idx="6">
                  <c:v>6.9762105894004014</c:v>
                </c:pt>
                <c:pt idx="7">
                  <c:v>1.5633483517555551</c:v>
                </c:pt>
                <c:pt idx="8">
                  <c:v>12.669460817687707</c:v>
                </c:pt>
              </c:numCache>
            </c:numRef>
          </c:val>
        </c:ser>
        <c:ser>
          <c:idx val="1"/>
          <c:order val="1"/>
          <c:tx>
            <c:strRef>
              <c:f>'Updated figures'!$C$7</c:f>
              <c:strCache>
                <c:ptCount val="1"/>
                <c:pt idx="0">
                  <c:v>General practitioner</c:v>
                </c:pt>
              </c:strCache>
            </c:strRef>
          </c:tx>
          <c:spPr>
            <a:solidFill>
              <a:srgbClr val="2D5EA8"/>
            </a:solidFill>
            <a:ln>
              <a:noFill/>
            </a:ln>
            <a:effectLst/>
          </c:spPr>
          <c:invertIfNegative val="0"/>
          <c:dLbls>
            <c:txPr>
              <a:bodyPr rot="-5400000" vert="horz"/>
              <a:lstStyle/>
              <a:p>
                <a:pPr>
                  <a:defRPr/>
                </a:pPr>
                <a:endParaRPr lang="en-US"/>
              </a:p>
            </c:txPr>
            <c:showLegendKey val="0"/>
            <c:showVal val="1"/>
            <c:showCatName val="0"/>
            <c:showSerName val="0"/>
            <c:showPercent val="0"/>
            <c:showBubbleSize val="0"/>
            <c:showLeaderLines val="0"/>
          </c:dLbls>
          <c:cat>
            <c:strRef>
              <c:f>'Updated figures'!$D$5:$L$5</c:f>
              <c:strCache>
                <c:ptCount val="9"/>
                <c:pt idx="0">
                  <c:v>NSW</c:v>
                </c:pt>
                <c:pt idx="1">
                  <c:v>Vic</c:v>
                </c:pt>
                <c:pt idx="2">
                  <c:v>Qld</c:v>
                </c:pt>
                <c:pt idx="3">
                  <c:v>WA</c:v>
                </c:pt>
                <c:pt idx="4">
                  <c:v>SA</c:v>
                </c:pt>
                <c:pt idx="5">
                  <c:v>Tas</c:v>
                </c:pt>
                <c:pt idx="6">
                  <c:v>ACT</c:v>
                </c:pt>
                <c:pt idx="7">
                  <c:v>NT</c:v>
                </c:pt>
                <c:pt idx="8">
                  <c:v>National total</c:v>
                </c:pt>
              </c:strCache>
            </c:strRef>
          </c:cat>
          <c:val>
            <c:numRef>
              <c:f>'Updated figures'!$D$7:$L$7</c:f>
              <c:numCache>
                <c:formatCode>#,##0.00</c:formatCode>
                <c:ptCount val="9"/>
                <c:pt idx="0">
                  <c:v>8.5516821314673646</c:v>
                </c:pt>
                <c:pt idx="1">
                  <c:v>9.4978002333553224</c:v>
                </c:pt>
                <c:pt idx="2">
                  <c:v>8.1176296593715449</c:v>
                </c:pt>
                <c:pt idx="3">
                  <c:v>5.6868048755323919</c:v>
                </c:pt>
                <c:pt idx="4">
                  <c:v>7.5953457324426994</c:v>
                </c:pt>
                <c:pt idx="5">
                  <c:v>6.5775855825782745</c:v>
                </c:pt>
                <c:pt idx="6">
                  <c:v>6.3533402337507967</c:v>
                </c:pt>
                <c:pt idx="7">
                  <c:v>3.668396654015424</c:v>
                </c:pt>
                <c:pt idx="8">
                  <c:v>8.1879811449353959</c:v>
                </c:pt>
              </c:numCache>
            </c:numRef>
          </c:val>
        </c:ser>
        <c:ser>
          <c:idx val="2"/>
          <c:order val="2"/>
          <c:tx>
            <c:strRef>
              <c:f>'Updated figures'!$C$8</c:f>
              <c:strCache>
                <c:ptCount val="1"/>
                <c:pt idx="0">
                  <c:v>Clinical psychologist</c:v>
                </c:pt>
              </c:strCache>
            </c:strRef>
          </c:tx>
          <c:spPr>
            <a:solidFill>
              <a:srgbClr val="72D0F4"/>
            </a:solidFill>
            <a:ln>
              <a:noFill/>
            </a:ln>
            <a:effectLst/>
          </c:spPr>
          <c:invertIfNegative val="0"/>
          <c:dLbls>
            <c:txPr>
              <a:bodyPr rot="-5400000" vert="horz"/>
              <a:lstStyle/>
              <a:p>
                <a:pPr>
                  <a:defRPr/>
                </a:pPr>
                <a:endParaRPr lang="en-US"/>
              </a:p>
            </c:txPr>
            <c:showLegendKey val="0"/>
            <c:showVal val="1"/>
            <c:showCatName val="0"/>
            <c:showSerName val="0"/>
            <c:showPercent val="0"/>
            <c:showBubbleSize val="0"/>
            <c:showLeaderLines val="0"/>
          </c:dLbls>
          <c:cat>
            <c:strRef>
              <c:f>'Updated figures'!$D$5:$L$5</c:f>
              <c:strCache>
                <c:ptCount val="9"/>
                <c:pt idx="0">
                  <c:v>NSW</c:v>
                </c:pt>
                <c:pt idx="1">
                  <c:v>Vic</c:v>
                </c:pt>
                <c:pt idx="2">
                  <c:v>Qld</c:v>
                </c:pt>
                <c:pt idx="3">
                  <c:v>WA</c:v>
                </c:pt>
                <c:pt idx="4">
                  <c:v>SA</c:v>
                </c:pt>
                <c:pt idx="5">
                  <c:v>Tas</c:v>
                </c:pt>
                <c:pt idx="6">
                  <c:v>ACT</c:v>
                </c:pt>
                <c:pt idx="7">
                  <c:v>NT</c:v>
                </c:pt>
                <c:pt idx="8">
                  <c:v>National total</c:v>
                </c:pt>
              </c:strCache>
            </c:strRef>
          </c:cat>
          <c:val>
            <c:numRef>
              <c:f>'Updated figures'!$D$8:$L$8</c:f>
              <c:numCache>
                <c:formatCode>#,##0.00</c:formatCode>
                <c:ptCount val="9"/>
                <c:pt idx="0">
                  <c:v>8.1597816035588142</c:v>
                </c:pt>
                <c:pt idx="1">
                  <c:v>9.2099330513490845</c:v>
                </c:pt>
                <c:pt idx="2">
                  <c:v>6.4647607028311036</c:v>
                </c:pt>
                <c:pt idx="3">
                  <c:v>9.1385673339926186</c:v>
                </c:pt>
                <c:pt idx="4">
                  <c:v>10.1520163846951</c:v>
                </c:pt>
                <c:pt idx="5">
                  <c:v>10.536726298416003</c:v>
                </c:pt>
                <c:pt idx="6">
                  <c:v>9.8823288426400229</c:v>
                </c:pt>
                <c:pt idx="7">
                  <c:v>1.7288433440806519</c:v>
                </c:pt>
                <c:pt idx="8">
                  <c:v>8.343280391103173</c:v>
                </c:pt>
              </c:numCache>
            </c:numRef>
          </c:val>
        </c:ser>
        <c:ser>
          <c:idx val="3"/>
          <c:order val="3"/>
          <c:tx>
            <c:strRef>
              <c:f>'Updated figures'!$C$9</c:f>
              <c:strCache>
                <c:ptCount val="1"/>
                <c:pt idx="0">
                  <c:v>Other psychologist</c:v>
                </c:pt>
              </c:strCache>
            </c:strRef>
          </c:tx>
          <c:spPr>
            <a:solidFill>
              <a:srgbClr val="D1D3D4"/>
            </a:solidFill>
            <a:ln>
              <a:noFill/>
            </a:ln>
            <a:effectLst/>
          </c:spPr>
          <c:invertIfNegative val="0"/>
          <c:dLbls>
            <c:txPr>
              <a:bodyPr rot="-5400000" vert="horz"/>
              <a:lstStyle/>
              <a:p>
                <a:pPr>
                  <a:defRPr/>
                </a:pPr>
                <a:endParaRPr lang="en-US"/>
              </a:p>
            </c:txPr>
            <c:showLegendKey val="0"/>
            <c:showVal val="1"/>
            <c:showCatName val="0"/>
            <c:showSerName val="0"/>
            <c:showPercent val="0"/>
            <c:showBubbleSize val="0"/>
            <c:showLeaderLines val="0"/>
          </c:dLbls>
          <c:cat>
            <c:strRef>
              <c:f>'Updated figures'!$D$5:$L$5</c:f>
              <c:strCache>
                <c:ptCount val="9"/>
                <c:pt idx="0">
                  <c:v>NSW</c:v>
                </c:pt>
                <c:pt idx="1">
                  <c:v>Vic</c:v>
                </c:pt>
                <c:pt idx="2">
                  <c:v>Qld</c:v>
                </c:pt>
                <c:pt idx="3">
                  <c:v>WA</c:v>
                </c:pt>
                <c:pt idx="4">
                  <c:v>SA</c:v>
                </c:pt>
                <c:pt idx="5">
                  <c:v>Tas</c:v>
                </c:pt>
                <c:pt idx="6">
                  <c:v>ACT</c:v>
                </c:pt>
                <c:pt idx="7">
                  <c:v>NT</c:v>
                </c:pt>
                <c:pt idx="8">
                  <c:v>National total</c:v>
                </c:pt>
              </c:strCache>
            </c:strRef>
          </c:cat>
          <c:val>
            <c:numRef>
              <c:f>'Updated figures'!$D$9:$L$9</c:f>
              <c:numCache>
                <c:formatCode>#,##0.00</c:formatCode>
                <c:ptCount val="9"/>
                <c:pt idx="0">
                  <c:v>8.5932346672971232</c:v>
                </c:pt>
                <c:pt idx="1">
                  <c:v>10.6846339651244</c:v>
                </c:pt>
                <c:pt idx="2">
                  <c:v>8.3789484186718131</c:v>
                </c:pt>
                <c:pt idx="3">
                  <c:v>4.0003402882257095</c:v>
                </c:pt>
                <c:pt idx="4">
                  <c:v>4.3806174943258167</c:v>
                </c:pt>
                <c:pt idx="5">
                  <c:v>5.7464549327606589</c:v>
                </c:pt>
                <c:pt idx="6">
                  <c:v>6.7267176085657878</c:v>
                </c:pt>
                <c:pt idx="7">
                  <c:v>2.6774537319633942</c:v>
                </c:pt>
                <c:pt idx="8">
                  <c:v>8.1102123565423927</c:v>
                </c:pt>
              </c:numCache>
            </c:numRef>
          </c:val>
        </c:ser>
        <c:ser>
          <c:idx val="4"/>
          <c:order val="4"/>
          <c:tx>
            <c:strRef>
              <c:f>'Updated figures'!$C$10</c:f>
              <c:strCache>
                <c:ptCount val="1"/>
                <c:pt idx="0">
                  <c:v>Other allied health</c:v>
                </c:pt>
              </c:strCache>
            </c:strRef>
          </c:tx>
          <c:spPr>
            <a:solidFill>
              <a:srgbClr val="B9E6FB"/>
            </a:solidFill>
            <a:ln>
              <a:noFill/>
            </a:ln>
            <a:effectLst/>
          </c:spPr>
          <c:invertIfNegative val="0"/>
          <c:dLbls>
            <c:txPr>
              <a:bodyPr rot="-5400000" vert="horz"/>
              <a:lstStyle/>
              <a:p>
                <a:pPr>
                  <a:defRPr/>
                </a:pPr>
                <a:endParaRPr lang="en-US"/>
              </a:p>
            </c:txPr>
            <c:showLegendKey val="0"/>
            <c:showVal val="1"/>
            <c:showCatName val="0"/>
            <c:showSerName val="0"/>
            <c:showPercent val="0"/>
            <c:showBubbleSize val="0"/>
            <c:showLeaderLines val="0"/>
          </c:dLbls>
          <c:cat>
            <c:strRef>
              <c:f>'Updated figures'!$D$5:$L$5</c:f>
              <c:strCache>
                <c:ptCount val="9"/>
                <c:pt idx="0">
                  <c:v>NSW</c:v>
                </c:pt>
                <c:pt idx="1">
                  <c:v>Vic</c:v>
                </c:pt>
                <c:pt idx="2">
                  <c:v>Qld</c:v>
                </c:pt>
                <c:pt idx="3">
                  <c:v>WA</c:v>
                </c:pt>
                <c:pt idx="4">
                  <c:v>SA</c:v>
                </c:pt>
                <c:pt idx="5">
                  <c:v>Tas</c:v>
                </c:pt>
                <c:pt idx="6">
                  <c:v>ACT</c:v>
                </c:pt>
                <c:pt idx="7">
                  <c:v>NT</c:v>
                </c:pt>
                <c:pt idx="8">
                  <c:v>National total</c:v>
                </c:pt>
              </c:strCache>
            </c:strRef>
          </c:cat>
          <c:val>
            <c:numRef>
              <c:f>'Updated figures'!$D$10:$L$10</c:f>
              <c:numCache>
                <c:formatCode>#,##0.00</c:formatCode>
                <c:ptCount val="9"/>
                <c:pt idx="0">
                  <c:v>0.80481888078010499</c:v>
                </c:pt>
                <c:pt idx="1">
                  <c:v>1.269477681246602</c:v>
                </c:pt>
                <c:pt idx="2">
                  <c:v>0.61185119230611829</c:v>
                </c:pt>
                <c:pt idx="3">
                  <c:v>0.49889262900739512</c:v>
                </c:pt>
                <c:pt idx="4">
                  <c:v>1.1413410495223779</c:v>
                </c:pt>
                <c:pt idx="5">
                  <c:v>0.75452499355082625</c:v>
                </c:pt>
                <c:pt idx="6">
                  <c:v>0.554392382158296</c:v>
                </c:pt>
                <c:pt idx="7">
                  <c:v>0.10137997337400598</c:v>
                </c:pt>
                <c:pt idx="8">
                  <c:v>0.85992291842896318</c:v>
                </c:pt>
              </c:numCache>
            </c:numRef>
          </c:val>
        </c:ser>
        <c:dLbls>
          <c:showLegendKey val="0"/>
          <c:showVal val="0"/>
          <c:showCatName val="0"/>
          <c:showSerName val="0"/>
          <c:showPercent val="0"/>
          <c:showBubbleSize val="0"/>
        </c:dLbls>
        <c:gapWidth val="150"/>
        <c:axId val="116411392"/>
        <c:axId val="116421376"/>
      </c:barChart>
      <c:catAx>
        <c:axId val="116411392"/>
        <c:scaling>
          <c:orientation val="minMax"/>
        </c:scaling>
        <c:delete val="0"/>
        <c:axPos val="b"/>
        <c:majorTickMark val="none"/>
        <c:minorTickMark val="none"/>
        <c:tickLblPos val="nextTo"/>
        <c:crossAx val="116421376"/>
        <c:crosses val="autoZero"/>
        <c:auto val="1"/>
        <c:lblAlgn val="ctr"/>
        <c:lblOffset val="100"/>
        <c:noMultiLvlLbl val="0"/>
      </c:catAx>
      <c:valAx>
        <c:axId val="116421376"/>
        <c:scaling>
          <c:orientation val="minMax"/>
          <c:max val="20"/>
        </c:scaling>
        <c:delete val="0"/>
        <c:axPos val="l"/>
        <c:title>
          <c:tx>
            <c:rich>
              <a:bodyPr rot="-5400000" vert="horz"/>
              <a:lstStyle/>
              <a:p>
                <a:pPr>
                  <a:defRPr sz="1000"/>
                </a:pPr>
                <a:r>
                  <a:rPr lang="en-US" sz="1000"/>
                  <a:t>Per capita expenditure, $</a:t>
                </a:r>
              </a:p>
            </c:rich>
          </c:tx>
          <c:layout>
            <c:manualLayout>
              <c:xMode val="edge"/>
              <c:yMode val="edge"/>
              <c:x val="8.7142593066310301E-4"/>
              <c:y val="0.23767527185272999"/>
            </c:manualLayout>
          </c:layout>
          <c:overlay val="0"/>
        </c:title>
        <c:numFmt formatCode="#,##0.00" sourceLinked="1"/>
        <c:majorTickMark val="out"/>
        <c:minorTickMark val="none"/>
        <c:tickLblPos val="nextTo"/>
        <c:crossAx val="116411392"/>
        <c:crosses val="autoZero"/>
        <c:crossBetween val="between"/>
      </c:valAx>
    </c:plotArea>
    <c:legend>
      <c:legendPos val="r"/>
      <c:layout>
        <c:manualLayout>
          <c:xMode val="edge"/>
          <c:yMode val="edge"/>
          <c:x val="2.2827550279240907E-2"/>
          <c:y val="0.88472690132971399"/>
          <c:w val="0.96198551420105005"/>
          <c:h val="7.888704730147332E-2"/>
        </c:manualLayout>
      </c:layout>
      <c:overlay val="0"/>
    </c:legend>
    <c:plotVisOnly val="1"/>
    <c:dispBlanksAs val="gap"/>
    <c:showDLblsOverMax val="0"/>
  </c:chart>
  <c:spPr>
    <a:ln>
      <a:noFill/>
    </a:ln>
  </c:spPr>
  <c:txPr>
    <a:bodyPr/>
    <a:lstStyle/>
    <a:p>
      <a:pPr>
        <a:defRPr sz="800" baseline="0">
          <a:latin typeface="Calibri"/>
          <a:cs typeface="Calibri"/>
        </a:defRPr>
      </a:pPr>
      <a:endParaRPr lang="en-US"/>
    </a:p>
  </c:txPr>
  <c:externalData r:id="rId2">
    <c:autoUpdate val="0"/>
  </c:externalData>
  <c:userShapes r:id="rId3"/>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3"/>
    </mc:Choice>
    <mc:Fallback>
      <c:style val="3"/>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1069561440961403"/>
          <c:y val="7.5047799979230723E-2"/>
          <c:w val="0.88768010642840023"/>
          <c:h val="0.71528377610673"/>
        </c:manualLayout>
      </c:layout>
      <c:barChart>
        <c:barDir val="col"/>
        <c:grouping val="clustered"/>
        <c:varyColors val="0"/>
        <c:ser>
          <c:idx val="0"/>
          <c:order val="0"/>
          <c:tx>
            <c:strRef>
              <c:f>'Updated figures'!$C$36</c:f>
              <c:strCache>
                <c:ptCount val="1"/>
                <c:pt idx="0">
                  <c:v>Psychiatrist</c:v>
                </c:pt>
              </c:strCache>
            </c:strRef>
          </c:tx>
          <c:spPr>
            <a:solidFill>
              <a:srgbClr val="2F3490"/>
            </a:solidFill>
            <a:ln>
              <a:noFill/>
            </a:ln>
            <a:effectLst/>
          </c:spPr>
          <c:invertIfNegative val="0"/>
          <c:dLbls>
            <c:txPr>
              <a:bodyPr rot="-5400000" vert="horz"/>
              <a:lstStyle/>
              <a:p>
                <a:pPr>
                  <a:defRPr/>
                </a:pPr>
                <a:endParaRPr lang="en-US"/>
              </a:p>
            </c:txPr>
            <c:showLegendKey val="0"/>
            <c:showVal val="1"/>
            <c:showCatName val="0"/>
            <c:showSerName val="0"/>
            <c:showPercent val="0"/>
            <c:showBubbleSize val="0"/>
            <c:showLeaderLines val="0"/>
          </c:dLbls>
          <c:cat>
            <c:strRef>
              <c:f>'Updated figures'!$D$35:$H$35</c:f>
              <c:strCache>
                <c:ptCount val="5"/>
                <c:pt idx="0">
                  <c:v>Major cities</c:v>
                </c:pt>
                <c:pt idx="1">
                  <c:v>Inner regional</c:v>
                </c:pt>
                <c:pt idx="2">
                  <c:v>Outer regional</c:v>
                </c:pt>
                <c:pt idx="3">
                  <c:v>Remote</c:v>
                </c:pt>
                <c:pt idx="4">
                  <c:v>Very remote</c:v>
                </c:pt>
              </c:strCache>
            </c:strRef>
          </c:cat>
          <c:val>
            <c:numRef>
              <c:f>'Updated figures'!$D$36:$H$36</c:f>
              <c:numCache>
                <c:formatCode>#,##0.00</c:formatCode>
                <c:ptCount val="5"/>
                <c:pt idx="0">
                  <c:v>17.08040538682841</c:v>
                </c:pt>
                <c:pt idx="1">
                  <c:v>8.5051564636868093</c:v>
                </c:pt>
                <c:pt idx="2">
                  <c:v>4.1569514207304259</c:v>
                </c:pt>
                <c:pt idx="3">
                  <c:v>2.4070628235689293</c:v>
                </c:pt>
                <c:pt idx="4">
                  <c:v>1.5990691886369199</c:v>
                </c:pt>
              </c:numCache>
            </c:numRef>
          </c:val>
        </c:ser>
        <c:ser>
          <c:idx val="1"/>
          <c:order val="1"/>
          <c:tx>
            <c:strRef>
              <c:f>'Updated figures'!$C$37</c:f>
              <c:strCache>
                <c:ptCount val="1"/>
                <c:pt idx="0">
                  <c:v>General practitioner</c:v>
                </c:pt>
              </c:strCache>
            </c:strRef>
          </c:tx>
          <c:spPr>
            <a:solidFill>
              <a:srgbClr val="2D5EA8"/>
            </a:solidFill>
            <a:ln>
              <a:noFill/>
            </a:ln>
            <a:effectLst/>
          </c:spPr>
          <c:invertIfNegative val="0"/>
          <c:dLbls>
            <c:txPr>
              <a:bodyPr rot="-5400000" vert="horz"/>
              <a:lstStyle/>
              <a:p>
                <a:pPr>
                  <a:defRPr/>
                </a:pPr>
                <a:endParaRPr lang="en-US"/>
              </a:p>
            </c:txPr>
            <c:showLegendKey val="0"/>
            <c:showVal val="1"/>
            <c:showCatName val="0"/>
            <c:showSerName val="0"/>
            <c:showPercent val="0"/>
            <c:showBubbleSize val="0"/>
            <c:showLeaderLines val="0"/>
          </c:dLbls>
          <c:cat>
            <c:strRef>
              <c:f>'Updated figures'!$D$35:$H$35</c:f>
              <c:strCache>
                <c:ptCount val="5"/>
                <c:pt idx="0">
                  <c:v>Major cities</c:v>
                </c:pt>
                <c:pt idx="1">
                  <c:v>Inner regional</c:v>
                </c:pt>
                <c:pt idx="2">
                  <c:v>Outer regional</c:v>
                </c:pt>
                <c:pt idx="3">
                  <c:v>Remote</c:v>
                </c:pt>
                <c:pt idx="4">
                  <c:v>Very remote</c:v>
                </c:pt>
              </c:strCache>
            </c:strRef>
          </c:cat>
          <c:val>
            <c:numRef>
              <c:f>'Updated figures'!$D$37:$H$37</c:f>
              <c:numCache>
                <c:formatCode>#,##0.00</c:formatCode>
                <c:ptCount val="5"/>
                <c:pt idx="0">
                  <c:v>9.4869655168582288</c:v>
                </c:pt>
                <c:pt idx="1">
                  <c:v>9.5002699430791679</c:v>
                </c:pt>
                <c:pt idx="2">
                  <c:v>6.4425157743418557</c:v>
                </c:pt>
                <c:pt idx="3">
                  <c:v>3.382059851671555</c:v>
                </c:pt>
                <c:pt idx="4">
                  <c:v>1.7624226891228578</c:v>
                </c:pt>
              </c:numCache>
            </c:numRef>
          </c:val>
        </c:ser>
        <c:ser>
          <c:idx val="2"/>
          <c:order val="2"/>
          <c:tx>
            <c:strRef>
              <c:f>'Updated figures'!$C$38</c:f>
              <c:strCache>
                <c:ptCount val="1"/>
                <c:pt idx="0">
                  <c:v>Clinical psychologist</c:v>
                </c:pt>
              </c:strCache>
            </c:strRef>
          </c:tx>
          <c:spPr>
            <a:solidFill>
              <a:srgbClr val="72D0F4"/>
            </a:solidFill>
            <a:ln>
              <a:noFill/>
            </a:ln>
            <a:effectLst/>
          </c:spPr>
          <c:invertIfNegative val="0"/>
          <c:dLbls>
            <c:txPr>
              <a:bodyPr rot="-5400000" vert="horz"/>
              <a:lstStyle/>
              <a:p>
                <a:pPr>
                  <a:defRPr/>
                </a:pPr>
                <a:endParaRPr lang="en-US"/>
              </a:p>
            </c:txPr>
            <c:showLegendKey val="0"/>
            <c:showVal val="1"/>
            <c:showCatName val="0"/>
            <c:showSerName val="0"/>
            <c:showPercent val="0"/>
            <c:showBubbleSize val="0"/>
            <c:showLeaderLines val="0"/>
          </c:dLbls>
          <c:cat>
            <c:strRef>
              <c:f>'Updated figures'!$D$35:$H$35</c:f>
              <c:strCache>
                <c:ptCount val="5"/>
                <c:pt idx="0">
                  <c:v>Major cities</c:v>
                </c:pt>
                <c:pt idx="1">
                  <c:v>Inner regional</c:v>
                </c:pt>
                <c:pt idx="2">
                  <c:v>Outer regional</c:v>
                </c:pt>
                <c:pt idx="3">
                  <c:v>Remote</c:v>
                </c:pt>
                <c:pt idx="4">
                  <c:v>Very remote</c:v>
                </c:pt>
              </c:strCache>
            </c:strRef>
          </c:cat>
          <c:val>
            <c:numRef>
              <c:f>'Updated figures'!$D$38:$H$38</c:f>
              <c:numCache>
                <c:formatCode>#,##0.00</c:formatCode>
                <c:ptCount val="5"/>
                <c:pt idx="0">
                  <c:v>10.76394298955225</c:v>
                </c:pt>
                <c:pt idx="1">
                  <c:v>7.0583927546370164</c:v>
                </c:pt>
                <c:pt idx="2">
                  <c:v>3.4406622181206532</c:v>
                </c:pt>
                <c:pt idx="3">
                  <c:v>1.8982085171756971</c:v>
                </c:pt>
                <c:pt idx="4">
                  <c:v>0.77586324437615395</c:v>
                </c:pt>
              </c:numCache>
            </c:numRef>
          </c:val>
        </c:ser>
        <c:ser>
          <c:idx val="3"/>
          <c:order val="3"/>
          <c:tx>
            <c:strRef>
              <c:f>'Updated figures'!$C$39</c:f>
              <c:strCache>
                <c:ptCount val="1"/>
                <c:pt idx="0">
                  <c:v>Other psychologist</c:v>
                </c:pt>
              </c:strCache>
            </c:strRef>
          </c:tx>
          <c:spPr>
            <a:solidFill>
              <a:srgbClr val="D1D3D4"/>
            </a:solidFill>
            <a:ln>
              <a:noFill/>
            </a:ln>
            <a:effectLst/>
          </c:spPr>
          <c:invertIfNegative val="0"/>
          <c:dLbls>
            <c:txPr>
              <a:bodyPr rot="-5400000" vert="horz"/>
              <a:lstStyle/>
              <a:p>
                <a:pPr>
                  <a:defRPr/>
                </a:pPr>
                <a:endParaRPr lang="en-US"/>
              </a:p>
            </c:txPr>
            <c:showLegendKey val="0"/>
            <c:showVal val="1"/>
            <c:showCatName val="0"/>
            <c:showSerName val="0"/>
            <c:showPercent val="0"/>
            <c:showBubbleSize val="0"/>
            <c:showLeaderLines val="0"/>
          </c:dLbls>
          <c:cat>
            <c:strRef>
              <c:f>'Updated figures'!$D$35:$H$35</c:f>
              <c:strCache>
                <c:ptCount val="5"/>
                <c:pt idx="0">
                  <c:v>Major cities</c:v>
                </c:pt>
                <c:pt idx="1">
                  <c:v>Inner regional</c:v>
                </c:pt>
                <c:pt idx="2">
                  <c:v>Outer regional</c:v>
                </c:pt>
                <c:pt idx="3">
                  <c:v>Remote</c:v>
                </c:pt>
                <c:pt idx="4">
                  <c:v>Very remote</c:v>
                </c:pt>
              </c:strCache>
            </c:strRef>
          </c:cat>
          <c:val>
            <c:numRef>
              <c:f>'Updated figures'!$D$39:$H$39</c:f>
              <c:numCache>
                <c:formatCode>#,##0.00</c:formatCode>
                <c:ptCount val="5"/>
                <c:pt idx="0">
                  <c:v>9.5333460874211422</c:v>
                </c:pt>
                <c:pt idx="1">
                  <c:v>9.3725258423071729</c:v>
                </c:pt>
                <c:pt idx="2">
                  <c:v>5.2441421926761498</c:v>
                </c:pt>
                <c:pt idx="3">
                  <c:v>1.7962437571519538</c:v>
                </c:pt>
                <c:pt idx="4">
                  <c:v>0.99907461819360721</c:v>
                </c:pt>
              </c:numCache>
            </c:numRef>
          </c:val>
        </c:ser>
        <c:ser>
          <c:idx val="4"/>
          <c:order val="4"/>
          <c:tx>
            <c:strRef>
              <c:f>'Updated figures'!$C$40</c:f>
              <c:strCache>
                <c:ptCount val="1"/>
                <c:pt idx="0">
                  <c:v>Other allied health</c:v>
                </c:pt>
              </c:strCache>
            </c:strRef>
          </c:tx>
          <c:spPr>
            <a:solidFill>
              <a:srgbClr val="B9E6FB"/>
            </a:solidFill>
            <a:ln>
              <a:noFill/>
            </a:ln>
            <a:effectLst/>
          </c:spPr>
          <c:invertIfNegative val="0"/>
          <c:dLbls>
            <c:txPr>
              <a:bodyPr rot="-5400000" vert="horz"/>
              <a:lstStyle/>
              <a:p>
                <a:pPr>
                  <a:defRPr/>
                </a:pPr>
                <a:endParaRPr lang="en-US"/>
              </a:p>
            </c:txPr>
            <c:showLegendKey val="0"/>
            <c:showVal val="1"/>
            <c:showCatName val="0"/>
            <c:showSerName val="0"/>
            <c:showPercent val="0"/>
            <c:showBubbleSize val="0"/>
            <c:showLeaderLines val="0"/>
          </c:dLbls>
          <c:cat>
            <c:strRef>
              <c:f>'Updated figures'!$D$35:$H$35</c:f>
              <c:strCache>
                <c:ptCount val="5"/>
                <c:pt idx="0">
                  <c:v>Major cities</c:v>
                </c:pt>
                <c:pt idx="1">
                  <c:v>Inner regional</c:v>
                </c:pt>
                <c:pt idx="2">
                  <c:v>Outer regional</c:v>
                </c:pt>
                <c:pt idx="3">
                  <c:v>Remote</c:v>
                </c:pt>
                <c:pt idx="4">
                  <c:v>Very remote</c:v>
                </c:pt>
              </c:strCache>
            </c:strRef>
          </c:cat>
          <c:val>
            <c:numRef>
              <c:f>'Updated figures'!$D$40:$H$40</c:f>
              <c:numCache>
                <c:formatCode>#,##0.00</c:formatCode>
                <c:ptCount val="5"/>
                <c:pt idx="0">
                  <c:v>0.96093228873938097</c:v>
                </c:pt>
                <c:pt idx="1">
                  <c:v>1.0623297274423686</c:v>
                </c:pt>
                <c:pt idx="2">
                  <c:v>0.79532250927475578</c:v>
                </c:pt>
                <c:pt idx="3">
                  <c:v>0.18430202452665001</c:v>
                </c:pt>
                <c:pt idx="4">
                  <c:v>7.8268923286639314E-2</c:v>
                </c:pt>
              </c:numCache>
            </c:numRef>
          </c:val>
        </c:ser>
        <c:dLbls>
          <c:showLegendKey val="0"/>
          <c:showVal val="0"/>
          <c:showCatName val="0"/>
          <c:showSerName val="0"/>
          <c:showPercent val="0"/>
          <c:showBubbleSize val="0"/>
        </c:dLbls>
        <c:gapWidth val="150"/>
        <c:axId val="116546176"/>
        <c:axId val="116564352"/>
      </c:barChart>
      <c:catAx>
        <c:axId val="116546176"/>
        <c:scaling>
          <c:orientation val="minMax"/>
        </c:scaling>
        <c:delete val="0"/>
        <c:axPos val="b"/>
        <c:majorTickMark val="none"/>
        <c:minorTickMark val="none"/>
        <c:tickLblPos val="nextTo"/>
        <c:crossAx val="116564352"/>
        <c:crosses val="autoZero"/>
        <c:auto val="1"/>
        <c:lblAlgn val="ctr"/>
        <c:lblOffset val="100"/>
        <c:noMultiLvlLbl val="0"/>
      </c:catAx>
      <c:valAx>
        <c:axId val="116564352"/>
        <c:scaling>
          <c:orientation val="minMax"/>
          <c:max val="20"/>
        </c:scaling>
        <c:delete val="0"/>
        <c:axPos val="l"/>
        <c:title>
          <c:tx>
            <c:rich>
              <a:bodyPr rot="-5400000" vert="horz"/>
              <a:lstStyle/>
              <a:p>
                <a:pPr>
                  <a:defRPr/>
                </a:pPr>
                <a:r>
                  <a:rPr lang="en-US"/>
                  <a:t>Per capita expenditure, $</a:t>
                </a:r>
              </a:p>
            </c:rich>
          </c:tx>
          <c:layout>
            <c:manualLayout>
              <c:xMode val="edge"/>
              <c:yMode val="edge"/>
              <c:x val="6.0554974263311318E-3"/>
              <c:y val="0.32095654936073215"/>
            </c:manualLayout>
          </c:layout>
          <c:overlay val="0"/>
        </c:title>
        <c:numFmt formatCode="#,##0.00" sourceLinked="1"/>
        <c:majorTickMark val="out"/>
        <c:minorTickMark val="none"/>
        <c:tickLblPos val="nextTo"/>
        <c:crossAx val="116546176"/>
        <c:crosses val="autoZero"/>
        <c:crossBetween val="between"/>
      </c:valAx>
    </c:plotArea>
    <c:legend>
      <c:legendPos val="r"/>
      <c:layout>
        <c:manualLayout>
          <c:xMode val="edge"/>
          <c:yMode val="edge"/>
          <c:x val="4.651466869377837E-3"/>
          <c:y val="0.90303246674190796"/>
          <c:w val="0.98836195917679182"/>
          <c:h val="9.6704703029266453E-2"/>
        </c:manualLayout>
      </c:layout>
      <c:overlay val="0"/>
    </c:legend>
    <c:plotVisOnly val="1"/>
    <c:dispBlanksAs val="gap"/>
    <c:showDLblsOverMax val="0"/>
  </c:chart>
  <c:spPr>
    <a:ln>
      <a:noFill/>
    </a:ln>
  </c:spPr>
  <c:txPr>
    <a:bodyPr/>
    <a:lstStyle/>
    <a:p>
      <a:pPr>
        <a:defRPr sz="800" baseline="0">
          <a:latin typeface="Calibri"/>
          <a:cs typeface="Calibri"/>
        </a:defRPr>
      </a:pPr>
      <a:endParaRPr lang="en-US"/>
    </a:p>
  </c:txPr>
  <c:externalData r:id="rId2">
    <c:autoUpdate val="0"/>
  </c:externalData>
  <c:userShapes r:id="rId3"/>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3"/>
    </mc:Choice>
    <mc:Fallback>
      <c:style val="3"/>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2000434428455105"/>
          <c:y val="0.125474628171479"/>
          <c:w val="0.81553679065978801"/>
          <c:h val="0.70441908066484604"/>
        </c:manualLayout>
      </c:layout>
      <c:barChart>
        <c:barDir val="col"/>
        <c:grouping val="clustered"/>
        <c:varyColors val="0"/>
        <c:ser>
          <c:idx val="0"/>
          <c:order val="0"/>
          <c:tx>
            <c:strRef>
              <c:f>'Updated figures'!$D$63</c:f>
              <c:strCache>
                <c:ptCount val="1"/>
                <c:pt idx="0">
                  <c:v>2010–11</c:v>
                </c:pt>
              </c:strCache>
            </c:strRef>
          </c:tx>
          <c:spPr>
            <a:solidFill>
              <a:srgbClr val="2F3490"/>
            </a:solidFill>
            <a:ln>
              <a:noFill/>
            </a:ln>
            <a:effectLst/>
          </c:spPr>
          <c:invertIfNegative val="0"/>
          <c:dLbls>
            <c:txPr>
              <a:bodyPr rot="-5400000" vert="horz"/>
              <a:lstStyle/>
              <a:p>
                <a:pPr>
                  <a:defRPr/>
                </a:pPr>
                <a:endParaRPr lang="en-US"/>
              </a:p>
            </c:txPr>
            <c:showLegendKey val="0"/>
            <c:showVal val="1"/>
            <c:showCatName val="0"/>
            <c:showSerName val="0"/>
            <c:showPercent val="0"/>
            <c:showBubbleSize val="0"/>
            <c:showLeaderLines val="0"/>
          </c:dLbls>
          <c:cat>
            <c:strRef>
              <c:f>'Updated figures'!$C$64:$C$72</c:f>
              <c:strCache>
                <c:ptCount val="9"/>
                <c:pt idx="0">
                  <c:v>NSW</c:v>
                </c:pt>
                <c:pt idx="1">
                  <c:v>Vic</c:v>
                </c:pt>
                <c:pt idx="2">
                  <c:v>Qld</c:v>
                </c:pt>
                <c:pt idx="3">
                  <c:v>WA</c:v>
                </c:pt>
                <c:pt idx="4">
                  <c:v>SA</c:v>
                </c:pt>
                <c:pt idx="5">
                  <c:v>Tas</c:v>
                </c:pt>
                <c:pt idx="6">
                  <c:v>ACT</c:v>
                </c:pt>
                <c:pt idx="7">
                  <c:v>NT</c:v>
                </c:pt>
                <c:pt idx="8">
                  <c:v>National total</c:v>
                </c:pt>
              </c:strCache>
            </c:strRef>
          </c:cat>
          <c:val>
            <c:numRef>
              <c:f>'Updated figures'!$D$64:$D$72</c:f>
              <c:numCache>
                <c:formatCode>#,##0.00</c:formatCode>
                <c:ptCount val="9"/>
                <c:pt idx="0">
                  <c:v>36.547924952164848</c:v>
                </c:pt>
                <c:pt idx="1">
                  <c:v>41.492654541704425</c:v>
                </c:pt>
                <c:pt idx="2">
                  <c:v>36.710925587823326</c:v>
                </c:pt>
                <c:pt idx="3">
                  <c:v>31.704319416829389</c:v>
                </c:pt>
                <c:pt idx="4">
                  <c:v>43.562539978705729</c:v>
                </c:pt>
                <c:pt idx="5">
                  <c:v>43.54722658564755</c:v>
                </c:pt>
                <c:pt idx="6">
                  <c:v>28.477006906279314</c:v>
                </c:pt>
                <c:pt idx="7">
                  <c:v>14.426407258661124</c:v>
                </c:pt>
                <c:pt idx="8">
                  <c:v>37.609412748629566</c:v>
                </c:pt>
              </c:numCache>
            </c:numRef>
          </c:val>
        </c:ser>
        <c:ser>
          <c:idx val="1"/>
          <c:order val="1"/>
          <c:tx>
            <c:strRef>
              <c:f>'Updated figures'!$E$63</c:f>
              <c:strCache>
                <c:ptCount val="1"/>
                <c:pt idx="0">
                  <c:v>2011–12</c:v>
                </c:pt>
              </c:strCache>
            </c:strRef>
          </c:tx>
          <c:spPr>
            <a:solidFill>
              <a:srgbClr val="2D5EA8"/>
            </a:solidFill>
            <a:ln>
              <a:noFill/>
            </a:ln>
            <a:effectLst/>
          </c:spPr>
          <c:invertIfNegative val="0"/>
          <c:dLbls>
            <c:txPr>
              <a:bodyPr rot="-5400000" vert="horz"/>
              <a:lstStyle/>
              <a:p>
                <a:pPr>
                  <a:defRPr/>
                </a:pPr>
                <a:endParaRPr lang="en-US"/>
              </a:p>
            </c:txPr>
            <c:showLegendKey val="0"/>
            <c:showVal val="1"/>
            <c:showCatName val="0"/>
            <c:showSerName val="0"/>
            <c:showPercent val="0"/>
            <c:showBubbleSize val="0"/>
            <c:showLeaderLines val="0"/>
          </c:dLbls>
          <c:cat>
            <c:strRef>
              <c:f>'Updated figures'!$C$64:$C$72</c:f>
              <c:strCache>
                <c:ptCount val="9"/>
                <c:pt idx="0">
                  <c:v>NSW</c:v>
                </c:pt>
                <c:pt idx="1">
                  <c:v>Vic</c:v>
                </c:pt>
                <c:pt idx="2">
                  <c:v>Qld</c:v>
                </c:pt>
                <c:pt idx="3">
                  <c:v>WA</c:v>
                </c:pt>
                <c:pt idx="4">
                  <c:v>SA</c:v>
                </c:pt>
                <c:pt idx="5">
                  <c:v>Tas</c:v>
                </c:pt>
                <c:pt idx="6">
                  <c:v>ACT</c:v>
                </c:pt>
                <c:pt idx="7">
                  <c:v>NT</c:v>
                </c:pt>
                <c:pt idx="8">
                  <c:v>National total</c:v>
                </c:pt>
              </c:strCache>
            </c:strRef>
          </c:cat>
          <c:val>
            <c:numRef>
              <c:f>'Updated figures'!$E$64:$E$72</c:f>
              <c:numCache>
                <c:formatCode>#,##0.00</c:formatCode>
                <c:ptCount val="9"/>
                <c:pt idx="0">
                  <c:v>36.861319970412495</c:v>
                </c:pt>
                <c:pt idx="1">
                  <c:v>41.433572321905075</c:v>
                </c:pt>
                <c:pt idx="2">
                  <c:v>37.204545206441637</c:v>
                </c:pt>
                <c:pt idx="3">
                  <c:v>32.684059880650459</c:v>
                </c:pt>
                <c:pt idx="4">
                  <c:v>44.079140572384397</c:v>
                </c:pt>
                <c:pt idx="5">
                  <c:v>44.99793514857712</c:v>
                </c:pt>
                <c:pt idx="6">
                  <c:v>28.150868449502259</c:v>
                </c:pt>
                <c:pt idx="7">
                  <c:v>14.614789116113521</c:v>
                </c:pt>
                <c:pt idx="8">
                  <c:v>37.954476347139547</c:v>
                </c:pt>
              </c:numCache>
            </c:numRef>
          </c:val>
        </c:ser>
        <c:ser>
          <c:idx val="2"/>
          <c:order val="2"/>
          <c:tx>
            <c:strRef>
              <c:f>'Updated figures'!$F$63</c:f>
              <c:strCache>
                <c:ptCount val="1"/>
                <c:pt idx="0">
                  <c:v>2012–13</c:v>
                </c:pt>
              </c:strCache>
            </c:strRef>
          </c:tx>
          <c:spPr>
            <a:solidFill>
              <a:srgbClr val="72D0F4"/>
            </a:solidFill>
            <a:ln>
              <a:noFill/>
            </a:ln>
            <a:effectLst/>
          </c:spPr>
          <c:invertIfNegative val="0"/>
          <c:dLbls>
            <c:txPr>
              <a:bodyPr rot="-5400000" vert="horz"/>
              <a:lstStyle/>
              <a:p>
                <a:pPr>
                  <a:defRPr/>
                </a:pPr>
                <a:endParaRPr lang="en-US"/>
              </a:p>
            </c:txPr>
            <c:showLegendKey val="0"/>
            <c:showVal val="1"/>
            <c:showCatName val="0"/>
            <c:showSerName val="0"/>
            <c:showPercent val="0"/>
            <c:showBubbleSize val="0"/>
            <c:showLeaderLines val="0"/>
          </c:dLbls>
          <c:cat>
            <c:strRef>
              <c:f>'Updated figures'!$C$64:$C$72</c:f>
              <c:strCache>
                <c:ptCount val="9"/>
                <c:pt idx="0">
                  <c:v>NSW</c:v>
                </c:pt>
                <c:pt idx="1">
                  <c:v>Vic</c:v>
                </c:pt>
                <c:pt idx="2">
                  <c:v>Qld</c:v>
                </c:pt>
                <c:pt idx="3">
                  <c:v>WA</c:v>
                </c:pt>
                <c:pt idx="4">
                  <c:v>SA</c:v>
                </c:pt>
                <c:pt idx="5">
                  <c:v>Tas</c:v>
                </c:pt>
                <c:pt idx="6">
                  <c:v>ACT</c:v>
                </c:pt>
                <c:pt idx="7">
                  <c:v>NT</c:v>
                </c:pt>
                <c:pt idx="8">
                  <c:v>National total</c:v>
                </c:pt>
              </c:strCache>
            </c:strRef>
          </c:cat>
          <c:val>
            <c:numRef>
              <c:f>'Updated figures'!$F$64:$F$72</c:f>
              <c:numCache>
                <c:formatCode>#,##0.00</c:formatCode>
                <c:ptCount val="9"/>
                <c:pt idx="0">
                  <c:v>33.405430023295096</c:v>
                </c:pt>
                <c:pt idx="1">
                  <c:v>37.489275838069133</c:v>
                </c:pt>
                <c:pt idx="2">
                  <c:v>33.880149287396002</c:v>
                </c:pt>
                <c:pt idx="3">
                  <c:v>28.423942781784511</c:v>
                </c:pt>
                <c:pt idx="4">
                  <c:v>40.777025314734914</c:v>
                </c:pt>
                <c:pt idx="5">
                  <c:v>39.909320866447523</c:v>
                </c:pt>
                <c:pt idx="6">
                  <c:v>26.698533658086671</c:v>
                </c:pt>
                <c:pt idx="7">
                  <c:v>14.13594540844907</c:v>
                </c:pt>
                <c:pt idx="8">
                  <c:v>34.341239252358946</c:v>
                </c:pt>
              </c:numCache>
            </c:numRef>
          </c:val>
        </c:ser>
        <c:dLbls>
          <c:showLegendKey val="0"/>
          <c:showVal val="0"/>
          <c:showCatName val="0"/>
          <c:showSerName val="0"/>
          <c:showPercent val="0"/>
          <c:showBubbleSize val="0"/>
        </c:dLbls>
        <c:gapWidth val="150"/>
        <c:axId val="116678656"/>
        <c:axId val="116680192"/>
      </c:barChart>
      <c:catAx>
        <c:axId val="116678656"/>
        <c:scaling>
          <c:orientation val="minMax"/>
        </c:scaling>
        <c:delete val="0"/>
        <c:axPos val="b"/>
        <c:majorTickMark val="none"/>
        <c:minorTickMark val="none"/>
        <c:tickLblPos val="nextTo"/>
        <c:crossAx val="116680192"/>
        <c:crosses val="autoZero"/>
        <c:auto val="1"/>
        <c:lblAlgn val="ctr"/>
        <c:lblOffset val="100"/>
        <c:noMultiLvlLbl val="0"/>
      </c:catAx>
      <c:valAx>
        <c:axId val="116680192"/>
        <c:scaling>
          <c:orientation val="minMax"/>
          <c:max val="50"/>
        </c:scaling>
        <c:delete val="0"/>
        <c:axPos val="l"/>
        <c:title>
          <c:tx>
            <c:rich>
              <a:bodyPr rot="-5400000" vert="horz"/>
              <a:lstStyle/>
              <a:p>
                <a:pPr>
                  <a:defRPr/>
                </a:pPr>
                <a:r>
                  <a:rPr lang="en-US"/>
                  <a:t>Per capita expenditure, $</a:t>
                </a:r>
              </a:p>
            </c:rich>
          </c:tx>
          <c:layout>
            <c:manualLayout>
              <c:xMode val="edge"/>
              <c:yMode val="edge"/>
              <c:x val="8.2775233729627997E-3"/>
              <c:y val="0.32095654709827914"/>
            </c:manualLayout>
          </c:layout>
          <c:overlay val="0"/>
        </c:title>
        <c:numFmt formatCode="#,##0.00" sourceLinked="1"/>
        <c:majorTickMark val="out"/>
        <c:minorTickMark val="none"/>
        <c:tickLblPos val="nextTo"/>
        <c:crossAx val="116678656"/>
        <c:crosses val="autoZero"/>
        <c:crossBetween val="between"/>
      </c:valAx>
    </c:plotArea>
    <c:legend>
      <c:legendPos val="r"/>
      <c:layout>
        <c:manualLayout>
          <c:xMode val="edge"/>
          <c:yMode val="edge"/>
          <c:x val="0.2058921706999759"/>
          <c:y val="0.91061358477268339"/>
          <c:w val="0.5949763779527556"/>
          <c:h val="8.8673728512086866E-2"/>
        </c:manualLayout>
      </c:layout>
      <c:overlay val="0"/>
    </c:legend>
    <c:plotVisOnly val="1"/>
    <c:dispBlanksAs val="gap"/>
    <c:showDLblsOverMax val="0"/>
  </c:chart>
  <c:spPr>
    <a:ln>
      <a:noFill/>
    </a:ln>
  </c:spPr>
  <c:txPr>
    <a:bodyPr/>
    <a:lstStyle/>
    <a:p>
      <a:pPr>
        <a:defRPr sz="800" baseline="0">
          <a:latin typeface="Calibri"/>
          <a:cs typeface="Calibri"/>
        </a:defRPr>
      </a:pPr>
      <a:endParaRPr lang="en-US"/>
    </a:p>
  </c:txPr>
  <c:externalData r:id="rId2">
    <c:autoUpdate val="0"/>
  </c:externalData>
  <c:userShapes r:id="rId3"/>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0"/>
    <c:plotArea>
      <c:layout>
        <c:manualLayout>
          <c:layoutTarget val="inner"/>
          <c:xMode val="edge"/>
          <c:yMode val="edge"/>
          <c:x val="0.12995455791906593"/>
          <c:y val="5.8808048993875796E-2"/>
          <c:w val="0.85533787754142721"/>
          <c:h val="0.70097812773403301"/>
        </c:manualLayout>
      </c:layout>
      <c:barChart>
        <c:barDir val="col"/>
        <c:grouping val="clustered"/>
        <c:varyColors val="0"/>
        <c:ser>
          <c:idx val="0"/>
          <c:order val="0"/>
          <c:tx>
            <c:strRef>
              <c:f>Workforce!$B$56</c:f>
              <c:strCache>
                <c:ptCount val="1"/>
                <c:pt idx="0">
                  <c:v>Major cities</c:v>
                </c:pt>
              </c:strCache>
            </c:strRef>
          </c:tx>
          <c:spPr>
            <a:solidFill>
              <a:srgbClr val="2F3490"/>
            </a:solidFill>
            <a:ln>
              <a:noFill/>
            </a:ln>
            <a:effectLst/>
          </c:spPr>
          <c:invertIfNegative val="0"/>
          <c:dLbls>
            <c:dLbl>
              <c:idx val="0"/>
              <c:layout/>
              <c:tx>
                <c:rich>
                  <a:bodyPr/>
                  <a:lstStyle/>
                  <a:p>
                    <a:r>
                      <a:rPr lang="en-US"/>
                      <a:t>108.2</a:t>
                    </a:r>
                  </a:p>
                </c:rich>
              </c:tx>
              <c:showLegendKey val="0"/>
              <c:showVal val="1"/>
              <c:showCatName val="0"/>
              <c:showSerName val="0"/>
              <c:showPercent val="0"/>
              <c:showBubbleSize val="0"/>
            </c:dLbl>
            <c:txPr>
              <a:bodyPr rot="-5400000" vert="horz"/>
              <a:lstStyle/>
              <a:p>
                <a:pPr>
                  <a:defRPr/>
                </a:pPr>
                <a:endParaRPr lang="en-US"/>
              </a:p>
            </c:txPr>
            <c:showLegendKey val="0"/>
            <c:showVal val="1"/>
            <c:showCatName val="0"/>
            <c:showSerName val="0"/>
            <c:showPercent val="0"/>
            <c:showBubbleSize val="0"/>
            <c:showLeaderLines val="0"/>
          </c:dLbls>
          <c:cat>
            <c:strRef>
              <c:f>Workforce!$C$55:$F$55</c:f>
              <c:strCache>
                <c:ptCount val="4"/>
                <c:pt idx="0">
                  <c:v>General practitioners</c:v>
                </c:pt>
                <c:pt idx="1">
                  <c:v>Psychiatrists</c:v>
                </c:pt>
                <c:pt idx="2">
                  <c:v>Mental health nurses</c:v>
                </c:pt>
                <c:pt idx="3">
                  <c:v>Psychologists</c:v>
                </c:pt>
              </c:strCache>
            </c:strRef>
          </c:cat>
          <c:val>
            <c:numRef>
              <c:f>Workforce!$C$56:$F$56</c:f>
              <c:numCache>
                <c:formatCode>0.0</c:formatCode>
                <c:ptCount val="4"/>
                <c:pt idx="0">
                  <c:v>108.2</c:v>
                </c:pt>
                <c:pt idx="1">
                  <c:v>16.394462422186027</c:v>
                </c:pt>
                <c:pt idx="2">
                  <c:v>81.671754974021638</c:v>
                </c:pt>
                <c:pt idx="3">
                  <c:v>98.307556182126618</c:v>
                </c:pt>
              </c:numCache>
            </c:numRef>
          </c:val>
        </c:ser>
        <c:ser>
          <c:idx val="1"/>
          <c:order val="1"/>
          <c:tx>
            <c:strRef>
              <c:f>Workforce!$B$57</c:f>
              <c:strCache>
                <c:ptCount val="1"/>
                <c:pt idx="0">
                  <c:v>Inner regional</c:v>
                </c:pt>
              </c:strCache>
            </c:strRef>
          </c:tx>
          <c:spPr>
            <a:solidFill>
              <a:srgbClr val="2D5EA8"/>
            </a:solidFill>
            <a:ln>
              <a:noFill/>
            </a:ln>
            <a:effectLst/>
          </c:spPr>
          <c:invertIfNegative val="0"/>
          <c:dLbls>
            <c:txPr>
              <a:bodyPr rot="-5400000" vert="horz"/>
              <a:lstStyle/>
              <a:p>
                <a:pPr>
                  <a:defRPr/>
                </a:pPr>
                <a:endParaRPr lang="en-US"/>
              </a:p>
            </c:txPr>
            <c:showLegendKey val="0"/>
            <c:showVal val="1"/>
            <c:showCatName val="0"/>
            <c:showSerName val="0"/>
            <c:showPercent val="0"/>
            <c:showBubbleSize val="0"/>
            <c:showLeaderLines val="0"/>
          </c:dLbls>
          <c:cat>
            <c:strRef>
              <c:f>Workforce!$C$55:$F$55</c:f>
              <c:strCache>
                <c:ptCount val="4"/>
                <c:pt idx="0">
                  <c:v>General practitioners</c:v>
                </c:pt>
                <c:pt idx="1">
                  <c:v>Psychiatrists</c:v>
                </c:pt>
                <c:pt idx="2">
                  <c:v>Mental health nurses</c:v>
                </c:pt>
                <c:pt idx="3">
                  <c:v>Psychologists</c:v>
                </c:pt>
              </c:strCache>
            </c:strRef>
          </c:cat>
          <c:val>
            <c:numRef>
              <c:f>Workforce!$C$57:$F$57</c:f>
              <c:numCache>
                <c:formatCode>0.0</c:formatCode>
                <c:ptCount val="4"/>
                <c:pt idx="0">
                  <c:v>117.8</c:v>
                </c:pt>
                <c:pt idx="1">
                  <c:v>5.8464992686145685</c:v>
                </c:pt>
                <c:pt idx="2">
                  <c:v>78.600025722443448</c:v>
                </c:pt>
                <c:pt idx="3">
                  <c:v>56.161737222317406</c:v>
                </c:pt>
              </c:numCache>
            </c:numRef>
          </c:val>
        </c:ser>
        <c:ser>
          <c:idx val="2"/>
          <c:order val="2"/>
          <c:tx>
            <c:strRef>
              <c:f>Workforce!$B$58</c:f>
              <c:strCache>
                <c:ptCount val="1"/>
                <c:pt idx="0">
                  <c:v>Outer regional</c:v>
                </c:pt>
              </c:strCache>
            </c:strRef>
          </c:tx>
          <c:spPr>
            <a:solidFill>
              <a:srgbClr val="72D0F4"/>
            </a:solidFill>
            <a:ln>
              <a:noFill/>
            </a:ln>
            <a:effectLst/>
          </c:spPr>
          <c:invertIfNegative val="0"/>
          <c:dLbls>
            <c:txPr>
              <a:bodyPr rot="-5400000" vert="horz"/>
              <a:lstStyle/>
              <a:p>
                <a:pPr>
                  <a:defRPr/>
                </a:pPr>
                <a:endParaRPr lang="en-US"/>
              </a:p>
            </c:txPr>
            <c:showLegendKey val="0"/>
            <c:showVal val="1"/>
            <c:showCatName val="0"/>
            <c:showSerName val="0"/>
            <c:showPercent val="0"/>
            <c:showBubbleSize val="0"/>
            <c:showLeaderLines val="0"/>
          </c:dLbls>
          <c:cat>
            <c:strRef>
              <c:f>Workforce!$C$55:$F$55</c:f>
              <c:strCache>
                <c:ptCount val="4"/>
                <c:pt idx="0">
                  <c:v>General practitioners</c:v>
                </c:pt>
                <c:pt idx="1">
                  <c:v>Psychiatrists</c:v>
                </c:pt>
                <c:pt idx="2">
                  <c:v>Mental health nurses</c:v>
                </c:pt>
                <c:pt idx="3">
                  <c:v>Psychologists</c:v>
                </c:pt>
              </c:strCache>
            </c:strRef>
          </c:cat>
          <c:val>
            <c:numRef>
              <c:f>Workforce!$C$58:$F$58</c:f>
              <c:numCache>
                <c:formatCode>0.0</c:formatCode>
                <c:ptCount val="4"/>
                <c:pt idx="0">
                  <c:v>123</c:v>
                </c:pt>
                <c:pt idx="1">
                  <c:v>3.4222628649113629</c:v>
                </c:pt>
                <c:pt idx="2">
                  <c:v>47.843788587701972</c:v>
                </c:pt>
                <c:pt idx="3">
                  <c:v>45.286232206257836</c:v>
                </c:pt>
              </c:numCache>
            </c:numRef>
          </c:val>
        </c:ser>
        <c:ser>
          <c:idx val="3"/>
          <c:order val="3"/>
          <c:tx>
            <c:strRef>
              <c:f>Workforce!$B$59</c:f>
              <c:strCache>
                <c:ptCount val="1"/>
                <c:pt idx="0">
                  <c:v>Remote and very remote</c:v>
                </c:pt>
              </c:strCache>
            </c:strRef>
          </c:tx>
          <c:spPr>
            <a:solidFill>
              <a:srgbClr val="D1D3D4"/>
            </a:solidFill>
            <a:ln>
              <a:noFill/>
            </a:ln>
            <a:effectLst/>
          </c:spPr>
          <c:invertIfNegative val="0"/>
          <c:dLbls>
            <c:txPr>
              <a:bodyPr rot="-5400000" vert="horz"/>
              <a:lstStyle/>
              <a:p>
                <a:pPr>
                  <a:defRPr/>
                </a:pPr>
                <a:endParaRPr lang="en-US"/>
              </a:p>
            </c:txPr>
            <c:showLegendKey val="0"/>
            <c:showVal val="1"/>
            <c:showCatName val="0"/>
            <c:showSerName val="0"/>
            <c:showPercent val="0"/>
            <c:showBubbleSize val="0"/>
            <c:showLeaderLines val="0"/>
          </c:dLbls>
          <c:cat>
            <c:strRef>
              <c:f>Workforce!$C$55:$F$55</c:f>
              <c:strCache>
                <c:ptCount val="4"/>
                <c:pt idx="0">
                  <c:v>General practitioners</c:v>
                </c:pt>
                <c:pt idx="1">
                  <c:v>Psychiatrists</c:v>
                </c:pt>
                <c:pt idx="2">
                  <c:v>Mental health nurses</c:v>
                </c:pt>
                <c:pt idx="3">
                  <c:v>Psychologists</c:v>
                </c:pt>
              </c:strCache>
            </c:strRef>
          </c:cat>
          <c:val>
            <c:numRef>
              <c:f>Workforce!$C$59:$F$59</c:f>
              <c:numCache>
                <c:formatCode>0.0</c:formatCode>
                <c:ptCount val="4"/>
                <c:pt idx="0">
                  <c:v>134.30000000000001</c:v>
                </c:pt>
                <c:pt idx="1">
                  <c:v>4.6369692076996083</c:v>
                </c:pt>
                <c:pt idx="2">
                  <c:v>38.800000000000004</c:v>
                </c:pt>
                <c:pt idx="3">
                  <c:v>32.923536428944011</c:v>
                </c:pt>
              </c:numCache>
            </c:numRef>
          </c:val>
        </c:ser>
        <c:dLbls>
          <c:showLegendKey val="0"/>
          <c:showVal val="0"/>
          <c:showCatName val="0"/>
          <c:showSerName val="0"/>
          <c:showPercent val="0"/>
          <c:showBubbleSize val="0"/>
        </c:dLbls>
        <c:gapWidth val="150"/>
        <c:axId val="116738688"/>
        <c:axId val="116765056"/>
      </c:barChart>
      <c:catAx>
        <c:axId val="116738688"/>
        <c:scaling>
          <c:orientation val="minMax"/>
        </c:scaling>
        <c:delete val="0"/>
        <c:axPos val="b"/>
        <c:majorTickMark val="none"/>
        <c:minorTickMark val="none"/>
        <c:tickLblPos val="nextTo"/>
        <c:crossAx val="116765056"/>
        <c:crosses val="autoZero"/>
        <c:auto val="1"/>
        <c:lblAlgn val="ctr"/>
        <c:lblOffset val="100"/>
        <c:noMultiLvlLbl val="0"/>
      </c:catAx>
      <c:valAx>
        <c:axId val="116765056"/>
        <c:scaling>
          <c:orientation val="minMax"/>
          <c:max val="160"/>
        </c:scaling>
        <c:delete val="0"/>
        <c:axPos val="l"/>
        <c:title>
          <c:tx>
            <c:rich>
              <a:bodyPr rot="-5400000" vert="horz"/>
              <a:lstStyle/>
              <a:p>
                <a:pPr>
                  <a:defRPr/>
                </a:pPr>
                <a:r>
                  <a:rPr lang="en-US"/>
                  <a:t>FTE per 100,000 population</a:t>
                </a:r>
              </a:p>
            </c:rich>
          </c:tx>
          <c:layout>
            <c:manualLayout>
              <c:xMode val="edge"/>
              <c:yMode val="edge"/>
              <c:x val="1.9643906451991999E-3"/>
              <c:y val="0.13040104986876599"/>
            </c:manualLayout>
          </c:layout>
          <c:overlay val="0"/>
        </c:title>
        <c:numFmt formatCode="0.0" sourceLinked="1"/>
        <c:majorTickMark val="out"/>
        <c:minorTickMark val="none"/>
        <c:tickLblPos val="nextTo"/>
        <c:crossAx val="116738688"/>
        <c:crosses val="autoZero"/>
        <c:crossBetween val="between"/>
      </c:valAx>
    </c:plotArea>
    <c:legend>
      <c:legendPos val="r"/>
      <c:layout>
        <c:manualLayout>
          <c:xMode val="edge"/>
          <c:yMode val="edge"/>
          <c:x val="7.4051396560504495E-2"/>
          <c:y val="0.89512335958005296"/>
          <c:w val="0.91338425980334481"/>
          <c:h val="8.5079872380927832E-2"/>
        </c:manualLayout>
      </c:layout>
      <c:overlay val="0"/>
    </c:legend>
    <c:plotVisOnly val="1"/>
    <c:dispBlanksAs val="gap"/>
    <c:showDLblsOverMax val="0"/>
  </c:chart>
  <c:spPr>
    <a:ln>
      <a:noFill/>
    </a:ln>
  </c:spPr>
  <c:txPr>
    <a:bodyPr/>
    <a:lstStyle/>
    <a:p>
      <a:pPr>
        <a:defRPr>
          <a:latin typeface="+mn-lt"/>
        </a:defRPr>
      </a:pPr>
      <a:endParaRPr lang="en-US"/>
    </a:p>
  </c:txPr>
  <c:externalData r:id="rId1">
    <c:autoUpdate val="0"/>
  </c:externalData>
  <c:userShapes r:id="rId2"/>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3"/>
    </mc:Choice>
    <mc:Fallback>
      <c:style val="3"/>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4820914635698407"/>
          <c:y val="6.4554685199707321E-2"/>
          <c:w val="0.81631416015033575"/>
          <c:h val="0.78548743976421675"/>
        </c:manualLayout>
      </c:layout>
      <c:barChart>
        <c:barDir val="col"/>
        <c:grouping val="clustered"/>
        <c:varyColors val="0"/>
        <c:ser>
          <c:idx val="0"/>
          <c:order val="0"/>
          <c:tx>
            <c:strRef>
              <c:f>'Figures '!$C$62</c:f>
              <c:strCache>
                <c:ptCount val="1"/>
                <c:pt idx="0">
                  <c:v>Major cities</c:v>
                </c:pt>
              </c:strCache>
            </c:strRef>
          </c:tx>
          <c:spPr>
            <a:solidFill>
              <a:srgbClr val="2F3490"/>
            </a:solidFill>
            <a:ln>
              <a:noFill/>
            </a:ln>
            <a:effectLst/>
          </c:spPr>
          <c:invertIfNegative val="0"/>
          <c:dLbls>
            <c:txPr>
              <a:bodyPr rot="-5400000" vert="horz"/>
              <a:lstStyle/>
              <a:p>
                <a:pPr>
                  <a:defRPr/>
                </a:pPr>
                <a:endParaRPr lang="en-US"/>
              </a:p>
            </c:txPr>
            <c:showLegendKey val="0"/>
            <c:showVal val="1"/>
            <c:showCatName val="0"/>
            <c:showSerName val="0"/>
            <c:showPercent val="0"/>
            <c:showBubbleSize val="0"/>
            <c:showLeaderLines val="0"/>
          </c:dLbls>
          <c:cat>
            <c:strRef>
              <c:f>'Figures '!$B$63:$B$66</c:f>
              <c:strCache>
                <c:ptCount val="4"/>
                <c:pt idx="0">
                  <c:v>FTE general practitioners</c:v>
                </c:pt>
                <c:pt idx="1">
                  <c:v>FTE psychiatrists </c:v>
                </c:pt>
                <c:pt idx="2">
                  <c:v>FTE mental health nurses </c:v>
                </c:pt>
                <c:pt idx="3">
                  <c:v>FTE psychologists </c:v>
                </c:pt>
              </c:strCache>
            </c:strRef>
          </c:cat>
          <c:val>
            <c:numRef>
              <c:f>'Figures '!$C$63:$C$66</c:f>
              <c:numCache>
                <c:formatCode>0.0</c:formatCode>
                <c:ptCount val="4"/>
                <c:pt idx="0">
                  <c:v>108.2</c:v>
                </c:pt>
                <c:pt idx="1">
                  <c:v>16.3</c:v>
                </c:pt>
                <c:pt idx="2">
                  <c:v>85.291439122474671</c:v>
                </c:pt>
                <c:pt idx="3">
                  <c:v>98.418013676123124</c:v>
                </c:pt>
              </c:numCache>
            </c:numRef>
          </c:val>
        </c:ser>
        <c:ser>
          <c:idx val="1"/>
          <c:order val="1"/>
          <c:tx>
            <c:strRef>
              <c:f>'Figures '!$D$62</c:f>
              <c:strCache>
                <c:ptCount val="1"/>
                <c:pt idx="0">
                  <c:v>Inner regional</c:v>
                </c:pt>
              </c:strCache>
            </c:strRef>
          </c:tx>
          <c:spPr>
            <a:solidFill>
              <a:srgbClr val="2D5EA8"/>
            </a:solidFill>
            <a:ln>
              <a:noFill/>
            </a:ln>
            <a:effectLst/>
          </c:spPr>
          <c:invertIfNegative val="0"/>
          <c:dLbls>
            <c:txPr>
              <a:bodyPr rot="-5400000" vert="horz"/>
              <a:lstStyle/>
              <a:p>
                <a:pPr>
                  <a:defRPr/>
                </a:pPr>
                <a:endParaRPr lang="en-US"/>
              </a:p>
            </c:txPr>
            <c:showLegendKey val="0"/>
            <c:showVal val="1"/>
            <c:showCatName val="0"/>
            <c:showSerName val="0"/>
            <c:showPercent val="0"/>
            <c:showBubbleSize val="0"/>
            <c:showLeaderLines val="0"/>
          </c:dLbls>
          <c:cat>
            <c:strRef>
              <c:f>'Figures '!$B$63:$B$66</c:f>
              <c:strCache>
                <c:ptCount val="4"/>
                <c:pt idx="0">
                  <c:v>FTE general practitioners</c:v>
                </c:pt>
                <c:pt idx="1">
                  <c:v>FTE psychiatrists </c:v>
                </c:pt>
                <c:pt idx="2">
                  <c:v>FTE mental health nurses </c:v>
                </c:pt>
                <c:pt idx="3">
                  <c:v>FTE psychologists </c:v>
                </c:pt>
              </c:strCache>
            </c:strRef>
          </c:cat>
          <c:val>
            <c:numRef>
              <c:f>'Figures '!$D$63:$D$66</c:f>
              <c:numCache>
                <c:formatCode>0.0</c:formatCode>
                <c:ptCount val="4"/>
                <c:pt idx="0">
                  <c:v>117.8</c:v>
                </c:pt>
                <c:pt idx="1">
                  <c:v>6.2</c:v>
                </c:pt>
                <c:pt idx="2">
                  <c:v>79.466013001213639</c:v>
                </c:pt>
                <c:pt idx="3">
                  <c:v>57.200533506362397</c:v>
                </c:pt>
              </c:numCache>
            </c:numRef>
          </c:val>
        </c:ser>
        <c:ser>
          <c:idx val="2"/>
          <c:order val="2"/>
          <c:tx>
            <c:strRef>
              <c:f>'Figures '!$E$62</c:f>
              <c:strCache>
                <c:ptCount val="1"/>
                <c:pt idx="0">
                  <c:v>Outer regional</c:v>
                </c:pt>
              </c:strCache>
            </c:strRef>
          </c:tx>
          <c:spPr>
            <a:solidFill>
              <a:srgbClr val="72D0F4"/>
            </a:solidFill>
            <a:ln>
              <a:noFill/>
            </a:ln>
            <a:effectLst/>
          </c:spPr>
          <c:invertIfNegative val="0"/>
          <c:dLbls>
            <c:txPr>
              <a:bodyPr rot="-5400000" vert="horz"/>
              <a:lstStyle/>
              <a:p>
                <a:pPr>
                  <a:defRPr/>
                </a:pPr>
                <a:endParaRPr lang="en-US"/>
              </a:p>
            </c:txPr>
            <c:showLegendKey val="0"/>
            <c:showVal val="1"/>
            <c:showCatName val="0"/>
            <c:showSerName val="0"/>
            <c:showPercent val="0"/>
            <c:showBubbleSize val="0"/>
            <c:showLeaderLines val="0"/>
          </c:dLbls>
          <c:cat>
            <c:strRef>
              <c:f>'Figures '!$B$63:$B$66</c:f>
              <c:strCache>
                <c:ptCount val="4"/>
                <c:pt idx="0">
                  <c:v>FTE general practitioners</c:v>
                </c:pt>
                <c:pt idx="1">
                  <c:v>FTE psychiatrists </c:v>
                </c:pt>
                <c:pt idx="2">
                  <c:v>FTE mental health nurses </c:v>
                </c:pt>
                <c:pt idx="3">
                  <c:v>FTE psychologists </c:v>
                </c:pt>
              </c:strCache>
            </c:strRef>
          </c:cat>
          <c:val>
            <c:numRef>
              <c:f>'Figures '!$E$63:$E$66</c:f>
              <c:numCache>
                <c:formatCode>0.0</c:formatCode>
                <c:ptCount val="4"/>
                <c:pt idx="0">
                  <c:v>123</c:v>
                </c:pt>
                <c:pt idx="1">
                  <c:v>3.9</c:v>
                </c:pt>
                <c:pt idx="2">
                  <c:v>51.537731167628479</c:v>
                </c:pt>
                <c:pt idx="3">
                  <c:v>44.660823900378617</c:v>
                </c:pt>
              </c:numCache>
            </c:numRef>
          </c:val>
        </c:ser>
        <c:ser>
          <c:idx val="3"/>
          <c:order val="3"/>
          <c:tx>
            <c:strRef>
              <c:f>'Figures '!$F$62</c:f>
              <c:strCache>
                <c:ptCount val="1"/>
                <c:pt idx="0">
                  <c:v>Remote and Very remote</c:v>
                </c:pt>
              </c:strCache>
            </c:strRef>
          </c:tx>
          <c:spPr>
            <a:solidFill>
              <a:srgbClr val="D1D3D4"/>
            </a:solidFill>
            <a:ln>
              <a:noFill/>
            </a:ln>
            <a:effectLst/>
          </c:spPr>
          <c:invertIfNegative val="0"/>
          <c:dLbls>
            <c:txPr>
              <a:bodyPr rot="-5400000" vert="horz"/>
              <a:lstStyle/>
              <a:p>
                <a:pPr>
                  <a:defRPr/>
                </a:pPr>
                <a:endParaRPr lang="en-US"/>
              </a:p>
            </c:txPr>
            <c:showLegendKey val="0"/>
            <c:showVal val="1"/>
            <c:showCatName val="0"/>
            <c:showSerName val="0"/>
            <c:showPercent val="0"/>
            <c:showBubbleSize val="0"/>
            <c:showLeaderLines val="0"/>
          </c:dLbls>
          <c:cat>
            <c:strRef>
              <c:f>'Figures '!$B$63:$B$66</c:f>
              <c:strCache>
                <c:ptCount val="4"/>
                <c:pt idx="0">
                  <c:v>FTE general practitioners</c:v>
                </c:pt>
                <c:pt idx="1">
                  <c:v>FTE psychiatrists </c:v>
                </c:pt>
                <c:pt idx="2">
                  <c:v>FTE mental health nurses </c:v>
                </c:pt>
                <c:pt idx="3">
                  <c:v>FTE psychologists </c:v>
                </c:pt>
              </c:strCache>
            </c:strRef>
          </c:cat>
          <c:val>
            <c:numRef>
              <c:f>'Figures '!$F$63:$F$66</c:f>
              <c:numCache>
                <c:formatCode>0.0</c:formatCode>
                <c:ptCount val="4"/>
                <c:pt idx="0">
                  <c:v>134.30000000000001</c:v>
                </c:pt>
                <c:pt idx="1">
                  <c:v>4.8</c:v>
                </c:pt>
                <c:pt idx="2">
                  <c:v>47.750561883356824</c:v>
                </c:pt>
                <c:pt idx="3">
                  <c:v>34.341548893375496</c:v>
                </c:pt>
              </c:numCache>
            </c:numRef>
          </c:val>
        </c:ser>
        <c:dLbls>
          <c:showLegendKey val="0"/>
          <c:showVal val="0"/>
          <c:showCatName val="0"/>
          <c:showSerName val="0"/>
          <c:showPercent val="0"/>
          <c:showBubbleSize val="0"/>
        </c:dLbls>
        <c:gapWidth val="150"/>
        <c:axId val="116802304"/>
        <c:axId val="116803840"/>
      </c:barChart>
      <c:catAx>
        <c:axId val="116802304"/>
        <c:scaling>
          <c:orientation val="minMax"/>
        </c:scaling>
        <c:delete val="0"/>
        <c:axPos val="b"/>
        <c:majorTickMark val="none"/>
        <c:minorTickMark val="none"/>
        <c:tickLblPos val="nextTo"/>
        <c:crossAx val="116803840"/>
        <c:crosses val="autoZero"/>
        <c:auto val="1"/>
        <c:lblAlgn val="ctr"/>
        <c:lblOffset val="100"/>
        <c:noMultiLvlLbl val="0"/>
      </c:catAx>
      <c:valAx>
        <c:axId val="116803840"/>
        <c:scaling>
          <c:orientation val="minMax"/>
          <c:max val="150"/>
        </c:scaling>
        <c:delete val="0"/>
        <c:axPos val="l"/>
        <c:title>
          <c:tx>
            <c:rich>
              <a:bodyPr rot="-5400000" vert="horz"/>
              <a:lstStyle/>
              <a:p>
                <a:pPr>
                  <a:defRPr/>
                </a:pPr>
                <a:r>
                  <a:rPr lang="en-US"/>
                  <a:t>FTE per 100,000 population</a:t>
                </a:r>
              </a:p>
            </c:rich>
          </c:tx>
          <c:layout>
            <c:manualLayout>
              <c:xMode val="edge"/>
              <c:yMode val="edge"/>
              <c:x val="2.15757335315808E-2"/>
              <c:y val="0.20766003842263106"/>
            </c:manualLayout>
          </c:layout>
          <c:overlay val="0"/>
        </c:title>
        <c:numFmt formatCode="0.0" sourceLinked="1"/>
        <c:majorTickMark val="out"/>
        <c:minorTickMark val="none"/>
        <c:tickLblPos val="nextTo"/>
        <c:crossAx val="116802304"/>
        <c:crosses val="autoZero"/>
        <c:crossBetween val="between"/>
      </c:valAx>
    </c:plotArea>
    <c:legend>
      <c:legendPos val="r"/>
      <c:layout>
        <c:manualLayout>
          <c:xMode val="edge"/>
          <c:yMode val="edge"/>
          <c:x val="7.5266672927727832E-2"/>
          <c:y val="0.86231404525008204"/>
          <c:w val="0.92067036654416623"/>
          <c:h val="0.13591539330504807"/>
        </c:manualLayout>
      </c:layout>
      <c:overlay val="0"/>
    </c:legend>
    <c:plotVisOnly val="1"/>
    <c:dispBlanksAs val="gap"/>
    <c:showDLblsOverMax val="0"/>
  </c:chart>
  <c:spPr>
    <a:ln>
      <a:noFill/>
    </a:ln>
  </c:spPr>
  <c:txPr>
    <a:bodyPr/>
    <a:lstStyle/>
    <a:p>
      <a:pPr>
        <a:defRPr sz="1000" baseline="0">
          <a:latin typeface="Calibri"/>
          <a:cs typeface="Calibri"/>
        </a:defRPr>
      </a:pPr>
      <a:endParaRPr lang="en-US"/>
    </a:p>
  </c:txPr>
  <c:externalData r:id="rId2">
    <c:autoUpdate val="0"/>
  </c:externalData>
  <c:userShapes r:id="rId3"/>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0"/>
    <c:plotArea>
      <c:layout>
        <c:manualLayout>
          <c:layoutTarget val="inner"/>
          <c:xMode val="edge"/>
          <c:yMode val="edge"/>
          <c:x val="0.13944881889763808"/>
          <c:y val="4.9919160104986912E-2"/>
          <c:w val="0.84053674540682377"/>
          <c:h val="0.73653368328958924"/>
        </c:manualLayout>
      </c:layout>
      <c:barChart>
        <c:barDir val="col"/>
        <c:grouping val="clustered"/>
        <c:varyColors val="0"/>
        <c:ser>
          <c:idx val="0"/>
          <c:order val="0"/>
          <c:tx>
            <c:strRef>
              <c:f>Facilities!$B$6</c:f>
              <c:strCache>
                <c:ptCount val="1"/>
                <c:pt idx="0">
                  <c:v>Public acute hospital </c:v>
                </c:pt>
              </c:strCache>
            </c:strRef>
          </c:tx>
          <c:spPr>
            <a:solidFill>
              <a:srgbClr val="2F3490"/>
            </a:solidFill>
            <a:ln>
              <a:noFill/>
            </a:ln>
            <a:effectLst/>
          </c:spPr>
          <c:invertIfNegative val="0"/>
          <c:dLbls>
            <c:txPr>
              <a:bodyPr rot="-5400000" vert="horz"/>
              <a:lstStyle/>
              <a:p>
                <a:pPr>
                  <a:defRPr/>
                </a:pPr>
                <a:endParaRPr lang="en-US"/>
              </a:p>
            </c:txPr>
            <c:showLegendKey val="0"/>
            <c:showVal val="1"/>
            <c:showCatName val="0"/>
            <c:showSerName val="0"/>
            <c:showPercent val="0"/>
            <c:showBubbleSize val="0"/>
            <c:showLeaderLines val="0"/>
          </c:dLbls>
          <c:cat>
            <c:strRef>
              <c:f>Facilities!$C$5:$K$5</c:f>
              <c:strCache>
                <c:ptCount val="9"/>
                <c:pt idx="0">
                  <c:v>NSW</c:v>
                </c:pt>
                <c:pt idx="1">
                  <c:v>Vic</c:v>
                </c:pt>
                <c:pt idx="2">
                  <c:v>Qld</c:v>
                </c:pt>
                <c:pt idx="3">
                  <c:v>WA</c:v>
                </c:pt>
                <c:pt idx="4">
                  <c:v>SA</c:v>
                </c:pt>
                <c:pt idx="5">
                  <c:v>Tas</c:v>
                </c:pt>
                <c:pt idx="6">
                  <c:v>ACT</c:v>
                </c:pt>
                <c:pt idx="7">
                  <c:v>NT</c:v>
                </c:pt>
                <c:pt idx="8">
                  <c:v>Total</c:v>
                </c:pt>
              </c:strCache>
            </c:strRef>
          </c:cat>
          <c:val>
            <c:numRef>
              <c:f>Facilities!$C$6:$K$6</c:f>
              <c:numCache>
                <c:formatCode>0.0</c:formatCode>
                <c:ptCount val="9"/>
                <c:pt idx="0">
                  <c:v>24.1</c:v>
                </c:pt>
                <c:pt idx="1">
                  <c:v>19.600000000000001</c:v>
                </c:pt>
                <c:pt idx="2">
                  <c:v>23.4</c:v>
                </c:pt>
                <c:pt idx="3">
                  <c:v>19.399999999999999</c:v>
                </c:pt>
                <c:pt idx="4">
                  <c:v>15.2</c:v>
                </c:pt>
                <c:pt idx="5">
                  <c:v>25.6</c:v>
                </c:pt>
                <c:pt idx="6">
                  <c:v>17.5</c:v>
                </c:pt>
                <c:pt idx="7">
                  <c:v>13.8</c:v>
                </c:pt>
                <c:pt idx="8">
                  <c:v>21.5</c:v>
                </c:pt>
              </c:numCache>
            </c:numRef>
          </c:val>
        </c:ser>
        <c:ser>
          <c:idx val="1"/>
          <c:order val="1"/>
          <c:tx>
            <c:strRef>
              <c:f>Facilities!$B$7</c:f>
              <c:strCache>
                <c:ptCount val="1"/>
                <c:pt idx="0">
                  <c:v>Public psychiatric hospital </c:v>
                </c:pt>
              </c:strCache>
            </c:strRef>
          </c:tx>
          <c:spPr>
            <a:solidFill>
              <a:srgbClr val="72D0F4"/>
            </a:solidFill>
            <a:ln>
              <a:noFill/>
            </a:ln>
            <a:effectLst/>
          </c:spPr>
          <c:invertIfNegative val="0"/>
          <c:dLbls>
            <c:txPr>
              <a:bodyPr rot="-5400000" vert="horz"/>
              <a:lstStyle/>
              <a:p>
                <a:pPr>
                  <a:defRPr/>
                </a:pPr>
                <a:endParaRPr lang="en-US"/>
              </a:p>
            </c:txPr>
            <c:showLegendKey val="0"/>
            <c:showVal val="1"/>
            <c:showCatName val="0"/>
            <c:showSerName val="0"/>
            <c:showPercent val="0"/>
            <c:showBubbleSize val="0"/>
            <c:showLeaderLines val="0"/>
          </c:dLbls>
          <c:cat>
            <c:strRef>
              <c:f>Facilities!$C$5:$K$5</c:f>
              <c:strCache>
                <c:ptCount val="9"/>
                <c:pt idx="0">
                  <c:v>NSW</c:v>
                </c:pt>
                <c:pt idx="1">
                  <c:v>Vic</c:v>
                </c:pt>
                <c:pt idx="2">
                  <c:v>Qld</c:v>
                </c:pt>
                <c:pt idx="3">
                  <c:v>WA</c:v>
                </c:pt>
                <c:pt idx="4">
                  <c:v>SA</c:v>
                </c:pt>
                <c:pt idx="5">
                  <c:v>Tas</c:v>
                </c:pt>
                <c:pt idx="6">
                  <c:v>ACT</c:v>
                </c:pt>
                <c:pt idx="7">
                  <c:v>NT</c:v>
                </c:pt>
                <c:pt idx="8">
                  <c:v>Total</c:v>
                </c:pt>
              </c:strCache>
            </c:strRef>
          </c:cat>
          <c:val>
            <c:numRef>
              <c:f>Facilities!$C$7:$K$7</c:f>
              <c:numCache>
                <c:formatCode>0.0</c:formatCode>
                <c:ptCount val="9"/>
                <c:pt idx="0">
                  <c:v>12.4</c:v>
                </c:pt>
                <c:pt idx="1">
                  <c:v>2.7</c:v>
                </c:pt>
                <c:pt idx="2">
                  <c:v>7.6</c:v>
                </c:pt>
                <c:pt idx="3">
                  <c:v>10.3</c:v>
                </c:pt>
                <c:pt idx="4">
                  <c:v>14</c:v>
                </c:pt>
                <c:pt idx="5">
                  <c:v>0</c:v>
                </c:pt>
                <c:pt idx="6">
                  <c:v>0</c:v>
                </c:pt>
                <c:pt idx="7">
                  <c:v>0</c:v>
                </c:pt>
                <c:pt idx="8">
                  <c:v>8.3000000000000007</c:v>
                </c:pt>
              </c:numCache>
            </c:numRef>
          </c:val>
        </c:ser>
        <c:dLbls>
          <c:showLegendKey val="0"/>
          <c:showVal val="0"/>
          <c:showCatName val="0"/>
          <c:showSerName val="0"/>
          <c:showPercent val="0"/>
          <c:showBubbleSize val="0"/>
        </c:dLbls>
        <c:gapWidth val="150"/>
        <c:axId val="116851456"/>
        <c:axId val="116852992"/>
      </c:barChart>
      <c:catAx>
        <c:axId val="116851456"/>
        <c:scaling>
          <c:orientation val="minMax"/>
        </c:scaling>
        <c:delete val="0"/>
        <c:axPos val="b"/>
        <c:majorTickMark val="none"/>
        <c:minorTickMark val="none"/>
        <c:tickLblPos val="nextTo"/>
        <c:crossAx val="116852992"/>
        <c:crosses val="autoZero"/>
        <c:auto val="1"/>
        <c:lblAlgn val="ctr"/>
        <c:lblOffset val="100"/>
        <c:noMultiLvlLbl val="0"/>
      </c:catAx>
      <c:valAx>
        <c:axId val="116852992"/>
        <c:scaling>
          <c:orientation val="minMax"/>
          <c:max val="30"/>
        </c:scaling>
        <c:delete val="0"/>
        <c:axPos val="l"/>
        <c:title>
          <c:tx>
            <c:rich>
              <a:bodyPr rot="-5400000" vert="horz"/>
              <a:lstStyle/>
              <a:p>
                <a:pPr>
                  <a:defRPr/>
                </a:pPr>
                <a:r>
                  <a:rPr lang="en-US"/>
                  <a:t>Beds per 100</a:t>
                </a:r>
                <a:r>
                  <a:rPr lang="en-US" baseline="0"/>
                  <a:t> </a:t>
                </a:r>
                <a:r>
                  <a:rPr lang="en-US"/>
                  <a:t>000 population</a:t>
                </a:r>
              </a:p>
            </c:rich>
          </c:tx>
          <c:layout>
            <c:manualLayout>
              <c:xMode val="edge"/>
              <c:yMode val="edge"/>
              <c:x val="9.883202099737547E-3"/>
              <c:y val="0.17428976377952801"/>
            </c:manualLayout>
          </c:layout>
          <c:overlay val="0"/>
        </c:title>
        <c:numFmt formatCode="0.0" sourceLinked="1"/>
        <c:majorTickMark val="out"/>
        <c:minorTickMark val="none"/>
        <c:tickLblPos val="nextTo"/>
        <c:crossAx val="116851456"/>
        <c:crosses val="autoZero"/>
        <c:crossBetween val="between"/>
      </c:valAx>
    </c:plotArea>
    <c:legend>
      <c:legendPos val="r"/>
      <c:layout>
        <c:manualLayout>
          <c:xMode val="edge"/>
          <c:yMode val="edge"/>
          <c:x val="0.15033661417322799"/>
          <c:y val="0.87753070866141702"/>
          <c:w val="0.82553193350831222"/>
          <c:h val="6.9892563429571328E-2"/>
        </c:manualLayout>
      </c:layout>
      <c:overlay val="0"/>
    </c:legend>
    <c:plotVisOnly val="1"/>
    <c:dispBlanksAs val="gap"/>
    <c:showDLblsOverMax val="0"/>
  </c:chart>
  <c:spPr>
    <a:ln>
      <a:noFill/>
    </a:ln>
  </c:spPr>
  <c:txPr>
    <a:bodyPr/>
    <a:lstStyle/>
    <a:p>
      <a:pPr>
        <a:defRPr>
          <a:latin typeface="Calibri"/>
          <a:cs typeface="Calibri"/>
        </a:defRPr>
      </a:pPr>
      <a:endParaRPr lang="en-US"/>
    </a:p>
  </c:txPr>
  <c:externalData r:id="rId1">
    <c:autoUpdate val="0"/>
  </c:externalData>
  <c:userShapes r:id="rId2"/>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0"/>
    <c:plotArea>
      <c:layout>
        <c:manualLayout>
          <c:layoutTarget val="inner"/>
          <c:xMode val="edge"/>
          <c:yMode val="edge"/>
          <c:x val="0.10042530476642003"/>
          <c:y val="8.9919160104986948E-2"/>
          <c:w val="0.88406350087296237"/>
          <c:h val="0.7543114610673658"/>
        </c:manualLayout>
      </c:layout>
      <c:barChart>
        <c:barDir val="col"/>
        <c:grouping val="clustered"/>
        <c:varyColors val="0"/>
        <c:ser>
          <c:idx val="0"/>
          <c:order val="0"/>
          <c:tx>
            <c:strRef>
              <c:f>Facilities!$E$28</c:f>
              <c:strCache>
                <c:ptCount val="1"/>
                <c:pt idx="0">
                  <c:v>2007–08</c:v>
                </c:pt>
              </c:strCache>
            </c:strRef>
          </c:tx>
          <c:spPr>
            <a:solidFill>
              <a:srgbClr val="2F3490"/>
            </a:solidFill>
            <a:ln>
              <a:noFill/>
            </a:ln>
            <a:effectLst/>
          </c:spPr>
          <c:invertIfNegative val="0"/>
          <c:dLbls>
            <c:txPr>
              <a:bodyPr rot="-5400000" vert="horz"/>
              <a:lstStyle/>
              <a:p>
                <a:pPr>
                  <a:defRPr/>
                </a:pPr>
                <a:endParaRPr lang="en-US"/>
              </a:p>
            </c:txPr>
            <c:showLegendKey val="0"/>
            <c:showVal val="1"/>
            <c:showCatName val="0"/>
            <c:showSerName val="0"/>
            <c:showPercent val="0"/>
            <c:showBubbleSize val="0"/>
            <c:showLeaderLines val="0"/>
          </c:dLbls>
          <c:cat>
            <c:strRef>
              <c:f>Facilities!$D$29:$D$37</c:f>
              <c:strCache>
                <c:ptCount val="9"/>
                <c:pt idx="0">
                  <c:v>NSW</c:v>
                </c:pt>
                <c:pt idx="1">
                  <c:v>Vic</c:v>
                </c:pt>
                <c:pt idx="2">
                  <c:v>Qld</c:v>
                </c:pt>
                <c:pt idx="3">
                  <c:v>WA</c:v>
                </c:pt>
                <c:pt idx="4">
                  <c:v>SA</c:v>
                </c:pt>
                <c:pt idx="5">
                  <c:v>Tas</c:v>
                </c:pt>
                <c:pt idx="6">
                  <c:v>ACT</c:v>
                </c:pt>
                <c:pt idx="7">
                  <c:v>NT</c:v>
                </c:pt>
                <c:pt idx="8">
                  <c:v>Total</c:v>
                </c:pt>
              </c:strCache>
            </c:strRef>
          </c:cat>
          <c:val>
            <c:numRef>
              <c:f>Facilities!$E$29:$E$37</c:f>
              <c:numCache>
                <c:formatCode>#,##0.0</c:formatCode>
                <c:ptCount val="9"/>
                <c:pt idx="0">
                  <c:v>35.212843041948027</c:v>
                </c:pt>
                <c:pt idx="1">
                  <c:v>23.386850627838868</c:v>
                </c:pt>
                <c:pt idx="2">
                  <c:v>33.870273726619509</c:v>
                </c:pt>
                <c:pt idx="3">
                  <c:v>31.381644829101173</c:v>
                </c:pt>
                <c:pt idx="4">
                  <c:v>38.011034603345252</c:v>
                </c:pt>
                <c:pt idx="5">
                  <c:v>25.813841866018116</c:v>
                </c:pt>
                <c:pt idx="6">
                  <c:v>20.338431500162702</c:v>
                </c:pt>
                <c:pt idx="7">
                  <c:v>15.695833217922804</c:v>
                </c:pt>
                <c:pt idx="8">
                  <c:v>31.171308920423527</c:v>
                </c:pt>
              </c:numCache>
            </c:numRef>
          </c:val>
        </c:ser>
        <c:ser>
          <c:idx val="1"/>
          <c:order val="1"/>
          <c:tx>
            <c:strRef>
              <c:f>Facilities!$F$28</c:f>
              <c:strCache>
                <c:ptCount val="1"/>
                <c:pt idx="0">
                  <c:v>2008–09</c:v>
                </c:pt>
              </c:strCache>
            </c:strRef>
          </c:tx>
          <c:spPr>
            <a:solidFill>
              <a:srgbClr val="2D5EA8"/>
            </a:solidFill>
            <a:ln>
              <a:noFill/>
            </a:ln>
            <a:effectLst/>
          </c:spPr>
          <c:invertIfNegative val="0"/>
          <c:dLbls>
            <c:txPr>
              <a:bodyPr rot="-5400000" vert="horz"/>
              <a:lstStyle/>
              <a:p>
                <a:pPr>
                  <a:defRPr/>
                </a:pPr>
                <a:endParaRPr lang="en-US"/>
              </a:p>
            </c:txPr>
            <c:showLegendKey val="0"/>
            <c:showVal val="1"/>
            <c:showCatName val="0"/>
            <c:showSerName val="0"/>
            <c:showPercent val="0"/>
            <c:showBubbleSize val="0"/>
            <c:showLeaderLines val="0"/>
          </c:dLbls>
          <c:cat>
            <c:strRef>
              <c:f>Facilities!$D$29:$D$37</c:f>
              <c:strCache>
                <c:ptCount val="9"/>
                <c:pt idx="0">
                  <c:v>NSW</c:v>
                </c:pt>
                <c:pt idx="1">
                  <c:v>Vic</c:v>
                </c:pt>
                <c:pt idx="2">
                  <c:v>Qld</c:v>
                </c:pt>
                <c:pt idx="3">
                  <c:v>WA</c:v>
                </c:pt>
                <c:pt idx="4">
                  <c:v>SA</c:v>
                </c:pt>
                <c:pt idx="5">
                  <c:v>Tas</c:v>
                </c:pt>
                <c:pt idx="6">
                  <c:v>ACT</c:v>
                </c:pt>
                <c:pt idx="7">
                  <c:v>NT</c:v>
                </c:pt>
                <c:pt idx="8">
                  <c:v>Total</c:v>
                </c:pt>
              </c:strCache>
            </c:strRef>
          </c:cat>
          <c:val>
            <c:numRef>
              <c:f>Facilities!$F$29:$F$37</c:f>
              <c:numCache>
                <c:formatCode>#,##0.0</c:formatCode>
                <c:ptCount val="9"/>
                <c:pt idx="0">
                  <c:v>35.033938503083931</c:v>
                </c:pt>
                <c:pt idx="1">
                  <c:v>22.92367151395041</c:v>
                </c:pt>
                <c:pt idx="2">
                  <c:v>32.83787282621585</c:v>
                </c:pt>
                <c:pt idx="3">
                  <c:v>30.693621521389559</c:v>
                </c:pt>
                <c:pt idx="4">
                  <c:v>36.047763286354396</c:v>
                </c:pt>
                <c:pt idx="5">
                  <c:v>25.908078138763663</c:v>
                </c:pt>
                <c:pt idx="6">
                  <c:v>17.943554703632287</c:v>
                </c:pt>
                <c:pt idx="7">
                  <c:v>15.279113451911231</c:v>
                </c:pt>
                <c:pt idx="8">
                  <c:v>30.527633072378563</c:v>
                </c:pt>
              </c:numCache>
            </c:numRef>
          </c:val>
        </c:ser>
        <c:ser>
          <c:idx val="2"/>
          <c:order val="2"/>
          <c:tx>
            <c:strRef>
              <c:f>Facilities!$G$28</c:f>
              <c:strCache>
                <c:ptCount val="1"/>
                <c:pt idx="0">
                  <c:v>2009–10</c:v>
                </c:pt>
              </c:strCache>
            </c:strRef>
          </c:tx>
          <c:spPr>
            <a:solidFill>
              <a:srgbClr val="72D0F4"/>
            </a:solidFill>
            <a:ln>
              <a:noFill/>
            </a:ln>
            <a:effectLst/>
          </c:spPr>
          <c:invertIfNegative val="0"/>
          <c:dLbls>
            <c:txPr>
              <a:bodyPr rot="-5400000" vert="horz"/>
              <a:lstStyle/>
              <a:p>
                <a:pPr>
                  <a:defRPr/>
                </a:pPr>
                <a:endParaRPr lang="en-US"/>
              </a:p>
            </c:txPr>
            <c:showLegendKey val="0"/>
            <c:showVal val="1"/>
            <c:showCatName val="0"/>
            <c:showSerName val="0"/>
            <c:showPercent val="0"/>
            <c:showBubbleSize val="0"/>
            <c:showLeaderLines val="0"/>
          </c:dLbls>
          <c:cat>
            <c:strRef>
              <c:f>Facilities!$D$29:$D$37</c:f>
              <c:strCache>
                <c:ptCount val="9"/>
                <c:pt idx="0">
                  <c:v>NSW</c:v>
                </c:pt>
                <c:pt idx="1">
                  <c:v>Vic</c:v>
                </c:pt>
                <c:pt idx="2">
                  <c:v>Qld</c:v>
                </c:pt>
                <c:pt idx="3">
                  <c:v>WA</c:v>
                </c:pt>
                <c:pt idx="4">
                  <c:v>SA</c:v>
                </c:pt>
                <c:pt idx="5">
                  <c:v>Tas</c:v>
                </c:pt>
                <c:pt idx="6">
                  <c:v>ACT</c:v>
                </c:pt>
                <c:pt idx="7">
                  <c:v>NT</c:v>
                </c:pt>
                <c:pt idx="8">
                  <c:v>Total</c:v>
                </c:pt>
              </c:strCache>
            </c:strRef>
          </c:cat>
          <c:val>
            <c:numRef>
              <c:f>Facilities!$G$29:$G$37</c:f>
              <c:numCache>
                <c:formatCode>#,##0.0</c:formatCode>
                <c:ptCount val="9"/>
                <c:pt idx="0">
                  <c:v>35.564297365741034</c:v>
                </c:pt>
                <c:pt idx="1">
                  <c:v>22.73377731859156</c:v>
                </c:pt>
                <c:pt idx="2">
                  <c:v>32.238462042187521</c:v>
                </c:pt>
                <c:pt idx="3">
                  <c:v>30.70131070300701</c:v>
                </c:pt>
                <c:pt idx="4">
                  <c:v>31.713022171313312</c:v>
                </c:pt>
                <c:pt idx="5">
                  <c:v>25.273416906731146</c:v>
                </c:pt>
                <c:pt idx="6">
                  <c:v>17.604699057450016</c:v>
                </c:pt>
                <c:pt idx="7">
                  <c:v>14.926487051272479</c:v>
                </c:pt>
                <c:pt idx="8">
                  <c:v>30.179336760722528</c:v>
                </c:pt>
              </c:numCache>
            </c:numRef>
          </c:val>
        </c:ser>
        <c:ser>
          <c:idx val="3"/>
          <c:order val="3"/>
          <c:tx>
            <c:strRef>
              <c:f>Facilities!$H$28</c:f>
              <c:strCache>
                <c:ptCount val="1"/>
                <c:pt idx="0">
                  <c:v>2010–11</c:v>
                </c:pt>
              </c:strCache>
            </c:strRef>
          </c:tx>
          <c:spPr>
            <a:solidFill>
              <a:srgbClr val="D1D3D4"/>
            </a:solidFill>
            <a:ln>
              <a:noFill/>
            </a:ln>
            <a:effectLst/>
          </c:spPr>
          <c:invertIfNegative val="0"/>
          <c:dLbls>
            <c:txPr>
              <a:bodyPr rot="-5400000" vert="horz"/>
              <a:lstStyle/>
              <a:p>
                <a:pPr>
                  <a:defRPr/>
                </a:pPr>
                <a:endParaRPr lang="en-US"/>
              </a:p>
            </c:txPr>
            <c:showLegendKey val="0"/>
            <c:showVal val="1"/>
            <c:showCatName val="0"/>
            <c:showSerName val="0"/>
            <c:showPercent val="0"/>
            <c:showBubbleSize val="0"/>
            <c:showLeaderLines val="0"/>
          </c:dLbls>
          <c:cat>
            <c:strRef>
              <c:f>Facilities!$D$29:$D$37</c:f>
              <c:strCache>
                <c:ptCount val="9"/>
                <c:pt idx="0">
                  <c:v>NSW</c:v>
                </c:pt>
                <c:pt idx="1">
                  <c:v>Vic</c:v>
                </c:pt>
                <c:pt idx="2">
                  <c:v>Qld</c:v>
                </c:pt>
                <c:pt idx="3">
                  <c:v>WA</c:v>
                </c:pt>
                <c:pt idx="4">
                  <c:v>SA</c:v>
                </c:pt>
                <c:pt idx="5">
                  <c:v>Tas</c:v>
                </c:pt>
                <c:pt idx="6">
                  <c:v>ACT</c:v>
                </c:pt>
                <c:pt idx="7">
                  <c:v>NT</c:v>
                </c:pt>
                <c:pt idx="8">
                  <c:v>Total</c:v>
                </c:pt>
              </c:strCache>
            </c:strRef>
          </c:cat>
          <c:val>
            <c:numRef>
              <c:f>Facilities!$H$29:$H$37</c:f>
              <c:numCache>
                <c:formatCode>#,##0.0</c:formatCode>
                <c:ptCount val="9"/>
                <c:pt idx="0">
                  <c:v>36.907245527821999</c:v>
                </c:pt>
                <c:pt idx="1">
                  <c:v>22.850546544386997</c:v>
                </c:pt>
                <c:pt idx="2">
                  <c:v>31.981918833991962</c:v>
                </c:pt>
                <c:pt idx="3">
                  <c:v>30.18460473044501</c:v>
                </c:pt>
                <c:pt idx="4">
                  <c:v>30.56695265246416</c:v>
                </c:pt>
                <c:pt idx="5">
                  <c:v>24.910871606114231</c:v>
                </c:pt>
                <c:pt idx="6">
                  <c:v>17.816370777862751</c:v>
                </c:pt>
                <c:pt idx="7">
                  <c:v>14.459463566928219</c:v>
                </c:pt>
                <c:pt idx="8">
                  <c:v>30.439099948679587</c:v>
                </c:pt>
              </c:numCache>
            </c:numRef>
          </c:val>
        </c:ser>
        <c:ser>
          <c:idx val="4"/>
          <c:order val="4"/>
          <c:tx>
            <c:strRef>
              <c:f>Facilities!$I$28</c:f>
              <c:strCache>
                <c:ptCount val="1"/>
                <c:pt idx="0">
                  <c:v>2011–12</c:v>
                </c:pt>
              </c:strCache>
            </c:strRef>
          </c:tx>
          <c:spPr>
            <a:solidFill>
              <a:srgbClr val="B9E6FB"/>
            </a:solidFill>
            <a:ln>
              <a:noFill/>
            </a:ln>
            <a:effectLst/>
          </c:spPr>
          <c:invertIfNegative val="0"/>
          <c:dLbls>
            <c:txPr>
              <a:bodyPr rot="-5400000" vert="horz"/>
              <a:lstStyle/>
              <a:p>
                <a:pPr>
                  <a:defRPr/>
                </a:pPr>
                <a:endParaRPr lang="en-US"/>
              </a:p>
            </c:txPr>
            <c:showLegendKey val="0"/>
            <c:showVal val="1"/>
            <c:showCatName val="0"/>
            <c:showSerName val="0"/>
            <c:showPercent val="0"/>
            <c:showBubbleSize val="0"/>
            <c:showLeaderLines val="0"/>
          </c:dLbls>
          <c:cat>
            <c:strRef>
              <c:f>Facilities!$D$29:$D$37</c:f>
              <c:strCache>
                <c:ptCount val="9"/>
                <c:pt idx="0">
                  <c:v>NSW</c:v>
                </c:pt>
                <c:pt idx="1">
                  <c:v>Vic</c:v>
                </c:pt>
                <c:pt idx="2">
                  <c:v>Qld</c:v>
                </c:pt>
                <c:pt idx="3">
                  <c:v>WA</c:v>
                </c:pt>
                <c:pt idx="4">
                  <c:v>SA</c:v>
                </c:pt>
                <c:pt idx="5">
                  <c:v>Tas</c:v>
                </c:pt>
                <c:pt idx="6">
                  <c:v>ACT</c:v>
                </c:pt>
                <c:pt idx="7">
                  <c:v>NT</c:v>
                </c:pt>
                <c:pt idx="8">
                  <c:v>Total</c:v>
                </c:pt>
              </c:strCache>
            </c:strRef>
          </c:cat>
          <c:val>
            <c:numRef>
              <c:f>Facilities!$I$29:$I$37</c:f>
              <c:numCache>
                <c:formatCode>#,##0.0</c:formatCode>
                <c:ptCount val="9"/>
                <c:pt idx="0">
                  <c:v>36.495354798498532</c:v>
                </c:pt>
                <c:pt idx="1">
                  <c:v>22.239804590790293</c:v>
                </c:pt>
                <c:pt idx="2">
                  <c:v>31.028140221521408</c:v>
                </c:pt>
                <c:pt idx="3">
                  <c:v>29.677539224818677</c:v>
                </c:pt>
                <c:pt idx="4">
                  <c:v>29.151668234581042</c:v>
                </c:pt>
                <c:pt idx="5">
                  <c:v>25.584338478845069</c:v>
                </c:pt>
                <c:pt idx="6">
                  <c:v>17.521018483326728</c:v>
                </c:pt>
                <c:pt idx="7">
                  <c:v>13.750961493010641</c:v>
                </c:pt>
                <c:pt idx="8">
                  <c:v>29.80261431631558</c:v>
                </c:pt>
              </c:numCache>
            </c:numRef>
          </c:val>
        </c:ser>
        <c:dLbls>
          <c:showLegendKey val="0"/>
          <c:showVal val="0"/>
          <c:showCatName val="0"/>
          <c:showSerName val="0"/>
          <c:showPercent val="0"/>
          <c:showBubbleSize val="0"/>
        </c:dLbls>
        <c:gapWidth val="150"/>
        <c:axId val="116916224"/>
        <c:axId val="116917760"/>
      </c:barChart>
      <c:catAx>
        <c:axId val="116916224"/>
        <c:scaling>
          <c:orientation val="minMax"/>
        </c:scaling>
        <c:delete val="0"/>
        <c:axPos val="b"/>
        <c:majorTickMark val="none"/>
        <c:minorTickMark val="none"/>
        <c:tickLblPos val="nextTo"/>
        <c:crossAx val="116917760"/>
        <c:crosses val="autoZero"/>
        <c:auto val="1"/>
        <c:lblAlgn val="ctr"/>
        <c:lblOffset val="100"/>
        <c:noMultiLvlLbl val="0"/>
      </c:catAx>
      <c:valAx>
        <c:axId val="116917760"/>
        <c:scaling>
          <c:orientation val="minMax"/>
          <c:max val="40"/>
        </c:scaling>
        <c:delete val="0"/>
        <c:axPos val="l"/>
        <c:title>
          <c:tx>
            <c:rich>
              <a:bodyPr rot="-5400000" vert="horz"/>
              <a:lstStyle/>
              <a:p>
                <a:pPr>
                  <a:defRPr/>
                </a:pPr>
                <a:r>
                  <a:rPr lang="en-US"/>
                  <a:t>Beds per 100,000 population</a:t>
                </a:r>
              </a:p>
            </c:rich>
          </c:tx>
          <c:layout>
            <c:manualLayout>
              <c:xMode val="edge"/>
              <c:yMode val="edge"/>
              <c:x val="5.2999964790233231E-5"/>
              <c:y val="0.147623200335049"/>
            </c:manualLayout>
          </c:layout>
          <c:overlay val="0"/>
        </c:title>
        <c:numFmt formatCode="#,##0.0" sourceLinked="1"/>
        <c:majorTickMark val="out"/>
        <c:minorTickMark val="none"/>
        <c:tickLblPos val="nextTo"/>
        <c:crossAx val="116916224"/>
        <c:crosses val="autoZero"/>
        <c:crossBetween val="between"/>
      </c:valAx>
    </c:plotArea>
    <c:legend>
      <c:legendPos val="r"/>
      <c:layout>
        <c:manualLayout>
          <c:xMode val="edge"/>
          <c:yMode val="edge"/>
          <c:x val="0.13491815725677506"/>
          <c:y val="0.93512335958005299"/>
          <c:w val="0.78587205784298997"/>
          <c:h val="6.1003674540682416E-2"/>
        </c:manualLayout>
      </c:layout>
      <c:overlay val="0"/>
    </c:legend>
    <c:plotVisOnly val="1"/>
    <c:dispBlanksAs val="gap"/>
    <c:showDLblsOverMax val="0"/>
  </c:chart>
  <c:spPr>
    <a:ln>
      <a:noFill/>
    </a:ln>
  </c:spPr>
  <c:txPr>
    <a:bodyPr/>
    <a:lstStyle/>
    <a:p>
      <a:pPr>
        <a:defRPr>
          <a:latin typeface="Calibri"/>
          <a:cs typeface="Calibri"/>
        </a:defRPr>
      </a:pPr>
      <a:endParaRPr lang="en-US"/>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plotArea>
      <c:layout>
        <c:manualLayout>
          <c:layoutTarget val="inner"/>
          <c:xMode val="edge"/>
          <c:yMode val="edge"/>
          <c:x val="0.144669072903164"/>
          <c:y val="3.7763672398093112E-2"/>
          <c:w val="0.83061876977680082"/>
          <c:h val="0.77158444480154198"/>
        </c:manualLayout>
      </c:layout>
      <c:barChart>
        <c:barDir val="col"/>
        <c:grouping val="clustered"/>
        <c:varyColors val="0"/>
        <c:ser>
          <c:idx val="0"/>
          <c:order val="0"/>
          <c:tx>
            <c:strRef>
              <c:f>'ED - occasions'!$B$4</c:f>
              <c:strCache>
                <c:ptCount val="1"/>
                <c:pt idx="0">
                  <c:v>Occasions (per 10,000 population)</c:v>
                </c:pt>
              </c:strCache>
            </c:strRef>
          </c:tx>
          <c:spPr>
            <a:solidFill>
              <a:srgbClr val="72D0F4"/>
            </a:solidFill>
            <a:ln>
              <a:noFill/>
            </a:ln>
            <a:effectLst/>
          </c:spPr>
          <c:invertIfNegative val="0"/>
          <c:dLbls>
            <c:txPr>
              <a:bodyPr rot="-5400000" vert="horz"/>
              <a:lstStyle/>
              <a:p>
                <a:pPr>
                  <a:defRPr/>
                </a:pPr>
                <a:endParaRPr lang="en-US"/>
              </a:p>
            </c:txPr>
            <c:showLegendKey val="0"/>
            <c:showVal val="1"/>
            <c:showCatName val="0"/>
            <c:showSerName val="0"/>
            <c:showPercent val="0"/>
            <c:showBubbleSize val="0"/>
            <c:showLeaderLines val="0"/>
          </c:dLbls>
          <c:cat>
            <c:strRef>
              <c:f>'ED - occasions'!$C$3:$K$3</c:f>
              <c:strCache>
                <c:ptCount val="9"/>
                <c:pt idx="0">
                  <c:v>NSW</c:v>
                </c:pt>
                <c:pt idx="1">
                  <c:v>VIC</c:v>
                </c:pt>
                <c:pt idx="2">
                  <c:v>QLD</c:v>
                </c:pt>
                <c:pt idx="3">
                  <c:v>WA</c:v>
                </c:pt>
                <c:pt idx="4">
                  <c:v>SA</c:v>
                </c:pt>
                <c:pt idx="5">
                  <c:v>TAS</c:v>
                </c:pt>
                <c:pt idx="6">
                  <c:v>ACT</c:v>
                </c:pt>
                <c:pt idx="7">
                  <c:v>NT</c:v>
                </c:pt>
                <c:pt idx="8">
                  <c:v>National</c:v>
                </c:pt>
              </c:strCache>
            </c:strRef>
          </c:cat>
          <c:val>
            <c:numRef>
              <c:f>'ED - occasions'!$C$4:$K$4</c:f>
              <c:numCache>
                <c:formatCode>0.0</c:formatCode>
                <c:ptCount val="9"/>
                <c:pt idx="0">
                  <c:v>70.8</c:v>
                </c:pt>
                <c:pt idx="1">
                  <c:v>75.599999999999994</c:v>
                </c:pt>
                <c:pt idx="2">
                  <c:v>103.78492408618033</c:v>
                </c:pt>
                <c:pt idx="3">
                  <c:v>82.893735829728158</c:v>
                </c:pt>
                <c:pt idx="4">
                  <c:v>96.224798230979488</c:v>
                </c:pt>
                <c:pt idx="5">
                  <c:v>86.088369476907701</c:v>
                </c:pt>
                <c:pt idx="6">
                  <c:v>98.063792680527143</c:v>
                </c:pt>
                <c:pt idx="7">
                  <c:v>197.97087374468754</c:v>
                </c:pt>
                <c:pt idx="8">
                  <c:v>83.83884253632425</c:v>
                </c:pt>
              </c:numCache>
            </c:numRef>
          </c:val>
        </c:ser>
        <c:dLbls>
          <c:showLegendKey val="0"/>
          <c:showVal val="0"/>
          <c:showCatName val="0"/>
          <c:showSerName val="0"/>
          <c:showPercent val="0"/>
          <c:showBubbleSize val="0"/>
        </c:dLbls>
        <c:gapWidth val="150"/>
        <c:axId val="115786112"/>
        <c:axId val="115787648"/>
      </c:barChart>
      <c:catAx>
        <c:axId val="115786112"/>
        <c:scaling>
          <c:orientation val="minMax"/>
        </c:scaling>
        <c:delete val="0"/>
        <c:axPos val="b"/>
        <c:majorTickMark val="none"/>
        <c:minorTickMark val="none"/>
        <c:tickLblPos val="nextTo"/>
        <c:crossAx val="115787648"/>
        <c:crosses val="autoZero"/>
        <c:auto val="1"/>
        <c:lblAlgn val="ctr"/>
        <c:lblOffset val="100"/>
        <c:noMultiLvlLbl val="0"/>
      </c:catAx>
      <c:valAx>
        <c:axId val="115787648"/>
        <c:scaling>
          <c:orientation val="minMax"/>
        </c:scaling>
        <c:delete val="0"/>
        <c:axPos val="l"/>
        <c:title>
          <c:tx>
            <c:rich>
              <a:bodyPr rot="-5400000" vert="horz"/>
              <a:lstStyle/>
              <a:p>
                <a:pPr>
                  <a:defRPr/>
                </a:pPr>
                <a:r>
                  <a:rPr lang="en-AU"/>
                  <a:t>Emergency department occasions</a:t>
                </a:r>
              </a:p>
              <a:p>
                <a:pPr>
                  <a:defRPr/>
                </a:pPr>
                <a:r>
                  <a:rPr lang="en-AU"/>
                  <a:t>per 10,000 population</a:t>
                </a:r>
              </a:p>
            </c:rich>
          </c:tx>
          <c:layout/>
          <c:overlay val="0"/>
        </c:title>
        <c:numFmt formatCode="0" sourceLinked="0"/>
        <c:majorTickMark val="out"/>
        <c:minorTickMark val="none"/>
        <c:tickLblPos val="nextTo"/>
        <c:crossAx val="115786112"/>
        <c:crosses val="autoZero"/>
        <c:crossBetween val="between"/>
      </c:valAx>
    </c:plotArea>
    <c:plotVisOnly val="1"/>
    <c:dispBlanksAs val="gap"/>
    <c:showDLblsOverMax val="0"/>
  </c:chart>
  <c:spPr>
    <a:ln>
      <a:noFill/>
    </a:ln>
  </c:spPr>
  <c:txPr>
    <a:bodyPr/>
    <a:lstStyle/>
    <a:p>
      <a:pPr>
        <a:defRPr>
          <a:latin typeface="+mn-lt"/>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3"/>
    </mc:Choice>
    <mc:Fallback>
      <c:style val="3"/>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2000434428455105"/>
          <c:y val="0.125474628171479"/>
          <c:w val="0.81553679065978801"/>
          <c:h val="0.66097813470527322"/>
        </c:manualLayout>
      </c:layout>
      <c:barChart>
        <c:barDir val="col"/>
        <c:grouping val="clustered"/>
        <c:varyColors val="0"/>
        <c:ser>
          <c:idx val="0"/>
          <c:order val="0"/>
          <c:spPr>
            <a:solidFill>
              <a:srgbClr val="72D0F4"/>
            </a:solidFill>
            <a:ln>
              <a:noFill/>
            </a:ln>
            <a:effectLst/>
          </c:spPr>
          <c:invertIfNegative val="0"/>
          <c:dLbls>
            <c:txPr>
              <a:bodyPr rot="-5400000" vert="horz"/>
              <a:lstStyle/>
              <a:p>
                <a:pPr>
                  <a:defRPr/>
                </a:pPr>
                <a:endParaRPr lang="en-US"/>
              </a:p>
            </c:txPr>
            <c:showLegendKey val="0"/>
            <c:showVal val="1"/>
            <c:showCatName val="0"/>
            <c:showSerName val="0"/>
            <c:showPercent val="0"/>
            <c:showBubbleSize val="0"/>
            <c:showLeaderLines val="0"/>
          </c:dLbls>
          <c:cat>
            <c:strRef>
              <c:f>'CMHC - contacts and patients'!$C$2:$K$2</c:f>
              <c:strCache>
                <c:ptCount val="9"/>
                <c:pt idx="0">
                  <c:v>NSW</c:v>
                </c:pt>
                <c:pt idx="1">
                  <c:v>VIC</c:v>
                </c:pt>
                <c:pt idx="2">
                  <c:v>QLD</c:v>
                </c:pt>
                <c:pt idx="3">
                  <c:v>WA</c:v>
                </c:pt>
                <c:pt idx="4">
                  <c:v>SA</c:v>
                </c:pt>
                <c:pt idx="5">
                  <c:v>TAS</c:v>
                </c:pt>
                <c:pt idx="6">
                  <c:v>ACT</c:v>
                </c:pt>
                <c:pt idx="7">
                  <c:v>NT</c:v>
                </c:pt>
                <c:pt idx="8">
                  <c:v>National</c:v>
                </c:pt>
              </c:strCache>
            </c:strRef>
          </c:cat>
          <c:val>
            <c:numRef>
              <c:f>'CMHC - contacts and patients'!$C$3:$K$3</c:f>
              <c:numCache>
                <c:formatCode>General</c:formatCode>
                <c:ptCount val="9"/>
                <c:pt idx="0" formatCode="_-* #,##0.0_-;\-* #,##0.0_-;_-* &quot;-&quot;??_-;_-@_-">
                  <c:v>406.8028797095813</c:v>
                </c:pt>
                <c:pt idx="2" formatCode="_-* #,##0.0_-;\-* #,##0.0_-;_-* &quot;-&quot;??_-;_-@_-">
                  <c:v>334.24759795933227</c:v>
                </c:pt>
                <c:pt idx="3" formatCode="_-* #,##0.0_-;\-* #,##0.0_-;_-* &quot;-&quot;??_-;_-@_-">
                  <c:v>324.63039101600259</c:v>
                </c:pt>
                <c:pt idx="4" formatCode="_-* #,##0.0_-;\-* #,##0.0_-;_-* &quot;-&quot;??_-;_-@_-">
                  <c:v>398.16125282774232</c:v>
                </c:pt>
                <c:pt idx="6" formatCode="_-* #,##0.0_-;\-* #,##0.0_-;_-* &quot;-&quot;??_-;_-@_-">
                  <c:v>698.5140554568942</c:v>
                </c:pt>
                <c:pt idx="7" formatCode="_-* #,##0.0_-;\-* #,##0.0_-;_-* &quot;-&quot;??_-;_-@_-">
                  <c:v>255.05708299107431</c:v>
                </c:pt>
                <c:pt idx="8" formatCode="_-* #,##0.0_-;\-* #,##0.0_-;_-* &quot;-&quot;??_-;_-@_-">
                  <c:v>371.13880603852834</c:v>
                </c:pt>
              </c:numCache>
            </c:numRef>
          </c:val>
        </c:ser>
        <c:dLbls>
          <c:showLegendKey val="0"/>
          <c:showVal val="0"/>
          <c:showCatName val="0"/>
          <c:showSerName val="0"/>
          <c:showPercent val="0"/>
          <c:showBubbleSize val="0"/>
        </c:dLbls>
        <c:gapWidth val="150"/>
        <c:axId val="115943680"/>
        <c:axId val="115949568"/>
      </c:barChart>
      <c:catAx>
        <c:axId val="115943680"/>
        <c:scaling>
          <c:orientation val="minMax"/>
        </c:scaling>
        <c:delete val="0"/>
        <c:axPos val="b"/>
        <c:majorTickMark val="none"/>
        <c:minorTickMark val="none"/>
        <c:tickLblPos val="nextTo"/>
        <c:crossAx val="115949568"/>
        <c:crosses val="autoZero"/>
        <c:auto val="1"/>
        <c:lblAlgn val="ctr"/>
        <c:lblOffset val="100"/>
        <c:noMultiLvlLbl val="0"/>
      </c:catAx>
      <c:valAx>
        <c:axId val="115949568"/>
        <c:scaling>
          <c:orientation val="minMax"/>
          <c:max val="800"/>
          <c:min val="0"/>
        </c:scaling>
        <c:delete val="0"/>
        <c:axPos val="l"/>
        <c:title>
          <c:tx>
            <c:rich>
              <a:bodyPr rot="-5400000" vert="horz"/>
              <a:lstStyle/>
              <a:p>
                <a:pPr>
                  <a:defRPr/>
                </a:pPr>
                <a:r>
                  <a:rPr lang="en-US"/>
                  <a:t>Rate (per 1,000 population)</a:t>
                </a:r>
              </a:p>
            </c:rich>
          </c:tx>
          <c:layout>
            <c:manualLayout>
              <c:xMode val="edge"/>
              <c:yMode val="edge"/>
              <c:x val="6.8015477958809252E-3"/>
              <c:y val="0.23299356947619906"/>
            </c:manualLayout>
          </c:layout>
          <c:overlay val="0"/>
        </c:title>
        <c:numFmt formatCode="_-* #,##0.0_-;\-* #,##0.0_-;_-* &quot;-&quot;??_-;_-@_-" sourceLinked="1"/>
        <c:majorTickMark val="none"/>
        <c:minorTickMark val="none"/>
        <c:tickLblPos val="nextTo"/>
        <c:crossAx val="115943680"/>
        <c:crosses val="autoZero"/>
        <c:crossBetween val="between"/>
        <c:majorUnit val="100"/>
        <c:minorUnit val="20"/>
      </c:valAx>
    </c:plotArea>
    <c:plotVisOnly val="1"/>
    <c:dispBlanksAs val="gap"/>
    <c:showDLblsOverMax val="0"/>
  </c:chart>
  <c:spPr>
    <a:ln>
      <a:noFill/>
    </a:ln>
  </c:spPr>
  <c:txPr>
    <a:bodyPr/>
    <a:lstStyle/>
    <a:p>
      <a:pPr>
        <a:defRPr sz="800" baseline="0">
          <a:latin typeface="+mn-lt"/>
        </a:defRPr>
      </a:pPr>
      <a:endParaRPr lang="en-US"/>
    </a:p>
  </c:txPr>
  <c:externalData r:id="rId2">
    <c:autoUpdate val="0"/>
  </c:externalData>
  <c:userShapes r:id="rId3"/>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2000434428455105"/>
          <c:y val="0.10988326322784002"/>
          <c:w val="0.87399586275847463"/>
          <c:h val="0.70346803511771083"/>
        </c:manualLayout>
      </c:layout>
      <c:barChart>
        <c:barDir val="col"/>
        <c:grouping val="clustered"/>
        <c:varyColors val="0"/>
        <c:ser>
          <c:idx val="0"/>
          <c:order val="0"/>
          <c:tx>
            <c:strRef>
              <c:f>Residential!$A$3</c:f>
              <c:strCache>
                <c:ptCount val="1"/>
                <c:pt idx="0">
                  <c:v>Rate (per 10,000 population)</c:v>
                </c:pt>
              </c:strCache>
            </c:strRef>
          </c:tx>
          <c:spPr>
            <a:solidFill>
              <a:srgbClr val="72D0F4"/>
            </a:solidFill>
            <a:ln>
              <a:noFill/>
            </a:ln>
            <a:effectLst/>
          </c:spPr>
          <c:invertIfNegative val="0"/>
          <c:dLbls>
            <c:txPr>
              <a:bodyPr rot="-5400000" vert="horz"/>
              <a:lstStyle/>
              <a:p>
                <a:pPr>
                  <a:defRPr sz="1000"/>
                </a:pPr>
                <a:endParaRPr lang="en-US"/>
              </a:p>
            </c:txPr>
            <c:showLegendKey val="0"/>
            <c:showVal val="1"/>
            <c:showCatName val="0"/>
            <c:showSerName val="0"/>
            <c:showPercent val="0"/>
            <c:showBubbleSize val="0"/>
            <c:showLeaderLines val="0"/>
          </c:dLbls>
          <c:cat>
            <c:strRef>
              <c:f>Residential!$B$2:$J$2</c:f>
              <c:strCache>
                <c:ptCount val="9"/>
                <c:pt idx="0">
                  <c:v>NSW</c:v>
                </c:pt>
                <c:pt idx="1">
                  <c:v>Vic</c:v>
                </c:pt>
                <c:pt idx="2">
                  <c:v>Qld</c:v>
                </c:pt>
                <c:pt idx="3">
                  <c:v>WA</c:v>
                </c:pt>
                <c:pt idx="4">
                  <c:v>SA</c:v>
                </c:pt>
                <c:pt idx="5">
                  <c:v>Tas</c:v>
                </c:pt>
                <c:pt idx="6">
                  <c:v>ACT</c:v>
                </c:pt>
                <c:pt idx="7">
                  <c:v>NT</c:v>
                </c:pt>
                <c:pt idx="8">
                  <c:v>Total</c:v>
                </c:pt>
              </c:strCache>
            </c:strRef>
          </c:cat>
          <c:val>
            <c:numRef>
              <c:f>Residential!$B$3:$J$3</c:f>
              <c:numCache>
                <c:formatCode>0.0</c:formatCode>
                <c:ptCount val="9"/>
                <c:pt idx="0">
                  <c:v>0.40944962400456708</c:v>
                </c:pt>
                <c:pt idx="1">
                  <c:v>5.2937982818901199</c:v>
                </c:pt>
                <c:pt idx="3">
                  <c:v>1.0723657129912174</c:v>
                </c:pt>
                <c:pt idx="4">
                  <c:v>10.681206567000149</c:v>
                </c:pt>
                <c:pt idx="5">
                  <c:v>20.886143479343058</c:v>
                </c:pt>
                <c:pt idx="6">
                  <c:v>1.7502933652247878</c:v>
                </c:pt>
                <c:pt idx="7">
                  <c:v>4.2358530318724785</c:v>
                </c:pt>
                <c:pt idx="8">
                  <c:v>2.8693798948737772</c:v>
                </c:pt>
              </c:numCache>
            </c:numRef>
          </c:val>
        </c:ser>
        <c:dLbls>
          <c:showLegendKey val="0"/>
          <c:showVal val="0"/>
          <c:showCatName val="0"/>
          <c:showSerName val="0"/>
          <c:showPercent val="0"/>
          <c:showBubbleSize val="0"/>
        </c:dLbls>
        <c:gapWidth val="150"/>
        <c:axId val="115991680"/>
        <c:axId val="115993216"/>
      </c:barChart>
      <c:catAx>
        <c:axId val="115991680"/>
        <c:scaling>
          <c:orientation val="minMax"/>
        </c:scaling>
        <c:delete val="0"/>
        <c:axPos val="b"/>
        <c:majorTickMark val="none"/>
        <c:minorTickMark val="none"/>
        <c:tickLblPos val="nextTo"/>
        <c:txPr>
          <a:bodyPr/>
          <a:lstStyle/>
          <a:p>
            <a:pPr>
              <a:defRPr sz="1000"/>
            </a:pPr>
            <a:endParaRPr lang="en-US"/>
          </a:p>
        </c:txPr>
        <c:crossAx val="115993216"/>
        <c:crosses val="autoZero"/>
        <c:auto val="1"/>
        <c:lblAlgn val="ctr"/>
        <c:lblOffset val="100"/>
        <c:noMultiLvlLbl val="0"/>
      </c:catAx>
      <c:valAx>
        <c:axId val="115993216"/>
        <c:scaling>
          <c:orientation val="minMax"/>
          <c:max val="25"/>
        </c:scaling>
        <c:delete val="0"/>
        <c:axPos val="l"/>
        <c:title>
          <c:tx>
            <c:rich>
              <a:bodyPr rot="-5400000" vert="horz"/>
              <a:lstStyle/>
              <a:p>
                <a:pPr>
                  <a:defRPr sz="1000"/>
                </a:pPr>
                <a:r>
                  <a:rPr lang="en-US" sz="1000"/>
                  <a:t>Rate (per 10,000 population)</a:t>
                </a:r>
              </a:p>
            </c:rich>
          </c:tx>
          <c:layout>
            <c:manualLayout>
              <c:xMode val="edge"/>
              <c:yMode val="edge"/>
              <c:x val="8.1201880631283727E-3"/>
              <c:y val="0.21788787315637406"/>
            </c:manualLayout>
          </c:layout>
          <c:overlay val="0"/>
        </c:title>
        <c:numFmt formatCode="0.0" sourceLinked="1"/>
        <c:majorTickMark val="out"/>
        <c:minorTickMark val="none"/>
        <c:tickLblPos val="nextTo"/>
        <c:txPr>
          <a:bodyPr/>
          <a:lstStyle/>
          <a:p>
            <a:pPr>
              <a:defRPr sz="1000"/>
            </a:pPr>
            <a:endParaRPr lang="en-US"/>
          </a:p>
        </c:txPr>
        <c:crossAx val="115991680"/>
        <c:crosses val="autoZero"/>
        <c:crossBetween val="between"/>
      </c:valAx>
    </c:plotArea>
    <c:plotVisOnly val="1"/>
    <c:dispBlanksAs val="gap"/>
    <c:showDLblsOverMax val="0"/>
  </c:chart>
  <c:spPr>
    <a:ln>
      <a:noFill/>
    </a:ln>
  </c:spPr>
  <c:txPr>
    <a:bodyPr/>
    <a:lstStyle/>
    <a:p>
      <a:pPr>
        <a:defRPr sz="800" baseline="0">
          <a:latin typeface="Calibri"/>
        </a:defRPr>
      </a:pPr>
      <a:endParaRPr lang="en-US"/>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3"/>
    </mc:Choice>
    <mc:Fallback>
      <c:style val="3"/>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2000434428455105"/>
          <c:y val="5.6030183727034097E-2"/>
          <c:w val="0.81553679065978801"/>
          <c:h val="0.66425203363227225"/>
        </c:manualLayout>
      </c:layout>
      <c:barChart>
        <c:barDir val="col"/>
        <c:grouping val="clustered"/>
        <c:varyColors val="0"/>
        <c:ser>
          <c:idx val="0"/>
          <c:order val="0"/>
          <c:tx>
            <c:strRef>
              <c:f>Sheet1!$A$3</c:f>
              <c:strCache>
                <c:ptCount val="1"/>
                <c:pt idx="0">
                  <c:v>FTE employed psychiatrists</c:v>
                </c:pt>
              </c:strCache>
            </c:strRef>
          </c:tx>
          <c:spPr>
            <a:solidFill>
              <a:srgbClr val="2F3490"/>
            </a:solidFill>
          </c:spPr>
          <c:invertIfNegative val="0"/>
          <c:dLbls>
            <c:txPr>
              <a:bodyPr rot="-5400000" vert="horz"/>
              <a:lstStyle/>
              <a:p>
                <a:pPr>
                  <a:defRPr/>
                </a:pPr>
                <a:endParaRPr lang="en-US"/>
              </a:p>
            </c:txPr>
            <c:showLegendKey val="0"/>
            <c:showVal val="1"/>
            <c:showCatName val="0"/>
            <c:showSerName val="0"/>
            <c:showPercent val="0"/>
            <c:showBubbleSize val="0"/>
            <c:showLeaderLines val="0"/>
          </c:dLbls>
          <c:cat>
            <c:strRef>
              <c:f>Sheet1!$B$2:$J$2</c:f>
              <c:strCache>
                <c:ptCount val="9"/>
                <c:pt idx="0">
                  <c:v>NSW</c:v>
                </c:pt>
                <c:pt idx="1">
                  <c:v>Vic</c:v>
                </c:pt>
                <c:pt idx="2">
                  <c:v>Qld</c:v>
                </c:pt>
                <c:pt idx="3">
                  <c:v>WA</c:v>
                </c:pt>
                <c:pt idx="4">
                  <c:v>SA</c:v>
                </c:pt>
                <c:pt idx="5">
                  <c:v>Tas</c:v>
                </c:pt>
                <c:pt idx="6">
                  <c:v>ACT</c:v>
                </c:pt>
                <c:pt idx="7">
                  <c:v>NT</c:v>
                </c:pt>
                <c:pt idx="8">
                  <c:v>Total</c:v>
                </c:pt>
              </c:strCache>
            </c:strRef>
          </c:cat>
          <c:val>
            <c:numRef>
              <c:f>Sheet1!$B$3:$J$3</c:f>
              <c:numCache>
                <c:formatCode>#,##0.0</c:formatCode>
                <c:ptCount val="9"/>
                <c:pt idx="0">
                  <c:v>12.719581426810221</c:v>
                </c:pt>
                <c:pt idx="1">
                  <c:v>14.317928874352448</c:v>
                </c:pt>
                <c:pt idx="2">
                  <c:v>12.878717426772848</c:v>
                </c:pt>
                <c:pt idx="3">
                  <c:v>11.050830249373163</c:v>
                </c:pt>
                <c:pt idx="4">
                  <c:v>15.134567140988811</c:v>
                </c:pt>
                <c:pt idx="5">
                  <c:v>10.59857553583314</c:v>
                </c:pt>
                <c:pt idx="6">
                  <c:v>12.887234730732599</c:v>
                </c:pt>
                <c:pt idx="7">
                  <c:v>8.1974587206593412</c:v>
                </c:pt>
                <c:pt idx="8">
                  <c:v>13.063031899795254</c:v>
                </c:pt>
              </c:numCache>
            </c:numRef>
          </c:val>
        </c:ser>
        <c:ser>
          <c:idx val="1"/>
          <c:order val="1"/>
          <c:tx>
            <c:strRef>
              <c:f>Sheet1!$A$4</c:f>
              <c:strCache>
                <c:ptCount val="1"/>
                <c:pt idx="0">
                  <c:v>FTE employed mental health nurses</c:v>
                </c:pt>
              </c:strCache>
            </c:strRef>
          </c:tx>
          <c:spPr>
            <a:solidFill>
              <a:srgbClr val="2D5EA8"/>
            </a:solidFill>
          </c:spPr>
          <c:invertIfNegative val="0"/>
          <c:dLbls>
            <c:txPr>
              <a:bodyPr rot="-5400000" vert="horz"/>
              <a:lstStyle/>
              <a:p>
                <a:pPr>
                  <a:defRPr/>
                </a:pPr>
                <a:endParaRPr lang="en-US"/>
              </a:p>
            </c:txPr>
            <c:showLegendKey val="0"/>
            <c:showVal val="1"/>
            <c:showCatName val="0"/>
            <c:showSerName val="0"/>
            <c:showPercent val="0"/>
            <c:showBubbleSize val="0"/>
            <c:showLeaderLines val="0"/>
          </c:dLbls>
          <c:cat>
            <c:strRef>
              <c:f>Sheet1!$B$2:$J$2</c:f>
              <c:strCache>
                <c:ptCount val="9"/>
                <c:pt idx="0">
                  <c:v>NSW</c:v>
                </c:pt>
                <c:pt idx="1">
                  <c:v>Vic</c:v>
                </c:pt>
                <c:pt idx="2">
                  <c:v>Qld</c:v>
                </c:pt>
                <c:pt idx="3">
                  <c:v>WA</c:v>
                </c:pt>
                <c:pt idx="4">
                  <c:v>SA</c:v>
                </c:pt>
                <c:pt idx="5">
                  <c:v>Tas</c:v>
                </c:pt>
                <c:pt idx="6">
                  <c:v>ACT</c:v>
                </c:pt>
                <c:pt idx="7">
                  <c:v>NT</c:v>
                </c:pt>
                <c:pt idx="8">
                  <c:v>Total</c:v>
                </c:pt>
              </c:strCache>
            </c:strRef>
          </c:cat>
          <c:val>
            <c:numRef>
              <c:f>Sheet1!$B$4:$J$4</c:f>
              <c:numCache>
                <c:formatCode>#,##0.0</c:formatCode>
                <c:ptCount val="9"/>
                <c:pt idx="0">
                  <c:v>76.900000000000006</c:v>
                </c:pt>
                <c:pt idx="1">
                  <c:v>84.7</c:v>
                </c:pt>
                <c:pt idx="2">
                  <c:v>76.400000000000006</c:v>
                </c:pt>
                <c:pt idx="3">
                  <c:v>86.3</c:v>
                </c:pt>
                <c:pt idx="4">
                  <c:v>85.5</c:v>
                </c:pt>
                <c:pt idx="5">
                  <c:v>81.5</c:v>
                </c:pt>
                <c:pt idx="6">
                  <c:v>62.1</c:v>
                </c:pt>
                <c:pt idx="7">
                  <c:v>76.7</c:v>
                </c:pt>
                <c:pt idx="8">
                  <c:v>80.3</c:v>
                </c:pt>
              </c:numCache>
            </c:numRef>
          </c:val>
        </c:ser>
        <c:ser>
          <c:idx val="2"/>
          <c:order val="2"/>
          <c:tx>
            <c:strRef>
              <c:f>Sheet1!$A$5</c:f>
              <c:strCache>
                <c:ptCount val="1"/>
                <c:pt idx="0">
                  <c:v>FTE employed registered psychologists</c:v>
                </c:pt>
              </c:strCache>
            </c:strRef>
          </c:tx>
          <c:spPr>
            <a:solidFill>
              <a:srgbClr val="72D0F4"/>
            </a:solidFill>
          </c:spPr>
          <c:invertIfNegative val="0"/>
          <c:dLbls>
            <c:txPr>
              <a:bodyPr rot="-5400000" vert="horz"/>
              <a:lstStyle/>
              <a:p>
                <a:pPr>
                  <a:defRPr/>
                </a:pPr>
                <a:endParaRPr lang="en-US"/>
              </a:p>
            </c:txPr>
            <c:showLegendKey val="0"/>
            <c:showVal val="1"/>
            <c:showCatName val="0"/>
            <c:showSerName val="0"/>
            <c:showPercent val="0"/>
            <c:showBubbleSize val="0"/>
            <c:showLeaderLines val="0"/>
          </c:dLbls>
          <c:cat>
            <c:strRef>
              <c:f>Sheet1!$B$2:$J$2</c:f>
              <c:strCache>
                <c:ptCount val="9"/>
                <c:pt idx="0">
                  <c:v>NSW</c:v>
                </c:pt>
                <c:pt idx="1">
                  <c:v>Vic</c:v>
                </c:pt>
                <c:pt idx="2">
                  <c:v>Qld</c:v>
                </c:pt>
                <c:pt idx="3">
                  <c:v>WA</c:v>
                </c:pt>
                <c:pt idx="4">
                  <c:v>SA</c:v>
                </c:pt>
                <c:pt idx="5">
                  <c:v>Tas</c:v>
                </c:pt>
                <c:pt idx="6">
                  <c:v>ACT</c:v>
                </c:pt>
                <c:pt idx="7">
                  <c:v>NT</c:v>
                </c:pt>
                <c:pt idx="8">
                  <c:v>Total</c:v>
                </c:pt>
              </c:strCache>
            </c:strRef>
          </c:cat>
          <c:val>
            <c:numRef>
              <c:f>Sheet1!$B$5:$J$5</c:f>
              <c:numCache>
                <c:formatCode>#,##0.0</c:formatCode>
                <c:ptCount val="9"/>
                <c:pt idx="0">
                  <c:v>89.921647787864202</c:v>
                </c:pt>
                <c:pt idx="1">
                  <c:v>88.662139495288955</c:v>
                </c:pt>
                <c:pt idx="2">
                  <c:v>77.949346067016563</c:v>
                </c:pt>
                <c:pt idx="3">
                  <c:v>85.295962602961481</c:v>
                </c:pt>
                <c:pt idx="4">
                  <c:v>59.306924655511935</c:v>
                </c:pt>
                <c:pt idx="5">
                  <c:v>68.275906490505179</c:v>
                </c:pt>
                <c:pt idx="6">
                  <c:v>138.37913963810163</c:v>
                </c:pt>
                <c:pt idx="7">
                  <c:v>79.002644760228264</c:v>
                </c:pt>
                <c:pt idx="8">
                  <c:v>84.632329785113029</c:v>
                </c:pt>
              </c:numCache>
            </c:numRef>
          </c:val>
        </c:ser>
        <c:dLbls>
          <c:showLegendKey val="0"/>
          <c:showVal val="0"/>
          <c:showCatName val="0"/>
          <c:showSerName val="0"/>
          <c:showPercent val="0"/>
          <c:showBubbleSize val="0"/>
        </c:dLbls>
        <c:gapWidth val="150"/>
        <c:axId val="116045696"/>
        <c:axId val="116047232"/>
      </c:barChart>
      <c:catAx>
        <c:axId val="116045696"/>
        <c:scaling>
          <c:orientation val="minMax"/>
        </c:scaling>
        <c:delete val="0"/>
        <c:axPos val="b"/>
        <c:majorTickMark val="none"/>
        <c:minorTickMark val="none"/>
        <c:tickLblPos val="nextTo"/>
        <c:crossAx val="116047232"/>
        <c:crosses val="autoZero"/>
        <c:auto val="1"/>
        <c:lblAlgn val="ctr"/>
        <c:lblOffset val="100"/>
        <c:noMultiLvlLbl val="0"/>
      </c:catAx>
      <c:valAx>
        <c:axId val="116047232"/>
        <c:scaling>
          <c:orientation val="minMax"/>
          <c:max val="160"/>
        </c:scaling>
        <c:delete val="0"/>
        <c:axPos val="l"/>
        <c:title>
          <c:tx>
            <c:rich>
              <a:bodyPr rot="-5400000" vert="horz"/>
              <a:lstStyle/>
              <a:p>
                <a:pPr>
                  <a:defRPr/>
                </a:pPr>
                <a:r>
                  <a:rPr lang="en-US"/>
                  <a:t>Rate (FTE per 100,000 population)</a:t>
                </a:r>
              </a:p>
              <a:p>
                <a:pPr>
                  <a:defRPr/>
                </a:pPr>
                <a:endParaRPr lang="en-US"/>
              </a:p>
            </c:rich>
          </c:tx>
          <c:layout>
            <c:manualLayout>
              <c:xMode val="edge"/>
              <c:yMode val="edge"/>
              <c:x val="1.8216535433070901E-2"/>
              <c:y val="0.13898810105312506"/>
            </c:manualLayout>
          </c:layout>
          <c:overlay val="0"/>
        </c:title>
        <c:numFmt formatCode="#,##0.0" sourceLinked="1"/>
        <c:majorTickMark val="out"/>
        <c:minorTickMark val="none"/>
        <c:tickLblPos val="nextTo"/>
        <c:crossAx val="116045696"/>
        <c:crosses val="autoZero"/>
        <c:crossBetween val="between"/>
        <c:majorUnit val="20"/>
      </c:valAx>
    </c:plotArea>
    <c:legend>
      <c:legendPos val="r"/>
      <c:layout>
        <c:manualLayout>
          <c:xMode val="edge"/>
          <c:yMode val="edge"/>
          <c:x val="1.3978394259009701E-2"/>
          <c:y val="0.81895006610526"/>
          <c:w val="0.97229024298076205"/>
          <c:h val="8.2719530689232698E-2"/>
        </c:manualLayout>
      </c:layout>
      <c:overlay val="0"/>
    </c:legend>
    <c:plotVisOnly val="1"/>
    <c:dispBlanksAs val="gap"/>
    <c:showDLblsOverMax val="0"/>
  </c:chart>
  <c:spPr>
    <a:ln>
      <a:noFill/>
    </a:ln>
  </c:spPr>
  <c:txPr>
    <a:bodyPr/>
    <a:lstStyle/>
    <a:p>
      <a:pPr>
        <a:defRPr sz="800" baseline="0">
          <a:latin typeface="Calibri"/>
          <a:cs typeface="Calibri"/>
        </a:defRPr>
      </a:pPr>
      <a:endParaRPr lang="en-US"/>
    </a:p>
  </c:txPr>
  <c:externalData r:id="rId2">
    <c:autoUpdate val="0"/>
  </c:externalData>
  <c:userShapes r:id="rId3"/>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0"/>
    <c:plotArea>
      <c:layout>
        <c:manualLayout>
          <c:layoutTarget val="inner"/>
          <c:xMode val="edge"/>
          <c:yMode val="edge"/>
          <c:x val="0.12471132624072702"/>
          <c:y val="0.10850719864429401"/>
          <c:w val="0.85319269193492497"/>
          <c:h val="0.57865790751842638"/>
        </c:manualLayout>
      </c:layout>
      <c:barChart>
        <c:barDir val="col"/>
        <c:grouping val="clustered"/>
        <c:varyColors val="0"/>
        <c:ser>
          <c:idx val="0"/>
          <c:order val="0"/>
          <c:tx>
            <c:strRef>
              <c:f>Expenditure!$J$15</c:f>
              <c:strCache>
                <c:ptCount val="1"/>
                <c:pt idx="0">
                  <c:v>Community mental health services</c:v>
                </c:pt>
              </c:strCache>
            </c:strRef>
          </c:tx>
          <c:spPr>
            <a:solidFill>
              <a:srgbClr val="2F3490"/>
            </a:solidFill>
            <a:ln>
              <a:noFill/>
            </a:ln>
            <a:effectLst/>
          </c:spPr>
          <c:invertIfNegative val="0"/>
          <c:dLbls>
            <c:txPr>
              <a:bodyPr rot="-5400000" vert="horz"/>
              <a:lstStyle/>
              <a:p>
                <a:pPr>
                  <a:defRPr/>
                </a:pPr>
                <a:endParaRPr lang="en-US"/>
              </a:p>
            </c:txPr>
            <c:showLegendKey val="0"/>
            <c:showVal val="1"/>
            <c:showCatName val="0"/>
            <c:showSerName val="0"/>
            <c:showPercent val="0"/>
            <c:showBubbleSize val="0"/>
            <c:showLeaderLines val="0"/>
          </c:dLbls>
          <c:cat>
            <c:strRef>
              <c:f>Expenditure!$I$16:$I$24</c:f>
              <c:strCache>
                <c:ptCount val="9"/>
                <c:pt idx="0">
                  <c:v>NSW</c:v>
                </c:pt>
                <c:pt idx="1">
                  <c:v>VIC</c:v>
                </c:pt>
                <c:pt idx="2">
                  <c:v>QLD</c:v>
                </c:pt>
                <c:pt idx="3">
                  <c:v>WA</c:v>
                </c:pt>
                <c:pt idx="4">
                  <c:v>SA</c:v>
                </c:pt>
                <c:pt idx="5">
                  <c:v>TAS</c:v>
                </c:pt>
                <c:pt idx="6">
                  <c:v>ACT</c:v>
                </c:pt>
                <c:pt idx="7">
                  <c:v>NT</c:v>
                </c:pt>
                <c:pt idx="8">
                  <c:v>National</c:v>
                </c:pt>
              </c:strCache>
            </c:strRef>
          </c:cat>
          <c:val>
            <c:numRef>
              <c:f>Expenditure!$J$16:$J$24</c:f>
              <c:numCache>
                <c:formatCode>0.0</c:formatCode>
                <c:ptCount val="9"/>
                <c:pt idx="0">
                  <c:v>35.790202374142403</c:v>
                </c:pt>
                <c:pt idx="1">
                  <c:v>38.905982388724262</c:v>
                </c:pt>
                <c:pt idx="2">
                  <c:v>45.044496038318073</c:v>
                </c:pt>
                <c:pt idx="3">
                  <c:v>41.318493957800328</c:v>
                </c:pt>
                <c:pt idx="4">
                  <c:v>42.193007400564781</c:v>
                </c:pt>
                <c:pt idx="5">
                  <c:v>31.905825242492693</c:v>
                </c:pt>
                <c:pt idx="6">
                  <c:v>44.746901547905502</c:v>
                </c:pt>
                <c:pt idx="7">
                  <c:v>47.865341212966101</c:v>
                </c:pt>
                <c:pt idx="8">
                  <c:v>39.760265356301353</c:v>
                </c:pt>
              </c:numCache>
            </c:numRef>
          </c:val>
        </c:ser>
        <c:ser>
          <c:idx val="1"/>
          <c:order val="1"/>
          <c:tx>
            <c:strRef>
              <c:f>Expenditure!$K$15</c:f>
              <c:strCache>
                <c:ptCount val="1"/>
                <c:pt idx="0">
                  <c:v>Public hospital services</c:v>
                </c:pt>
              </c:strCache>
            </c:strRef>
          </c:tx>
          <c:spPr>
            <a:solidFill>
              <a:srgbClr val="2D5EA8"/>
            </a:solidFill>
            <a:ln>
              <a:noFill/>
            </a:ln>
            <a:effectLst/>
          </c:spPr>
          <c:invertIfNegative val="0"/>
          <c:dLbls>
            <c:txPr>
              <a:bodyPr rot="-5400000" vert="horz"/>
              <a:lstStyle/>
              <a:p>
                <a:pPr>
                  <a:defRPr/>
                </a:pPr>
                <a:endParaRPr lang="en-US"/>
              </a:p>
            </c:txPr>
            <c:showLegendKey val="0"/>
            <c:showVal val="1"/>
            <c:showCatName val="0"/>
            <c:showSerName val="0"/>
            <c:showPercent val="0"/>
            <c:showBubbleSize val="0"/>
            <c:showLeaderLines val="0"/>
          </c:dLbls>
          <c:cat>
            <c:strRef>
              <c:f>Expenditure!$I$16:$I$24</c:f>
              <c:strCache>
                <c:ptCount val="9"/>
                <c:pt idx="0">
                  <c:v>NSW</c:v>
                </c:pt>
                <c:pt idx="1">
                  <c:v>VIC</c:v>
                </c:pt>
                <c:pt idx="2">
                  <c:v>QLD</c:v>
                </c:pt>
                <c:pt idx="3">
                  <c:v>WA</c:v>
                </c:pt>
                <c:pt idx="4">
                  <c:v>SA</c:v>
                </c:pt>
                <c:pt idx="5">
                  <c:v>TAS</c:v>
                </c:pt>
                <c:pt idx="6">
                  <c:v>ACT</c:v>
                </c:pt>
                <c:pt idx="7">
                  <c:v>NT</c:v>
                </c:pt>
                <c:pt idx="8">
                  <c:v>National</c:v>
                </c:pt>
              </c:strCache>
            </c:strRef>
          </c:cat>
          <c:val>
            <c:numRef>
              <c:f>Expenditure!$K$16:$K$24</c:f>
              <c:numCache>
                <c:formatCode>0.0</c:formatCode>
                <c:ptCount val="9"/>
                <c:pt idx="0">
                  <c:v>53.490711084568737</c:v>
                </c:pt>
                <c:pt idx="1">
                  <c:v>31.114725251243517</c:v>
                </c:pt>
                <c:pt idx="2">
                  <c:v>40.938370911303373</c:v>
                </c:pt>
                <c:pt idx="3">
                  <c:v>44.028047951289196</c:v>
                </c:pt>
                <c:pt idx="4">
                  <c:v>40.134085004848423</c:v>
                </c:pt>
                <c:pt idx="5">
                  <c:v>37.724788431313513</c:v>
                </c:pt>
                <c:pt idx="6">
                  <c:v>24.537091638348027</c:v>
                </c:pt>
                <c:pt idx="7">
                  <c:v>32.895253981897575</c:v>
                </c:pt>
                <c:pt idx="8">
                  <c:v>42.507813794118277</c:v>
                </c:pt>
              </c:numCache>
            </c:numRef>
          </c:val>
        </c:ser>
        <c:ser>
          <c:idx val="2"/>
          <c:order val="2"/>
          <c:tx>
            <c:strRef>
              <c:f>Expenditure!$L$15</c:f>
              <c:strCache>
                <c:ptCount val="1"/>
                <c:pt idx="0">
                  <c:v>Grants to non-government organisations</c:v>
                </c:pt>
              </c:strCache>
            </c:strRef>
          </c:tx>
          <c:spPr>
            <a:solidFill>
              <a:srgbClr val="72D0F4"/>
            </a:solidFill>
            <a:ln>
              <a:noFill/>
            </a:ln>
            <a:effectLst/>
          </c:spPr>
          <c:invertIfNegative val="0"/>
          <c:dLbls>
            <c:txPr>
              <a:bodyPr rot="-5400000" vert="horz"/>
              <a:lstStyle/>
              <a:p>
                <a:pPr>
                  <a:defRPr/>
                </a:pPr>
                <a:endParaRPr lang="en-US"/>
              </a:p>
            </c:txPr>
            <c:showLegendKey val="0"/>
            <c:showVal val="1"/>
            <c:showCatName val="0"/>
            <c:showSerName val="0"/>
            <c:showPercent val="0"/>
            <c:showBubbleSize val="0"/>
            <c:showLeaderLines val="0"/>
          </c:dLbls>
          <c:cat>
            <c:strRef>
              <c:f>Expenditure!$I$16:$I$24</c:f>
              <c:strCache>
                <c:ptCount val="9"/>
                <c:pt idx="0">
                  <c:v>NSW</c:v>
                </c:pt>
                <c:pt idx="1">
                  <c:v>VIC</c:v>
                </c:pt>
                <c:pt idx="2">
                  <c:v>QLD</c:v>
                </c:pt>
                <c:pt idx="3">
                  <c:v>WA</c:v>
                </c:pt>
                <c:pt idx="4">
                  <c:v>SA</c:v>
                </c:pt>
                <c:pt idx="5">
                  <c:v>TAS</c:v>
                </c:pt>
                <c:pt idx="6">
                  <c:v>ACT</c:v>
                </c:pt>
                <c:pt idx="7">
                  <c:v>NT</c:v>
                </c:pt>
                <c:pt idx="8">
                  <c:v>National</c:v>
                </c:pt>
              </c:strCache>
            </c:strRef>
          </c:cat>
          <c:val>
            <c:numRef>
              <c:f>Expenditure!$L$16:$L$24</c:f>
              <c:numCache>
                <c:formatCode>0.0</c:formatCode>
                <c:ptCount val="9"/>
                <c:pt idx="0">
                  <c:v>4.8873884138594743</c:v>
                </c:pt>
                <c:pt idx="1">
                  <c:v>8.2519208681224399</c:v>
                </c:pt>
                <c:pt idx="2">
                  <c:v>7.7878150761044447</c:v>
                </c:pt>
                <c:pt idx="3">
                  <c:v>5.4682620583211321</c:v>
                </c:pt>
                <c:pt idx="4">
                  <c:v>9.7697094191715497</c:v>
                </c:pt>
                <c:pt idx="5">
                  <c:v>6.05241316424984</c:v>
                </c:pt>
                <c:pt idx="6">
                  <c:v>13.29309272730316</c:v>
                </c:pt>
                <c:pt idx="7">
                  <c:v>7.3397230169638519</c:v>
                </c:pt>
                <c:pt idx="8">
                  <c:v>6.8879531408975057</c:v>
                </c:pt>
              </c:numCache>
            </c:numRef>
          </c:val>
        </c:ser>
        <c:ser>
          <c:idx val="3"/>
          <c:order val="3"/>
          <c:tx>
            <c:strRef>
              <c:f>Expenditure!$M$15</c:f>
              <c:strCache>
                <c:ptCount val="1"/>
                <c:pt idx="0">
                  <c:v>Other services</c:v>
                </c:pt>
              </c:strCache>
            </c:strRef>
          </c:tx>
          <c:spPr>
            <a:solidFill>
              <a:srgbClr val="D1D3D4"/>
            </a:solidFill>
            <a:ln>
              <a:noFill/>
            </a:ln>
            <a:effectLst/>
          </c:spPr>
          <c:invertIfNegative val="0"/>
          <c:dLbls>
            <c:txPr>
              <a:bodyPr rot="-5400000" vert="horz"/>
              <a:lstStyle/>
              <a:p>
                <a:pPr>
                  <a:defRPr/>
                </a:pPr>
                <a:endParaRPr lang="en-US"/>
              </a:p>
            </c:txPr>
            <c:showLegendKey val="0"/>
            <c:showVal val="1"/>
            <c:showCatName val="0"/>
            <c:showSerName val="0"/>
            <c:showPercent val="0"/>
            <c:showBubbleSize val="0"/>
            <c:showLeaderLines val="0"/>
          </c:dLbls>
          <c:cat>
            <c:strRef>
              <c:f>Expenditure!$I$16:$I$24</c:f>
              <c:strCache>
                <c:ptCount val="9"/>
                <c:pt idx="0">
                  <c:v>NSW</c:v>
                </c:pt>
                <c:pt idx="1">
                  <c:v>VIC</c:v>
                </c:pt>
                <c:pt idx="2">
                  <c:v>QLD</c:v>
                </c:pt>
                <c:pt idx="3">
                  <c:v>WA</c:v>
                </c:pt>
                <c:pt idx="4">
                  <c:v>SA</c:v>
                </c:pt>
                <c:pt idx="5">
                  <c:v>TAS</c:v>
                </c:pt>
                <c:pt idx="6">
                  <c:v>ACT</c:v>
                </c:pt>
                <c:pt idx="7">
                  <c:v>NT</c:v>
                </c:pt>
                <c:pt idx="8">
                  <c:v>National</c:v>
                </c:pt>
              </c:strCache>
            </c:strRef>
          </c:cat>
          <c:val>
            <c:numRef>
              <c:f>Expenditure!$M$16:$M$24</c:f>
              <c:numCache>
                <c:formatCode>0.0</c:formatCode>
                <c:ptCount val="9"/>
                <c:pt idx="0">
                  <c:v>5.831698127429422</c:v>
                </c:pt>
                <c:pt idx="1">
                  <c:v>21.727371491909793</c:v>
                </c:pt>
                <c:pt idx="2">
                  <c:v>6.2293179742740525</c:v>
                </c:pt>
                <c:pt idx="3">
                  <c:v>9.1851960325893245</c:v>
                </c:pt>
                <c:pt idx="4">
                  <c:v>7.9031981754152287</c:v>
                </c:pt>
                <c:pt idx="5">
                  <c:v>24.316973161943846</c:v>
                </c:pt>
                <c:pt idx="6">
                  <c:v>17.422914086443303</c:v>
                </c:pt>
                <c:pt idx="7">
                  <c:v>11.899681788172471</c:v>
                </c:pt>
                <c:pt idx="8">
                  <c:v>10.843967708682868</c:v>
                </c:pt>
              </c:numCache>
            </c:numRef>
          </c:val>
        </c:ser>
        <c:dLbls>
          <c:showLegendKey val="0"/>
          <c:showVal val="0"/>
          <c:showCatName val="0"/>
          <c:showSerName val="0"/>
          <c:showPercent val="0"/>
          <c:showBubbleSize val="0"/>
        </c:dLbls>
        <c:gapWidth val="150"/>
        <c:axId val="116240768"/>
        <c:axId val="116242304"/>
      </c:barChart>
      <c:catAx>
        <c:axId val="116240768"/>
        <c:scaling>
          <c:orientation val="minMax"/>
        </c:scaling>
        <c:delete val="0"/>
        <c:axPos val="b"/>
        <c:majorTickMark val="none"/>
        <c:minorTickMark val="none"/>
        <c:tickLblPos val="nextTo"/>
        <c:crossAx val="116242304"/>
        <c:crosses val="autoZero"/>
        <c:auto val="1"/>
        <c:lblAlgn val="ctr"/>
        <c:lblOffset val="100"/>
        <c:noMultiLvlLbl val="0"/>
      </c:catAx>
      <c:valAx>
        <c:axId val="116242304"/>
        <c:scaling>
          <c:orientation val="minMax"/>
          <c:max val="60"/>
        </c:scaling>
        <c:delete val="0"/>
        <c:axPos val="l"/>
        <c:title>
          <c:tx>
            <c:rich>
              <a:bodyPr rot="-5400000" vert="horz"/>
              <a:lstStyle/>
              <a:p>
                <a:pPr>
                  <a:defRPr/>
                </a:pPr>
                <a:r>
                  <a:rPr lang="en-US"/>
                  <a:t>Per cent of expenditure, %</a:t>
                </a:r>
              </a:p>
            </c:rich>
          </c:tx>
          <c:layout>
            <c:manualLayout>
              <c:xMode val="edge"/>
              <c:yMode val="edge"/>
              <c:x val="1.7473617521947694E-2"/>
              <c:y val="0.24127515310586206"/>
            </c:manualLayout>
          </c:layout>
          <c:overlay val="0"/>
        </c:title>
        <c:numFmt formatCode="0.0" sourceLinked="1"/>
        <c:majorTickMark val="out"/>
        <c:minorTickMark val="none"/>
        <c:tickLblPos val="nextTo"/>
        <c:crossAx val="116240768"/>
        <c:crosses val="autoZero"/>
        <c:crossBetween val="between"/>
        <c:majorUnit val="10"/>
      </c:valAx>
    </c:plotArea>
    <c:legend>
      <c:legendPos val="r"/>
      <c:layout>
        <c:manualLayout>
          <c:xMode val="edge"/>
          <c:yMode val="edge"/>
          <c:x val="0.11651449252533698"/>
          <c:y val="0.81117252284031782"/>
          <c:w val="0.86777194448717032"/>
          <c:h val="0.13211468358121906"/>
        </c:manualLayout>
      </c:layout>
      <c:overlay val="0"/>
      <c:spPr>
        <a:ln>
          <a:noFill/>
        </a:ln>
      </c:spPr>
    </c:legend>
    <c:plotVisOnly val="1"/>
    <c:dispBlanksAs val="gap"/>
    <c:showDLblsOverMax val="0"/>
  </c:chart>
  <c:spPr>
    <a:ln>
      <a:noFill/>
    </a:ln>
  </c:spPr>
  <c:txPr>
    <a:bodyPr/>
    <a:lstStyle/>
    <a:p>
      <a:pPr>
        <a:defRPr>
          <a:latin typeface="+mn-lt"/>
        </a:defRPr>
      </a:pPr>
      <a:endParaRPr lang="en-US"/>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0"/>
    <c:plotArea>
      <c:layout>
        <c:manualLayout>
          <c:layoutTarget val="inner"/>
          <c:xMode val="edge"/>
          <c:yMode val="edge"/>
          <c:x val="0.12000434428455105"/>
          <c:y val="0.125474628171479"/>
          <c:w val="0.8649601666348542"/>
          <c:h val="0.618566756723544"/>
        </c:manualLayout>
      </c:layout>
      <c:barChart>
        <c:barDir val="col"/>
        <c:grouping val="clustered"/>
        <c:varyColors val="0"/>
        <c:ser>
          <c:idx val="0"/>
          <c:order val="0"/>
          <c:tx>
            <c:strRef>
              <c:f>Expenditure!$F$32</c:f>
              <c:strCache>
                <c:ptCount val="1"/>
                <c:pt idx="0">
                  <c:v>2009–10</c:v>
                </c:pt>
              </c:strCache>
            </c:strRef>
          </c:tx>
          <c:spPr>
            <a:solidFill>
              <a:srgbClr val="2F3490"/>
            </a:solidFill>
            <a:ln>
              <a:noFill/>
            </a:ln>
            <a:effectLst/>
          </c:spPr>
          <c:invertIfNegative val="0"/>
          <c:dLbls>
            <c:numFmt formatCode="#,##0.00" sourceLinked="0"/>
            <c:txPr>
              <a:bodyPr rot="-5400000" vert="horz"/>
              <a:lstStyle/>
              <a:p>
                <a:pPr>
                  <a:defRPr/>
                </a:pPr>
                <a:endParaRPr lang="en-US"/>
              </a:p>
            </c:txPr>
            <c:showLegendKey val="0"/>
            <c:showVal val="1"/>
            <c:showCatName val="0"/>
            <c:showSerName val="0"/>
            <c:showPercent val="0"/>
            <c:showBubbleSize val="0"/>
            <c:showLeaderLines val="0"/>
          </c:dLbls>
          <c:cat>
            <c:strRef>
              <c:f>Expenditure!$E$33:$E$41</c:f>
              <c:strCache>
                <c:ptCount val="9"/>
                <c:pt idx="0">
                  <c:v>NSW</c:v>
                </c:pt>
                <c:pt idx="1">
                  <c:v>VIC</c:v>
                </c:pt>
                <c:pt idx="2">
                  <c:v>QLD</c:v>
                </c:pt>
                <c:pt idx="3">
                  <c:v>WA</c:v>
                </c:pt>
                <c:pt idx="4">
                  <c:v>SA</c:v>
                </c:pt>
                <c:pt idx="5">
                  <c:v>TAS</c:v>
                </c:pt>
                <c:pt idx="6">
                  <c:v>ACT</c:v>
                </c:pt>
                <c:pt idx="7">
                  <c:v>NT</c:v>
                </c:pt>
                <c:pt idx="8">
                  <c:v>National</c:v>
                </c:pt>
              </c:strCache>
            </c:strRef>
          </c:cat>
          <c:val>
            <c:numRef>
              <c:f>Expenditure!$F$33:$F$41</c:f>
              <c:numCache>
                <c:formatCode>0.0</c:formatCode>
                <c:ptCount val="9"/>
                <c:pt idx="0">
                  <c:v>179.07856541155891</c:v>
                </c:pt>
                <c:pt idx="1">
                  <c:v>178.89300389299424</c:v>
                </c:pt>
                <c:pt idx="2">
                  <c:v>186.54359066074559</c:v>
                </c:pt>
                <c:pt idx="3">
                  <c:v>217.25620729067361</c:v>
                </c:pt>
                <c:pt idx="4">
                  <c:v>208.60876957055919</c:v>
                </c:pt>
                <c:pt idx="5">
                  <c:v>226.56627437738356</c:v>
                </c:pt>
                <c:pt idx="6">
                  <c:v>203.55404019239259</c:v>
                </c:pt>
                <c:pt idx="7">
                  <c:v>184.92488258827936</c:v>
                </c:pt>
                <c:pt idx="8">
                  <c:v>188.19904909414518</c:v>
                </c:pt>
              </c:numCache>
            </c:numRef>
          </c:val>
        </c:ser>
        <c:ser>
          <c:idx val="1"/>
          <c:order val="1"/>
          <c:tx>
            <c:strRef>
              <c:f>Expenditure!$G$32</c:f>
              <c:strCache>
                <c:ptCount val="1"/>
                <c:pt idx="0">
                  <c:v>2010–11</c:v>
                </c:pt>
              </c:strCache>
            </c:strRef>
          </c:tx>
          <c:spPr>
            <a:solidFill>
              <a:srgbClr val="2D5EA8"/>
            </a:solidFill>
            <a:ln>
              <a:noFill/>
            </a:ln>
            <a:effectLst/>
          </c:spPr>
          <c:invertIfNegative val="0"/>
          <c:dLbls>
            <c:numFmt formatCode="#,##0.00" sourceLinked="0"/>
            <c:txPr>
              <a:bodyPr rot="-5400000" vert="horz"/>
              <a:lstStyle/>
              <a:p>
                <a:pPr>
                  <a:defRPr/>
                </a:pPr>
                <a:endParaRPr lang="en-US"/>
              </a:p>
            </c:txPr>
            <c:showLegendKey val="0"/>
            <c:showVal val="1"/>
            <c:showCatName val="0"/>
            <c:showSerName val="0"/>
            <c:showPercent val="0"/>
            <c:showBubbleSize val="0"/>
            <c:showLeaderLines val="0"/>
          </c:dLbls>
          <c:cat>
            <c:strRef>
              <c:f>Expenditure!$E$33:$E$41</c:f>
              <c:strCache>
                <c:ptCount val="9"/>
                <c:pt idx="0">
                  <c:v>NSW</c:v>
                </c:pt>
                <c:pt idx="1">
                  <c:v>VIC</c:v>
                </c:pt>
                <c:pt idx="2">
                  <c:v>QLD</c:v>
                </c:pt>
                <c:pt idx="3">
                  <c:v>WA</c:v>
                </c:pt>
                <c:pt idx="4">
                  <c:v>SA</c:v>
                </c:pt>
                <c:pt idx="5">
                  <c:v>TAS</c:v>
                </c:pt>
                <c:pt idx="6">
                  <c:v>ACT</c:v>
                </c:pt>
                <c:pt idx="7">
                  <c:v>NT</c:v>
                </c:pt>
                <c:pt idx="8">
                  <c:v>National</c:v>
                </c:pt>
              </c:strCache>
            </c:strRef>
          </c:cat>
          <c:val>
            <c:numRef>
              <c:f>Expenditure!$G$33:$G$41</c:f>
              <c:numCache>
                <c:formatCode>0.0</c:formatCode>
                <c:ptCount val="9"/>
                <c:pt idx="0">
                  <c:v>187.78401894611031</c:v>
                </c:pt>
                <c:pt idx="1">
                  <c:v>182.79457732481472</c:v>
                </c:pt>
                <c:pt idx="2">
                  <c:v>193.58423612260086</c:v>
                </c:pt>
                <c:pt idx="3">
                  <c:v>233.18765346930093</c:v>
                </c:pt>
                <c:pt idx="4">
                  <c:v>211.87090790892185</c:v>
                </c:pt>
                <c:pt idx="5">
                  <c:v>234.42761118759566</c:v>
                </c:pt>
                <c:pt idx="6">
                  <c:v>205.12311238578849</c:v>
                </c:pt>
                <c:pt idx="7">
                  <c:v>193.62757621452619</c:v>
                </c:pt>
                <c:pt idx="8">
                  <c:v>195.62345588784478</c:v>
                </c:pt>
              </c:numCache>
            </c:numRef>
          </c:val>
        </c:ser>
        <c:ser>
          <c:idx val="2"/>
          <c:order val="2"/>
          <c:tx>
            <c:strRef>
              <c:f>Expenditure!$H$32</c:f>
              <c:strCache>
                <c:ptCount val="1"/>
                <c:pt idx="0">
                  <c:v>2011–12</c:v>
                </c:pt>
              </c:strCache>
            </c:strRef>
          </c:tx>
          <c:spPr>
            <a:solidFill>
              <a:srgbClr val="72D0F4"/>
            </a:solidFill>
            <a:ln>
              <a:noFill/>
            </a:ln>
            <a:effectLst/>
          </c:spPr>
          <c:invertIfNegative val="0"/>
          <c:dLbls>
            <c:numFmt formatCode="#,##0.00" sourceLinked="0"/>
            <c:txPr>
              <a:bodyPr rot="-5400000" vert="horz"/>
              <a:lstStyle/>
              <a:p>
                <a:pPr>
                  <a:defRPr/>
                </a:pPr>
                <a:endParaRPr lang="en-US"/>
              </a:p>
            </c:txPr>
            <c:showLegendKey val="0"/>
            <c:showVal val="1"/>
            <c:showCatName val="0"/>
            <c:showSerName val="0"/>
            <c:showPercent val="0"/>
            <c:showBubbleSize val="0"/>
            <c:showLeaderLines val="0"/>
          </c:dLbls>
          <c:cat>
            <c:strRef>
              <c:f>Expenditure!$E$33:$E$41</c:f>
              <c:strCache>
                <c:ptCount val="9"/>
                <c:pt idx="0">
                  <c:v>NSW</c:v>
                </c:pt>
                <c:pt idx="1">
                  <c:v>VIC</c:v>
                </c:pt>
                <c:pt idx="2">
                  <c:v>QLD</c:v>
                </c:pt>
                <c:pt idx="3">
                  <c:v>WA</c:v>
                </c:pt>
                <c:pt idx="4">
                  <c:v>SA</c:v>
                </c:pt>
                <c:pt idx="5">
                  <c:v>TAS</c:v>
                </c:pt>
                <c:pt idx="6">
                  <c:v>ACT</c:v>
                </c:pt>
                <c:pt idx="7">
                  <c:v>NT</c:v>
                </c:pt>
                <c:pt idx="8">
                  <c:v>National</c:v>
                </c:pt>
              </c:strCache>
            </c:strRef>
          </c:cat>
          <c:val>
            <c:numRef>
              <c:f>Expenditure!$H$33:$H$41</c:f>
              <c:numCache>
                <c:formatCode>0.0</c:formatCode>
                <c:ptCount val="9"/>
                <c:pt idx="0">
                  <c:v>191.82769852839269</c:v>
                </c:pt>
                <c:pt idx="1">
                  <c:v>181.65032647280466</c:v>
                </c:pt>
                <c:pt idx="2">
                  <c:v>197.24771211573631</c:v>
                </c:pt>
                <c:pt idx="3">
                  <c:v>243.32216617580721</c:v>
                </c:pt>
                <c:pt idx="4">
                  <c:v>208.00274876059859</c:v>
                </c:pt>
                <c:pt idx="5">
                  <c:v>209.96804301293682</c:v>
                </c:pt>
                <c:pt idx="6">
                  <c:v>213.5134871409202</c:v>
                </c:pt>
                <c:pt idx="7">
                  <c:v>209.05751339644451</c:v>
                </c:pt>
                <c:pt idx="8">
                  <c:v>197.96360360372998</c:v>
                </c:pt>
              </c:numCache>
            </c:numRef>
          </c:val>
        </c:ser>
        <c:dLbls>
          <c:showLegendKey val="0"/>
          <c:showVal val="0"/>
          <c:showCatName val="0"/>
          <c:showSerName val="0"/>
          <c:showPercent val="0"/>
          <c:showBubbleSize val="0"/>
        </c:dLbls>
        <c:gapWidth val="150"/>
        <c:axId val="116359936"/>
        <c:axId val="116361472"/>
      </c:barChart>
      <c:catAx>
        <c:axId val="116359936"/>
        <c:scaling>
          <c:orientation val="minMax"/>
        </c:scaling>
        <c:delete val="0"/>
        <c:axPos val="b"/>
        <c:majorTickMark val="none"/>
        <c:minorTickMark val="none"/>
        <c:tickLblPos val="nextTo"/>
        <c:crossAx val="116361472"/>
        <c:crosses val="autoZero"/>
        <c:auto val="1"/>
        <c:lblAlgn val="ctr"/>
        <c:lblOffset val="100"/>
        <c:noMultiLvlLbl val="0"/>
      </c:catAx>
      <c:valAx>
        <c:axId val="116361472"/>
        <c:scaling>
          <c:orientation val="minMax"/>
          <c:max val="250"/>
        </c:scaling>
        <c:delete val="0"/>
        <c:axPos val="l"/>
        <c:title>
          <c:tx>
            <c:rich>
              <a:bodyPr rot="-5400000" vert="horz"/>
              <a:lstStyle/>
              <a:p>
                <a:pPr>
                  <a:defRPr/>
                </a:pPr>
                <a:r>
                  <a:rPr lang="en-US"/>
                  <a:t>Per capita expenditure, $</a:t>
                </a:r>
              </a:p>
            </c:rich>
          </c:tx>
          <c:layout>
            <c:manualLayout>
              <c:xMode val="edge"/>
              <c:yMode val="edge"/>
              <c:x val="3.3527110593877607E-3"/>
              <c:y val="0.24127502930058295"/>
            </c:manualLayout>
          </c:layout>
          <c:overlay val="0"/>
        </c:title>
        <c:numFmt formatCode="0.00" sourceLinked="0"/>
        <c:majorTickMark val="out"/>
        <c:minorTickMark val="none"/>
        <c:tickLblPos val="nextTo"/>
        <c:crossAx val="116359936"/>
        <c:crosses val="autoZero"/>
        <c:crossBetween val="between"/>
        <c:majorUnit val="50"/>
        <c:minorUnit val="10"/>
      </c:valAx>
    </c:plotArea>
    <c:legend>
      <c:legendPos val="r"/>
      <c:layout>
        <c:manualLayout>
          <c:xMode val="edge"/>
          <c:yMode val="edge"/>
          <c:x val="0.23413420109965694"/>
          <c:y val="0.85050081528068922"/>
          <c:w val="0.5949763779527556"/>
          <c:h val="0.13211468358121906"/>
        </c:manualLayout>
      </c:layout>
      <c:overlay val="0"/>
    </c:legend>
    <c:plotVisOnly val="1"/>
    <c:dispBlanksAs val="gap"/>
    <c:showDLblsOverMax val="0"/>
  </c:chart>
  <c:spPr>
    <a:noFill/>
    <a:ln>
      <a:noFill/>
    </a:ln>
    <a:effectLst/>
  </c:spPr>
  <c:txPr>
    <a:bodyPr/>
    <a:lstStyle/>
    <a:p>
      <a:pPr>
        <a:defRPr>
          <a:latin typeface="+mn-lt"/>
        </a:defRPr>
      </a:pPr>
      <a:endParaRPr lang="en-US"/>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9.7647562057499221E-2"/>
          <c:y val="4.1995340072546704E-2"/>
          <c:w val="0.88057215891622331"/>
          <c:h val="0.7409543844472618"/>
        </c:manualLayout>
      </c:layout>
      <c:barChart>
        <c:barDir val="col"/>
        <c:grouping val="clustered"/>
        <c:varyColors val="0"/>
        <c:ser>
          <c:idx val="0"/>
          <c:order val="0"/>
          <c:spPr>
            <a:solidFill>
              <a:srgbClr val="72D0F4"/>
            </a:solidFill>
            <a:ln>
              <a:noFill/>
            </a:ln>
            <a:effectLst/>
          </c:spPr>
          <c:invertIfNegative val="0"/>
          <c:cat>
            <c:strRef>
              <c:f>'MHS KPIs'!$N$2:$N$10</c:f>
              <c:strCache>
                <c:ptCount val="9"/>
                <c:pt idx="0">
                  <c:v>NSW</c:v>
                </c:pt>
                <c:pt idx="1">
                  <c:v>Vic</c:v>
                </c:pt>
                <c:pt idx="2">
                  <c:v>Qld</c:v>
                </c:pt>
                <c:pt idx="3">
                  <c:v>WA</c:v>
                </c:pt>
                <c:pt idx="4">
                  <c:v>SA</c:v>
                </c:pt>
                <c:pt idx="5">
                  <c:v>Tas</c:v>
                </c:pt>
                <c:pt idx="6">
                  <c:v>ACT</c:v>
                </c:pt>
                <c:pt idx="7">
                  <c:v>NT</c:v>
                </c:pt>
                <c:pt idx="8">
                  <c:v>Australia</c:v>
                </c:pt>
              </c:strCache>
            </c:strRef>
          </c:cat>
          <c:val>
            <c:numRef>
              <c:f>'MHS KPIs'!$O$2:$O$10</c:f>
              <c:numCache>
                <c:formatCode>0.0</c:formatCode>
                <c:ptCount val="9"/>
                <c:pt idx="0">
                  <c:v>15.7</c:v>
                </c:pt>
                <c:pt idx="1">
                  <c:v>14.3</c:v>
                </c:pt>
                <c:pt idx="2">
                  <c:v>15.1</c:v>
                </c:pt>
                <c:pt idx="3">
                  <c:v>13.7</c:v>
                </c:pt>
                <c:pt idx="4">
                  <c:v>9.3000000000000007</c:v>
                </c:pt>
                <c:pt idx="5">
                  <c:v>14.1</c:v>
                </c:pt>
                <c:pt idx="6">
                  <c:v>12.6</c:v>
                </c:pt>
                <c:pt idx="7">
                  <c:v>9.8000000000000007</c:v>
                </c:pt>
                <c:pt idx="8">
                  <c:v>14.4</c:v>
                </c:pt>
              </c:numCache>
            </c:numRef>
          </c:val>
        </c:ser>
        <c:dLbls>
          <c:showLegendKey val="0"/>
          <c:showVal val="1"/>
          <c:showCatName val="0"/>
          <c:showSerName val="0"/>
          <c:showPercent val="0"/>
          <c:showBubbleSize val="0"/>
        </c:dLbls>
        <c:gapWidth val="150"/>
        <c:axId val="116386432"/>
        <c:axId val="116261248"/>
      </c:barChart>
      <c:catAx>
        <c:axId val="116386432"/>
        <c:scaling>
          <c:orientation val="minMax"/>
        </c:scaling>
        <c:delete val="0"/>
        <c:axPos val="b"/>
        <c:majorTickMark val="none"/>
        <c:minorTickMark val="none"/>
        <c:tickLblPos val="nextTo"/>
        <c:crossAx val="116261248"/>
        <c:crosses val="autoZero"/>
        <c:auto val="1"/>
        <c:lblAlgn val="ctr"/>
        <c:lblOffset val="100"/>
        <c:noMultiLvlLbl val="0"/>
      </c:catAx>
      <c:valAx>
        <c:axId val="116261248"/>
        <c:scaling>
          <c:orientation val="minMax"/>
        </c:scaling>
        <c:delete val="0"/>
        <c:axPos val="l"/>
        <c:title>
          <c:tx>
            <c:rich>
              <a:bodyPr rot="-5400000" vert="horz"/>
              <a:lstStyle/>
              <a:p>
                <a:pPr>
                  <a:defRPr/>
                </a:pPr>
                <a:r>
                  <a:rPr lang="en-AU"/>
                  <a:t>Per cent</a:t>
                </a:r>
              </a:p>
            </c:rich>
          </c:tx>
          <c:layout/>
          <c:overlay val="0"/>
        </c:title>
        <c:numFmt formatCode="0.0" sourceLinked="1"/>
        <c:majorTickMark val="out"/>
        <c:minorTickMark val="none"/>
        <c:tickLblPos val="nextTo"/>
        <c:crossAx val="116386432"/>
        <c:crosses val="autoZero"/>
        <c:crossBetween val="between"/>
      </c:valAx>
    </c:plotArea>
    <c:plotVisOnly val="1"/>
    <c:dispBlanksAs val="gap"/>
    <c:showDLblsOverMax val="0"/>
  </c:chart>
  <c:spPr>
    <a:ln>
      <a:noFill/>
    </a:ln>
  </c:spPr>
  <c:txPr>
    <a:bodyPr/>
    <a:lstStyle/>
    <a:p>
      <a:pPr>
        <a:defRPr>
          <a:latin typeface="+mn-lt"/>
        </a:defRPr>
      </a:pPr>
      <a:endParaRPr lang="en-US"/>
    </a:p>
  </c:txPr>
  <c:externalData r:id="rId1">
    <c:autoUpdate val="0"/>
  </c:externalData>
  <c:userShapes r:id="rId2"/>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099099215854707"/>
          <c:y val="5.3079215523756086E-2"/>
          <c:w val="0.86994738493647517"/>
          <c:h val="0.69406856887171853"/>
        </c:manualLayout>
      </c:layout>
      <c:barChart>
        <c:barDir val="col"/>
        <c:grouping val="clustered"/>
        <c:varyColors val="0"/>
        <c:ser>
          <c:idx val="0"/>
          <c:order val="0"/>
          <c:spPr>
            <a:solidFill>
              <a:srgbClr val="72D0F4"/>
            </a:solidFill>
            <a:ln>
              <a:noFill/>
            </a:ln>
            <a:effectLst/>
          </c:spPr>
          <c:invertIfNegative val="0"/>
          <c:cat>
            <c:strRef>
              <c:f>'MHS KPIs'!$B$2:$B$10</c:f>
              <c:strCache>
                <c:ptCount val="9"/>
                <c:pt idx="0">
                  <c:v>NSW</c:v>
                </c:pt>
                <c:pt idx="1">
                  <c:v>Vic</c:v>
                </c:pt>
                <c:pt idx="2">
                  <c:v>Qld</c:v>
                </c:pt>
                <c:pt idx="3">
                  <c:v>WA</c:v>
                </c:pt>
                <c:pt idx="4">
                  <c:v>SA</c:v>
                </c:pt>
                <c:pt idx="5">
                  <c:v>Tas</c:v>
                </c:pt>
                <c:pt idx="6">
                  <c:v>ACT</c:v>
                </c:pt>
                <c:pt idx="7">
                  <c:v>NT</c:v>
                </c:pt>
                <c:pt idx="8">
                  <c:v>Australia</c:v>
                </c:pt>
              </c:strCache>
            </c:strRef>
          </c:cat>
          <c:val>
            <c:numRef>
              <c:f>'MHS KPIs'!$C$2:$C$10</c:f>
              <c:numCache>
                <c:formatCode>General</c:formatCode>
                <c:ptCount val="9"/>
                <c:pt idx="0" formatCode="#,##0.0">
                  <c:v>52.4</c:v>
                </c:pt>
                <c:pt idx="2" formatCode="#,##0.0">
                  <c:v>64.400000000000006</c:v>
                </c:pt>
                <c:pt idx="3" formatCode="#,##0.0">
                  <c:v>50.7</c:v>
                </c:pt>
                <c:pt idx="4" formatCode="#,##0.0">
                  <c:v>50.5</c:v>
                </c:pt>
                <c:pt idx="5" formatCode="#,##0.0">
                  <c:v>27.4</c:v>
                </c:pt>
                <c:pt idx="6" formatCode="#,##0.0">
                  <c:v>77.7</c:v>
                </c:pt>
                <c:pt idx="7" formatCode="#,##0.0">
                  <c:v>44.1</c:v>
                </c:pt>
                <c:pt idx="8" formatCode="#,##0.0">
                  <c:v>54.6</c:v>
                </c:pt>
              </c:numCache>
            </c:numRef>
          </c:val>
        </c:ser>
        <c:dLbls>
          <c:showLegendKey val="0"/>
          <c:showVal val="1"/>
          <c:showCatName val="0"/>
          <c:showSerName val="0"/>
          <c:showPercent val="0"/>
          <c:showBubbleSize val="0"/>
        </c:dLbls>
        <c:gapWidth val="150"/>
        <c:axId val="116283264"/>
        <c:axId val="116284800"/>
      </c:barChart>
      <c:catAx>
        <c:axId val="116283264"/>
        <c:scaling>
          <c:orientation val="minMax"/>
        </c:scaling>
        <c:delete val="0"/>
        <c:axPos val="b"/>
        <c:majorTickMark val="none"/>
        <c:minorTickMark val="none"/>
        <c:tickLblPos val="nextTo"/>
        <c:crossAx val="116284800"/>
        <c:crosses val="autoZero"/>
        <c:auto val="1"/>
        <c:lblAlgn val="ctr"/>
        <c:lblOffset val="100"/>
        <c:noMultiLvlLbl val="0"/>
      </c:catAx>
      <c:valAx>
        <c:axId val="116284800"/>
        <c:scaling>
          <c:orientation val="minMax"/>
        </c:scaling>
        <c:delete val="0"/>
        <c:axPos val="l"/>
        <c:title>
          <c:tx>
            <c:rich>
              <a:bodyPr rot="-5400000" vert="horz"/>
              <a:lstStyle/>
              <a:p>
                <a:pPr>
                  <a:defRPr/>
                </a:pPr>
                <a:r>
                  <a:rPr lang="en-AU"/>
                  <a:t>Per cent</a:t>
                </a:r>
              </a:p>
            </c:rich>
          </c:tx>
          <c:layout/>
          <c:overlay val="0"/>
        </c:title>
        <c:numFmt formatCode="#,##0.0" sourceLinked="1"/>
        <c:majorTickMark val="out"/>
        <c:minorTickMark val="none"/>
        <c:tickLblPos val="nextTo"/>
        <c:crossAx val="116283264"/>
        <c:crosses val="autoZero"/>
        <c:crossBetween val="between"/>
      </c:valAx>
    </c:plotArea>
    <c:plotVisOnly val="1"/>
    <c:dispBlanksAs val="gap"/>
    <c:showDLblsOverMax val="0"/>
  </c:chart>
  <c:spPr>
    <a:ln>
      <a:noFill/>
    </a:ln>
  </c:spPr>
  <c:txPr>
    <a:bodyPr/>
    <a:lstStyle/>
    <a:p>
      <a:pPr>
        <a:defRPr>
          <a:latin typeface="+mn-lt"/>
        </a:defRPr>
      </a:pPr>
      <a:endParaRPr lang="en-US"/>
    </a:p>
  </c:txPr>
  <c:externalData r:id="rId1">
    <c:autoUpdate val="0"/>
  </c:externalData>
  <c:userShapes r:id="rId2"/>
</c:chartSpac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FE2968D-0D9D-4ED5-85CD-C62A8D1C7B10}" type="doc">
      <dgm:prSet loTypeId="urn:microsoft.com/office/officeart/2005/8/layout/hierarchy5" loCatId="hierarchy" qsTypeId="urn:microsoft.com/office/officeart/2005/8/quickstyle/simple1" qsCatId="simple" csTypeId="urn:microsoft.com/office/officeart/2005/8/colors/accent1_2" csCatId="accent1" phldr="1"/>
      <dgm:spPr/>
      <dgm:t>
        <a:bodyPr/>
        <a:lstStyle/>
        <a:p>
          <a:endParaRPr lang="en-AU"/>
        </a:p>
      </dgm:t>
    </dgm:pt>
    <dgm:pt modelId="{947737EF-A0B1-4782-9F7E-15F091FB1F9F}">
      <dgm:prSet phldrT="[Text]" custT="1">
        <dgm:style>
          <a:lnRef idx="1">
            <a:schemeClr val="accent5"/>
          </a:lnRef>
          <a:fillRef idx="2">
            <a:schemeClr val="accent5"/>
          </a:fillRef>
          <a:effectRef idx="1">
            <a:schemeClr val="accent5"/>
          </a:effectRef>
          <a:fontRef idx="minor">
            <a:schemeClr val="dk1"/>
          </a:fontRef>
        </dgm:style>
      </dgm:prSet>
      <dgm:spPr>
        <a:solidFill>
          <a:srgbClr val="004080"/>
        </a:solidFill>
        <a:ln>
          <a:noFill/>
        </a:ln>
        <a:effectLst/>
      </dgm:spPr>
      <dgm:t>
        <a:bodyPr/>
        <a:lstStyle/>
        <a:p>
          <a:pPr marL="72000" algn="l">
            <a:spcAft>
              <a:spcPts val="300"/>
            </a:spcAft>
          </a:pPr>
          <a:r>
            <a:rPr lang="en-AU" sz="800" b="0">
              <a:solidFill>
                <a:schemeClr val="bg1"/>
              </a:solidFill>
              <a:latin typeface="Arial" pitchFamily="34" charset="0"/>
              <a:ea typeface="Verdana" pitchFamily="34" charset="0"/>
              <a:cs typeface="Arial" pitchFamily="34" charset="0"/>
            </a:rPr>
            <a:t>Specialised mental </a:t>
          </a:r>
          <a:br>
            <a:rPr lang="en-AU" sz="800" b="0">
              <a:solidFill>
                <a:schemeClr val="bg1"/>
              </a:solidFill>
              <a:latin typeface="Arial" pitchFamily="34" charset="0"/>
              <a:ea typeface="Verdana" pitchFamily="34" charset="0"/>
              <a:cs typeface="Arial" pitchFamily="34" charset="0"/>
            </a:rPr>
          </a:br>
          <a:r>
            <a:rPr lang="en-AU" sz="800" b="0">
              <a:solidFill>
                <a:schemeClr val="bg1"/>
              </a:solidFill>
              <a:latin typeface="Arial" pitchFamily="34" charset="0"/>
              <a:ea typeface="Verdana" pitchFamily="34" charset="0"/>
              <a:cs typeface="Arial" pitchFamily="34" charset="0"/>
            </a:rPr>
            <a:t>health care </a:t>
          </a:r>
        </a:p>
        <a:p>
          <a:pPr marL="72000" algn="l">
            <a:spcAft>
              <a:spcPts val="300"/>
            </a:spcAft>
          </a:pPr>
          <a:r>
            <a:rPr lang="en-AU" sz="800" b="0">
              <a:solidFill>
                <a:schemeClr val="bg1"/>
              </a:solidFill>
              <a:latin typeface="Arial" pitchFamily="34" charset="0"/>
              <a:ea typeface="Verdana" pitchFamily="34" charset="0"/>
              <a:cs typeface="Arial" pitchFamily="34" charset="0"/>
            </a:rPr>
            <a:t>  • 1,514 facilites</a:t>
          </a:r>
        </a:p>
      </dgm:t>
    </dgm:pt>
    <dgm:pt modelId="{9F8BFEB1-B62B-46A4-A016-31AC488B2968}" type="parTrans" cxnId="{09721BA0-62CA-4CE8-8FC9-253F7BCEB7EB}">
      <dgm:prSet/>
      <dgm:spPr/>
      <dgm:t>
        <a:bodyPr/>
        <a:lstStyle/>
        <a:p>
          <a:pPr>
            <a:spcAft>
              <a:spcPts val="300"/>
            </a:spcAft>
          </a:pPr>
          <a:endParaRPr lang="en-AU" sz="800" b="0">
            <a:latin typeface="Arial" pitchFamily="34" charset="0"/>
            <a:ea typeface="Verdana" pitchFamily="34" charset="0"/>
            <a:cs typeface="Arial" pitchFamily="34" charset="0"/>
          </a:endParaRPr>
        </a:p>
      </dgm:t>
    </dgm:pt>
    <dgm:pt modelId="{36BC7FE2-3543-4EDB-83AF-9E77034DCDEF}" type="sibTrans" cxnId="{09721BA0-62CA-4CE8-8FC9-253F7BCEB7EB}">
      <dgm:prSet/>
      <dgm:spPr/>
      <dgm:t>
        <a:bodyPr/>
        <a:lstStyle/>
        <a:p>
          <a:pPr>
            <a:spcAft>
              <a:spcPts val="300"/>
            </a:spcAft>
          </a:pPr>
          <a:endParaRPr lang="en-AU" sz="800" b="0">
            <a:latin typeface="Arial" pitchFamily="34" charset="0"/>
            <a:ea typeface="Verdana" pitchFamily="34" charset="0"/>
            <a:cs typeface="Arial" pitchFamily="34" charset="0"/>
          </a:endParaRPr>
        </a:p>
      </dgm:t>
    </dgm:pt>
    <dgm:pt modelId="{4B6813D9-88F5-4C9A-88CD-165780F2B5AC}">
      <dgm:prSet phldrT="[Text]" custT="1">
        <dgm:style>
          <a:lnRef idx="1">
            <a:schemeClr val="accent5"/>
          </a:lnRef>
          <a:fillRef idx="2">
            <a:schemeClr val="accent5"/>
          </a:fillRef>
          <a:effectRef idx="1">
            <a:schemeClr val="accent5"/>
          </a:effectRef>
          <a:fontRef idx="minor">
            <a:schemeClr val="dk1"/>
          </a:fontRef>
        </dgm:style>
      </dgm:prSet>
      <dgm:spPr>
        <a:solidFill>
          <a:srgbClr val="004080"/>
        </a:solidFill>
        <a:ln>
          <a:noFill/>
        </a:ln>
        <a:effectLst/>
      </dgm:spPr>
      <dgm:t>
        <a:bodyPr/>
        <a:lstStyle/>
        <a:p>
          <a:pPr marL="72000" algn="l">
            <a:spcAft>
              <a:spcPts val="300"/>
            </a:spcAft>
          </a:pPr>
          <a:r>
            <a:rPr lang="en-AU" sz="800" b="0">
              <a:solidFill>
                <a:schemeClr val="bg1"/>
              </a:solidFill>
              <a:latin typeface="Arial" pitchFamily="34" charset="0"/>
              <a:ea typeface="Verdana" pitchFamily="34" charset="0"/>
              <a:cs typeface="Arial" pitchFamily="34" charset="0"/>
            </a:rPr>
            <a:t>Public hospitals</a:t>
          </a:r>
        </a:p>
        <a:p>
          <a:pPr marL="72000" algn="l">
            <a:spcAft>
              <a:spcPts val="300"/>
            </a:spcAft>
          </a:pPr>
          <a:r>
            <a:rPr lang="en-AU" sz="800" b="0">
              <a:solidFill>
                <a:schemeClr val="bg1"/>
              </a:solidFill>
              <a:latin typeface="Arial" pitchFamily="34" charset="0"/>
              <a:ea typeface="Verdana" pitchFamily="34" charset="0"/>
              <a:cs typeface="Arial" pitchFamily="34" charset="0"/>
            </a:rPr>
            <a:t>  • 161 hospitals</a:t>
          </a:r>
        </a:p>
      </dgm:t>
    </dgm:pt>
    <dgm:pt modelId="{CC12E630-33F9-4CB9-8A71-7D6864C2BC4E}" type="parTrans" cxnId="{5544BFEA-911E-45DE-8326-103E2AB19D49}">
      <dgm:prSet custT="1">
        <dgm:style>
          <a:lnRef idx="1">
            <a:schemeClr val="accent5"/>
          </a:lnRef>
          <a:fillRef idx="2">
            <a:schemeClr val="accent5"/>
          </a:fillRef>
          <a:effectRef idx="1">
            <a:schemeClr val="accent5"/>
          </a:effectRef>
          <a:fontRef idx="minor">
            <a:schemeClr val="dk1"/>
          </a:fontRef>
        </dgm:style>
      </dgm:prSet>
      <dgm:spPr>
        <a:solidFill>
          <a:srgbClr val="002233"/>
        </a:solidFill>
        <a:ln>
          <a:solidFill>
            <a:srgbClr val="2F3490"/>
          </a:solidFill>
        </a:ln>
        <a:effectLst/>
      </dgm:spPr>
      <dgm:t>
        <a:bodyPr/>
        <a:lstStyle/>
        <a:p>
          <a:pPr>
            <a:spcAft>
              <a:spcPts val="300"/>
            </a:spcAft>
          </a:pPr>
          <a:endParaRPr lang="en-AU" sz="800" b="0">
            <a:solidFill>
              <a:schemeClr val="bg1"/>
            </a:solidFill>
            <a:latin typeface="Arial" pitchFamily="34" charset="0"/>
            <a:ea typeface="Verdana" pitchFamily="34" charset="0"/>
            <a:cs typeface="Arial" pitchFamily="34" charset="0"/>
          </a:endParaRPr>
        </a:p>
      </dgm:t>
    </dgm:pt>
    <dgm:pt modelId="{6FB27B28-D172-45DA-A170-9178C42731ED}" type="sibTrans" cxnId="{5544BFEA-911E-45DE-8326-103E2AB19D49}">
      <dgm:prSet/>
      <dgm:spPr/>
      <dgm:t>
        <a:bodyPr/>
        <a:lstStyle/>
        <a:p>
          <a:pPr>
            <a:spcAft>
              <a:spcPts val="300"/>
            </a:spcAft>
          </a:pPr>
          <a:endParaRPr lang="en-AU" sz="800" b="0">
            <a:latin typeface="Arial" pitchFamily="34" charset="0"/>
            <a:ea typeface="Verdana" pitchFamily="34" charset="0"/>
            <a:cs typeface="Arial" pitchFamily="34" charset="0"/>
          </a:endParaRPr>
        </a:p>
      </dgm:t>
    </dgm:pt>
    <dgm:pt modelId="{483CF702-C06C-4F7F-BEBF-00A854E6F6B3}">
      <dgm:prSet phldrT="[Text]" custT="1">
        <dgm:style>
          <a:lnRef idx="1">
            <a:schemeClr val="accent5"/>
          </a:lnRef>
          <a:fillRef idx="2">
            <a:schemeClr val="accent5"/>
          </a:fillRef>
          <a:effectRef idx="1">
            <a:schemeClr val="accent5"/>
          </a:effectRef>
          <a:fontRef idx="minor">
            <a:schemeClr val="dk1"/>
          </a:fontRef>
        </dgm:style>
      </dgm:prSet>
      <dgm:spPr>
        <a:solidFill>
          <a:srgbClr val="004080"/>
        </a:solidFill>
        <a:ln>
          <a:noFill/>
        </a:ln>
        <a:effectLst/>
      </dgm:spPr>
      <dgm:t>
        <a:bodyPr/>
        <a:lstStyle/>
        <a:p>
          <a:pPr marL="108000" algn="l">
            <a:lnSpc>
              <a:spcPct val="100000"/>
            </a:lnSpc>
            <a:spcBef>
              <a:spcPts val="0"/>
            </a:spcBef>
            <a:spcAft>
              <a:spcPts val="300"/>
            </a:spcAft>
          </a:pPr>
          <a:r>
            <a:rPr lang="en-AU" sz="800" b="0">
              <a:solidFill>
                <a:schemeClr val="bg1"/>
              </a:solidFill>
              <a:latin typeface="Arial" pitchFamily="34" charset="0"/>
              <a:ea typeface="Verdana" pitchFamily="34" charset="0"/>
              <a:cs typeface="Arial" pitchFamily="34" charset="0"/>
            </a:rPr>
            <a:t>• 2,072 beds</a:t>
          </a:r>
        </a:p>
        <a:p>
          <a:pPr marL="108000" algn="l">
            <a:lnSpc>
              <a:spcPct val="100000"/>
            </a:lnSpc>
            <a:spcBef>
              <a:spcPts val="0"/>
            </a:spcBef>
            <a:spcAft>
              <a:spcPts val="300"/>
            </a:spcAft>
          </a:pPr>
          <a:r>
            <a:rPr lang="en-AU" sz="800" b="0">
              <a:solidFill>
                <a:schemeClr val="bg1"/>
              </a:solidFill>
              <a:latin typeface="Arial" pitchFamily="34" charset="0"/>
              <a:ea typeface="Verdana" pitchFamily="34" charset="0"/>
              <a:cs typeface="Arial" pitchFamily="34" charset="0"/>
            </a:rPr>
            <a:t>• 708,794 patient days</a:t>
          </a:r>
        </a:p>
      </dgm:t>
    </dgm:pt>
    <dgm:pt modelId="{B9CA8E83-B0E1-4343-AEAD-AEB4FC2FF544}" type="parTrans" cxnId="{DDE4D50D-5EF8-4ED5-B377-BF4B00906071}">
      <dgm:prSet custT="1">
        <dgm:style>
          <a:lnRef idx="1">
            <a:schemeClr val="accent5"/>
          </a:lnRef>
          <a:fillRef idx="2">
            <a:schemeClr val="accent5"/>
          </a:fillRef>
          <a:effectRef idx="1">
            <a:schemeClr val="accent5"/>
          </a:effectRef>
          <a:fontRef idx="minor">
            <a:schemeClr val="dk1"/>
          </a:fontRef>
        </dgm:style>
      </dgm:prSet>
      <dgm:spPr>
        <a:solidFill>
          <a:srgbClr val="002233"/>
        </a:solidFill>
        <a:ln>
          <a:solidFill>
            <a:srgbClr val="2F3490"/>
          </a:solidFill>
        </a:ln>
        <a:effectLst/>
      </dgm:spPr>
      <dgm:t>
        <a:bodyPr/>
        <a:lstStyle/>
        <a:p>
          <a:pPr>
            <a:spcAft>
              <a:spcPts val="300"/>
            </a:spcAft>
          </a:pPr>
          <a:endParaRPr lang="en-AU" sz="800" b="0">
            <a:solidFill>
              <a:schemeClr val="bg1"/>
            </a:solidFill>
            <a:latin typeface="Arial" pitchFamily="34" charset="0"/>
            <a:ea typeface="Verdana" pitchFamily="34" charset="0"/>
            <a:cs typeface="Arial" pitchFamily="34" charset="0"/>
          </a:endParaRPr>
        </a:p>
      </dgm:t>
    </dgm:pt>
    <dgm:pt modelId="{5B93892E-5AAD-48DC-9A0F-63B8DA6ED725}" type="sibTrans" cxnId="{DDE4D50D-5EF8-4ED5-B377-BF4B00906071}">
      <dgm:prSet/>
      <dgm:spPr/>
      <dgm:t>
        <a:bodyPr/>
        <a:lstStyle/>
        <a:p>
          <a:pPr>
            <a:spcAft>
              <a:spcPts val="300"/>
            </a:spcAft>
          </a:pPr>
          <a:endParaRPr lang="en-AU" sz="800" b="0">
            <a:latin typeface="Arial" pitchFamily="34" charset="0"/>
            <a:ea typeface="Verdana" pitchFamily="34" charset="0"/>
            <a:cs typeface="Arial" pitchFamily="34" charset="0"/>
          </a:endParaRPr>
        </a:p>
      </dgm:t>
    </dgm:pt>
    <dgm:pt modelId="{894A9EA3-8C10-43E1-BD18-B088940DF59E}">
      <dgm:prSet phldrT="[Text]" custT="1">
        <dgm:style>
          <a:lnRef idx="1">
            <a:schemeClr val="accent5"/>
          </a:lnRef>
          <a:fillRef idx="2">
            <a:schemeClr val="accent5"/>
          </a:fillRef>
          <a:effectRef idx="1">
            <a:schemeClr val="accent5"/>
          </a:effectRef>
          <a:fontRef idx="minor">
            <a:schemeClr val="dk1"/>
          </a:fontRef>
        </dgm:style>
      </dgm:prSet>
      <dgm:spPr>
        <a:solidFill>
          <a:srgbClr val="004080"/>
        </a:solidFill>
        <a:ln>
          <a:noFill/>
        </a:ln>
        <a:effectLst/>
      </dgm:spPr>
      <dgm:t>
        <a:bodyPr/>
        <a:lstStyle/>
        <a:p>
          <a:pPr marL="72000" algn="l">
            <a:spcAft>
              <a:spcPts val="300"/>
            </a:spcAft>
          </a:pPr>
          <a:r>
            <a:rPr lang="en-AU" sz="800" b="0">
              <a:solidFill>
                <a:schemeClr val="bg1"/>
              </a:solidFill>
              <a:latin typeface="Arial" pitchFamily="34" charset="0"/>
              <a:ea typeface="Verdana" pitchFamily="34" charset="0"/>
              <a:cs typeface="Arial" pitchFamily="34" charset="0"/>
            </a:rPr>
            <a:t>Residential mental health services</a:t>
          </a:r>
        </a:p>
        <a:p>
          <a:pPr marL="72000" algn="l">
            <a:spcAft>
              <a:spcPts val="300"/>
            </a:spcAft>
          </a:pPr>
          <a:r>
            <a:rPr lang="en-AU" sz="800" b="0">
              <a:solidFill>
                <a:schemeClr val="bg1"/>
              </a:solidFill>
              <a:latin typeface="Arial" pitchFamily="34" charset="0"/>
              <a:ea typeface="Verdana" pitchFamily="34" charset="0"/>
              <a:cs typeface="Arial" pitchFamily="34" charset="0"/>
            </a:rPr>
            <a:t>  • 165 services</a:t>
          </a:r>
        </a:p>
      </dgm:t>
    </dgm:pt>
    <dgm:pt modelId="{104B5471-ADC6-41CE-8BFB-27CFAE98295D}" type="parTrans" cxnId="{A623C9CC-0966-499B-8778-69CC5AD5C1BA}">
      <dgm:prSet custT="1">
        <dgm:style>
          <a:lnRef idx="1">
            <a:schemeClr val="accent5"/>
          </a:lnRef>
          <a:fillRef idx="2">
            <a:schemeClr val="accent5"/>
          </a:fillRef>
          <a:effectRef idx="1">
            <a:schemeClr val="accent5"/>
          </a:effectRef>
          <a:fontRef idx="minor">
            <a:schemeClr val="dk1"/>
          </a:fontRef>
        </dgm:style>
      </dgm:prSet>
      <dgm:spPr>
        <a:solidFill>
          <a:srgbClr val="002233"/>
        </a:solidFill>
        <a:ln>
          <a:solidFill>
            <a:srgbClr val="2F3490"/>
          </a:solidFill>
        </a:ln>
        <a:effectLst/>
      </dgm:spPr>
      <dgm:t>
        <a:bodyPr/>
        <a:lstStyle/>
        <a:p>
          <a:pPr>
            <a:spcAft>
              <a:spcPts val="300"/>
            </a:spcAft>
          </a:pPr>
          <a:endParaRPr lang="en-AU" sz="800" b="0">
            <a:solidFill>
              <a:schemeClr val="bg1"/>
            </a:solidFill>
            <a:latin typeface="Arial" pitchFamily="34" charset="0"/>
            <a:ea typeface="Verdana" pitchFamily="34" charset="0"/>
            <a:cs typeface="Arial" pitchFamily="34" charset="0"/>
          </a:endParaRPr>
        </a:p>
      </dgm:t>
    </dgm:pt>
    <dgm:pt modelId="{6D701EB7-6745-4F02-95A5-4155A3204386}" type="sibTrans" cxnId="{A623C9CC-0966-499B-8778-69CC5AD5C1BA}">
      <dgm:prSet/>
      <dgm:spPr/>
      <dgm:t>
        <a:bodyPr/>
        <a:lstStyle/>
        <a:p>
          <a:pPr>
            <a:spcAft>
              <a:spcPts val="300"/>
            </a:spcAft>
          </a:pPr>
          <a:endParaRPr lang="en-AU" sz="800" b="0">
            <a:latin typeface="Arial" pitchFamily="34" charset="0"/>
            <a:ea typeface="Verdana" pitchFamily="34" charset="0"/>
            <a:cs typeface="Arial" pitchFamily="34" charset="0"/>
          </a:endParaRPr>
        </a:p>
      </dgm:t>
    </dgm:pt>
    <dgm:pt modelId="{7D93A61E-6F2B-4E00-9D8F-5144B0144742}">
      <dgm:prSet phldrT="[Text]" custT="1">
        <dgm:style>
          <a:lnRef idx="1">
            <a:schemeClr val="accent5"/>
          </a:lnRef>
          <a:fillRef idx="2">
            <a:schemeClr val="accent5"/>
          </a:fillRef>
          <a:effectRef idx="1">
            <a:schemeClr val="accent5"/>
          </a:effectRef>
          <a:fontRef idx="minor">
            <a:schemeClr val="dk1"/>
          </a:fontRef>
        </dgm:style>
      </dgm:prSet>
      <dgm:spPr>
        <a:solidFill>
          <a:srgbClr val="004080"/>
        </a:solidFill>
        <a:ln>
          <a:noFill/>
        </a:ln>
        <a:effectLst/>
      </dgm:spPr>
      <dgm:t>
        <a:bodyPr/>
        <a:lstStyle/>
        <a:p>
          <a:pPr marL="72000" algn="l">
            <a:spcAft>
              <a:spcPts val="300"/>
            </a:spcAft>
          </a:pPr>
          <a:r>
            <a:rPr lang="en-AU" sz="800" b="0">
              <a:solidFill>
                <a:schemeClr val="bg1"/>
              </a:solidFill>
              <a:latin typeface="Arial" pitchFamily="34" charset="0"/>
              <a:ea typeface="Verdana" pitchFamily="34" charset="0"/>
              <a:cs typeface="Arial" pitchFamily="34" charset="0"/>
            </a:rPr>
            <a:t>Government funded</a:t>
          </a:r>
        </a:p>
        <a:p>
          <a:pPr marL="72000" algn="l">
            <a:spcAft>
              <a:spcPts val="300"/>
            </a:spcAft>
          </a:pPr>
          <a:r>
            <a:rPr lang="en-AU" sz="800" b="0">
              <a:solidFill>
                <a:schemeClr val="bg1"/>
              </a:solidFill>
              <a:latin typeface="Arial" pitchFamily="34" charset="0"/>
              <a:ea typeface="Verdana" pitchFamily="34" charset="0"/>
              <a:cs typeface="Arial" pitchFamily="34" charset="0"/>
            </a:rPr>
            <a:t>  • 81 services</a:t>
          </a:r>
        </a:p>
      </dgm:t>
    </dgm:pt>
    <dgm:pt modelId="{5F87F924-DD1D-47AA-BF76-9E68C042E98B}" type="parTrans" cxnId="{E3D037A3-0377-4FDF-8868-128F9EF56614}">
      <dgm:prSet custT="1">
        <dgm:style>
          <a:lnRef idx="1">
            <a:schemeClr val="accent5"/>
          </a:lnRef>
          <a:fillRef idx="2">
            <a:schemeClr val="accent5"/>
          </a:fillRef>
          <a:effectRef idx="1">
            <a:schemeClr val="accent5"/>
          </a:effectRef>
          <a:fontRef idx="minor">
            <a:schemeClr val="dk1"/>
          </a:fontRef>
        </dgm:style>
      </dgm:prSet>
      <dgm:spPr>
        <a:solidFill>
          <a:srgbClr val="002233"/>
        </a:solidFill>
        <a:ln>
          <a:solidFill>
            <a:srgbClr val="2F3490"/>
          </a:solidFill>
        </a:ln>
        <a:effectLst/>
      </dgm:spPr>
      <dgm:t>
        <a:bodyPr/>
        <a:lstStyle/>
        <a:p>
          <a:pPr>
            <a:spcAft>
              <a:spcPts val="300"/>
            </a:spcAft>
          </a:pPr>
          <a:endParaRPr lang="en-AU" sz="800" b="0">
            <a:solidFill>
              <a:schemeClr val="bg1"/>
            </a:solidFill>
            <a:latin typeface="Arial" pitchFamily="34" charset="0"/>
            <a:ea typeface="Verdana" pitchFamily="34" charset="0"/>
            <a:cs typeface="Arial" pitchFamily="34" charset="0"/>
          </a:endParaRPr>
        </a:p>
      </dgm:t>
    </dgm:pt>
    <dgm:pt modelId="{25C83D2A-B21E-4630-B51E-75EA8F4E23BB}" type="sibTrans" cxnId="{E3D037A3-0377-4FDF-8868-128F9EF56614}">
      <dgm:prSet/>
      <dgm:spPr/>
      <dgm:t>
        <a:bodyPr/>
        <a:lstStyle/>
        <a:p>
          <a:pPr>
            <a:spcAft>
              <a:spcPts val="300"/>
            </a:spcAft>
          </a:pPr>
          <a:endParaRPr lang="en-AU" sz="800" b="0">
            <a:latin typeface="Arial" pitchFamily="34" charset="0"/>
            <a:ea typeface="Verdana" pitchFamily="34" charset="0"/>
            <a:cs typeface="Arial" pitchFamily="34" charset="0"/>
          </a:endParaRPr>
        </a:p>
      </dgm:t>
    </dgm:pt>
    <dgm:pt modelId="{3D16CCEA-A825-4EF6-B636-BE2B4D9A1417}">
      <dgm:prSet phldrT="[Text]" custT="1">
        <dgm:style>
          <a:lnRef idx="1">
            <a:schemeClr val="accent5"/>
          </a:lnRef>
          <a:fillRef idx="2">
            <a:schemeClr val="accent5"/>
          </a:fillRef>
          <a:effectRef idx="1">
            <a:schemeClr val="accent5"/>
          </a:effectRef>
          <a:fontRef idx="minor">
            <a:schemeClr val="dk1"/>
          </a:fontRef>
        </dgm:style>
      </dgm:prSet>
      <dgm:spPr>
        <a:solidFill>
          <a:srgbClr val="004080"/>
        </a:solidFill>
        <a:ln>
          <a:noFill/>
        </a:ln>
        <a:effectLst/>
      </dgm:spPr>
      <dgm:t>
        <a:bodyPr/>
        <a:lstStyle/>
        <a:p>
          <a:pPr marL="72000" algn="l">
            <a:spcAft>
              <a:spcPts val="300"/>
            </a:spcAft>
          </a:pPr>
          <a:r>
            <a:rPr lang="en-AU" sz="800" b="0" dirty="0">
              <a:solidFill>
                <a:schemeClr val="bg1"/>
              </a:solidFill>
              <a:latin typeface="Arial" pitchFamily="34" charset="0"/>
              <a:ea typeface="Verdana" pitchFamily="34" charset="0"/>
              <a:cs typeface="Arial" pitchFamily="34" charset="0"/>
            </a:rPr>
            <a:t>Private psychiatric hospitals</a:t>
          </a:r>
        </a:p>
        <a:p>
          <a:pPr marL="72000" algn="l">
            <a:spcAft>
              <a:spcPts val="300"/>
            </a:spcAft>
          </a:pPr>
          <a:r>
            <a:rPr lang="en-AU" sz="800" b="0">
              <a:solidFill>
                <a:schemeClr val="bg1"/>
              </a:solidFill>
              <a:latin typeface="Arial" pitchFamily="34" charset="0"/>
              <a:ea typeface="Verdana" pitchFamily="34" charset="0"/>
              <a:cs typeface="Arial" pitchFamily="34" charset="0"/>
            </a:rPr>
            <a:t>  • 55 hospitals</a:t>
          </a:r>
        </a:p>
      </dgm:t>
    </dgm:pt>
    <dgm:pt modelId="{42ED9A8B-070E-4121-B243-6F7CBA38EAF2}" type="parTrans" cxnId="{9DB3DA7E-29CD-44F4-9C21-E07076B12B96}">
      <dgm:prSet custT="1">
        <dgm:style>
          <a:lnRef idx="1">
            <a:schemeClr val="accent5"/>
          </a:lnRef>
          <a:fillRef idx="2">
            <a:schemeClr val="accent5"/>
          </a:fillRef>
          <a:effectRef idx="1">
            <a:schemeClr val="accent5"/>
          </a:effectRef>
          <a:fontRef idx="minor">
            <a:schemeClr val="dk1"/>
          </a:fontRef>
        </dgm:style>
      </dgm:prSet>
      <dgm:spPr>
        <a:solidFill>
          <a:srgbClr val="002233"/>
        </a:solidFill>
        <a:ln>
          <a:solidFill>
            <a:srgbClr val="2F3490"/>
          </a:solidFill>
        </a:ln>
        <a:effectLst/>
      </dgm:spPr>
      <dgm:t>
        <a:bodyPr/>
        <a:lstStyle/>
        <a:p>
          <a:pPr>
            <a:spcAft>
              <a:spcPts val="300"/>
            </a:spcAft>
          </a:pPr>
          <a:endParaRPr lang="en-AU" sz="800" b="0">
            <a:solidFill>
              <a:schemeClr val="bg1"/>
            </a:solidFill>
            <a:latin typeface="Arial" pitchFamily="34" charset="0"/>
            <a:ea typeface="Verdana" pitchFamily="34" charset="0"/>
            <a:cs typeface="Arial" pitchFamily="34" charset="0"/>
          </a:endParaRPr>
        </a:p>
      </dgm:t>
    </dgm:pt>
    <dgm:pt modelId="{7A78AEE1-7CAB-4709-9CAD-53E1457F5887}" type="sibTrans" cxnId="{9DB3DA7E-29CD-44F4-9C21-E07076B12B96}">
      <dgm:prSet/>
      <dgm:spPr/>
      <dgm:t>
        <a:bodyPr/>
        <a:lstStyle/>
        <a:p>
          <a:pPr>
            <a:spcAft>
              <a:spcPts val="300"/>
            </a:spcAft>
          </a:pPr>
          <a:endParaRPr lang="en-AU" sz="800" b="0">
            <a:latin typeface="Arial" pitchFamily="34" charset="0"/>
            <a:ea typeface="Verdana" pitchFamily="34" charset="0"/>
            <a:cs typeface="Arial" pitchFamily="34" charset="0"/>
          </a:endParaRPr>
        </a:p>
      </dgm:t>
    </dgm:pt>
    <dgm:pt modelId="{74B266AE-8EEE-40F9-A11A-7206CCAE73BB}">
      <dgm:prSet phldrT="[Text]" custT="1">
        <dgm:style>
          <a:lnRef idx="1">
            <a:schemeClr val="accent5"/>
          </a:lnRef>
          <a:fillRef idx="2">
            <a:schemeClr val="accent5"/>
          </a:fillRef>
          <a:effectRef idx="1">
            <a:schemeClr val="accent5"/>
          </a:effectRef>
          <a:fontRef idx="minor">
            <a:schemeClr val="dk1"/>
          </a:fontRef>
        </dgm:style>
      </dgm:prSet>
      <dgm:spPr>
        <a:solidFill>
          <a:srgbClr val="004080"/>
        </a:solidFill>
        <a:ln>
          <a:noFill/>
        </a:ln>
        <a:effectLst/>
      </dgm:spPr>
      <dgm:t>
        <a:bodyPr/>
        <a:lstStyle/>
        <a:p>
          <a:pPr marL="72000" algn="l">
            <a:spcAft>
              <a:spcPts val="300"/>
            </a:spcAft>
          </a:pPr>
          <a:r>
            <a:rPr lang="en-AU" sz="800" b="0">
              <a:solidFill>
                <a:schemeClr val="bg1"/>
              </a:solidFill>
              <a:latin typeface="Arial" pitchFamily="34" charset="0"/>
              <a:ea typeface="Verdana" pitchFamily="34" charset="0"/>
              <a:cs typeface="Arial" pitchFamily="34" charset="0"/>
            </a:rPr>
            <a:t>Public acute hospitals with a psychiatric unit </a:t>
          </a:r>
          <a:br>
            <a:rPr lang="en-AU" sz="800" b="0">
              <a:solidFill>
                <a:schemeClr val="bg1"/>
              </a:solidFill>
              <a:latin typeface="Arial" pitchFamily="34" charset="0"/>
              <a:ea typeface="Verdana" pitchFamily="34" charset="0"/>
              <a:cs typeface="Arial" pitchFamily="34" charset="0"/>
            </a:rPr>
          </a:br>
          <a:r>
            <a:rPr lang="en-AU" sz="800" b="0">
              <a:solidFill>
                <a:schemeClr val="bg1"/>
              </a:solidFill>
              <a:latin typeface="Arial" pitchFamily="34" charset="0"/>
              <a:ea typeface="Verdana" pitchFamily="34" charset="0"/>
              <a:cs typeface="Arial" pitchFamily="34" charset="0"/>
            </a:rPr>
            <a:t>or ward</a:t>
          </a:r>
        </a:p>
        <a:p>
          <a:pPr marL="72000" algn="l">
            <a:spcAft>
              <a:spcPts val="300"/>
            </a:spcAft>
          </a:pPr>
          <a:r>
            <a:rPr lang="en-AU" sz="800" b="0">
              <a:solidFill>
                <a:schemeClr val="bg1"/>
              </a:solidFill>
              <a:latin typeface="Arial" pitchFamily="34" charset="0"/>
              <a:ea typeface="Verdana" pitchFamily="34" charset="0"/>
              <a:cs typeface="Arial" pitchFamily="34" charset="0"/>
            </a:rPr>
            <a:t>  • 145 hospitals</a:t>
          </a:r>
        </a:p>
      </dgm:t>
    </dgm:pt>
    <dgm:pt modelId="{7783899A-8C2A-4B32-8DD3-143E10CEF5D0}" type="parTrans" cxnId="{B1E25EDF-9530-4B1B-8F4A-65F98D8001D5}">
      <dgm:prSet custT="1">
        <dgm:style>
          <a:lnRef idx="1">
            <a:schemeClr val="accent5"/>
          </a:lnRef>
          <a:fillRef idx="2">
            <a:schemeClr val="accent5"/>
          </a:fillRef>
          <a:effectRef idx="1">
            <a:schemeClr val="accent5"/>
          </a:effectRef>
          <a:fontRef idx="minor">
            <a:schemeClr val="dk1"/>
          </a:fontRef>
        </dgm:style>
      </dgm:prSet>
      <dgm:spPr>
        <a:solidFill>
          <a:srgbClr val="002233"/>
        </a:solidFill>
        <a:ln>
          <a:solidFill>
            <a:srgbClr val="2F3490"/>
          </a:solidFill>
        </a:ln>
        <a:effectLst/>
      </dgm:spPr>
      <dgm:t>
        <a:bodyPr/>
        <a:lstStyle/>
        <a:p>
          <a:pPr>
            <a:spcAft>
              <a:spcPts val="300"/>
            </a:spcAft>
          </a:pPr>
          <a:endParaRPr lang="en-AU" sz="800" b="0">
            <a:solidFill>
              <a:schemeClr val="bg1"/>
            </a:solidFill>
            <a:latin typeface="Arial" pitchFamily="34" charset="0"/>
            <a:ea typeface="Verdana" pitchFamily="34" charset="0"/>
            <a:cs typeface="Arial" pitchFamily="34" charset="0"/>
          </a:endParaRPr>
        </a:p>
      </dgm:t>
    </dgm:pt>
    <dgm:pt modelId="{2AD37745-1D42-45D6-8F31-45B42EB4E644}" type="sibTrans" cxnId="{B1E25EDF-9530-4B1B-8F4A-65F98D8001D5}">
      <dgm:prSet/>
      <dgm:spPr/>
      <dgm:t>
        <a:bodyPr/>
        <a:lstStyle/>
        <a:p>
          <a:pPr>
            <a:spcAft>
              <a:spcPts val="300"/>
            </a:spcAft>
          </a:pPr>
          <a:endParaRPr lang="en-AU" sz="800" b="0">
            <a:latin typeface="Arial" pitchFamily="34" charset="0"/>
            <a:ea typeface="Verdana" pitchFamily="34" charset="0"/>
            <a:cs typeface="Arial" pitchFamily="34" charset="0"/>
          </a:endParaRPr>
        </a:p>
      </dgm:t>
    </dgm:pt>
    <dgm:pt modelId="{C9D8DA72-195D-42DE-9725-7C707B4F6236}">
      <dgm:prSet custT="1">
        <dgm:style>
          <a:lnRef idx="1">
            <a:schemeClr val="accent5"/>
          </a:lnRef>
          <a:fillRef idx="2">
            <a:schemeClr val="accent5"/>
          </a:fillRef>
          <a:effectRef idx="1">
            <a:schemeClr val="accent5"/>
          </a:effectRef>
          <a:fontRef idx="minor">
            <a:schemeClr val="dk1"/>
          </a:fontRef>
        </dgm:style>
      </dgm:prSet>
      <dgm:spPr>
        <a:solidFill>
          <a:srgbClr val="004080"/>
        </a:solidFill>
        <a:ln>
          <a:noFill/>
        </a:ln>
        <a:effectLst/>
      </dgm:spPr>
      <dgm:t>
        <a:bodyPr/>
        <a:lstStyle/>
        <a:p>
          <a:pPr marL="72000" algn="l">
            <a:spcAft>
              <a:spcPts val="300"/>
            </a:spcAft>
          </a:pPr>
          <a:r>
            <a:rPr lang="en-AU" sz="800" b="0">
              <a:solidFill>
                <a:schemeClr val="bg1"/>
              </a:solidFill>
              <a:latin typeface="Arial" pitchFamily="34" charset="0"/>
              <a:ea typeface="Verdana" pitchFamily="34" charset="0"/>
              <a:cs typeface="Arial" pitchFamily="34" charset="0"/>
            </a:rPr>
            <a:t>Public psychiatric hospitals</a:t>
          </a:r>
        </a:p>
        <a:p>
          <a:pPr marL="72000" algn="l">
            <a:spcAft>
              <a:spcPts val="300"/>
            </a:spcAft>
          </a:pPr>
          <a:r>
            <a:rPr lang="en-AU" sz="800" b="0">
              <a:solidFill>
                <a:schemeClr val="bg1"/>
              </a:solidFill>
              <a:latin typeface="Arial" pitchFamily="34" charset="0"/>
              <a:ea typeface="Verdana" pitchFamily="34" charset="0"/>
              <a:cs typeface="Arial" pitchFamily="34" charset="0"/>
            </a:rPr>
            <a:t>  • 16 hospitals</a:t>
          </a:r>
        </a:p>
      </dgm:t>
    </dgm:pt>
    <dgm:pt modelId="{71A9F733-FEE7-4937-9E7B-7FB612A56D44}" type="parTrans" cxnId="{D4332D61-152D-438E-A43F-95C582BF32AF}">
      <dgm:prSet custT="1">
        <dgm:style>
          <a:lnRef idx="1">
            <a:schemeClr val="accent5"/>
          </a:lnRef>
          <a:fillRef idx="2">
            <a:schemeClr val="accent5"/>
          </a:fillRef>
          <a:effectRef idx="1">
            <a:schemeClr val="accent5"/>
          </a:effectRef>
          <a:fontRef idx="minor">
            <a:schemeClr val="dk1"/>
          </a:fontRef>
        </dgm:style>
      </dgm:prSet>
      <dgm:spPr>
        <a:solidFill>
          <a:srgbClr val="002233"/>
        </a:solidFill>
        <a:ln>
          <a:solidFill>
            <a:srgbClr val="2F3490"/>
          </a:solidFill>
        </a:ln>
        <a:effectLst/>
      </dgm:spPr>
      <dgm:t>
        <a:bodyPr/>
        <a:lstStyle/>
        <a:p>
          <a:pPr>
            <a:spcAft>
              <a:spcPts val="300"/>
            </a:spcAft>
          </a:pPr>
          <a:endParaRPr lang="en-AU" sz="800" b="0">
            <a:solidFill>
              <a:schemeClr val="bg1"/>
            </a:solidFill>
            <a:latin typeface="Arial" pitchFamily="34" charset="0"/>
            <a:ea typeface="Verdana" pitchFamily="34" charset="0"/>
            <a:cs typeface="Arial" pitchFamily="34" charset="0"/>
          </a:endParaRPr>
        </a:p>
      </dgm:t>
    </dgm:pt>
    <dgm:pt modelId="{BC31E006-E41C-4CA9-A08B-908A24CBB94F}" type="sibTrans" cxnId="{D4332D61-152D-438E-A43F-95C582BF32AF}">
      <dgm:prSet/>
      <dgm:spPr/>
      <dgm:t>
        <a:bodyPr/>
        <a:lstStyle/>
        <a:p>
          <a:pPr>
            <a:spcAft>
              <a:spcPts val="300"/>
            </a:spcAft>
          </a:pPr>
          <a:endParaRPr lang="en-AU" sz="800" b="0">
            <a:latin typeface="Arial" pitchFamily="34" charset="0"/>
            <a:ea typeface="Verdana" pitchFamily="34" charset="0"/>
            <a:cs typeface="Arial" pitchFamily="34" charset="0"/>
          </a:endParaRPr>
        </a:p>
      </dgm:t>
    </dgm:pt>
    <dgm:pt modelId="{040454F1-1582-4662-A70C-0375D49F43F4}">
      <dgm:prSet custT="1">
        <dgm:style>
          <a:lnRef idx="1">
            <a:schemeClr val="accent5"/>
          </a:lnRef>
          <a:fillRef idx="2">
            <a:schemeClr val="accent5"/>
          </a:fillRef>
          <a:effectRef idx="1">
            <a:schemeClr val="accent5"/>
          </a:effectRef>
          <a:fontRef idx="minor">
            <a:schemeClr val="dk1"/>
          </a:fontRef>
        </dgm:style>
      </dgm:prSet>
      <dgm:spPr>
        <a:solidFill>
          <a:srgbClr val="004080"/>
        </a:solidFill>
        <a:ln>
          <a:noFill/>
        </a:ln>
        <a:effectLst/>
      </dgm:spPr>
      <dgm:t>
        <a:bodyPr/>
        <a:lstStyle/>
        <a:p>
          <a:pPr marL="108000" algn="l">
            <a:lnSpc>
              <a:spcPct val="100000"/>
            </a:lnSpc>
            <a:spcBef>
              <a:spcPts val="0"/>
            </a:spcBef>
            <a:spcAft>
              <a:spcPts val="300"/>
            </a:spcAft>
          </a:pPr>
          <a:r>
            <a:rPr lang="en-AU" sz="800" b="0">
              <a:solidFill>
                <a:schemeClr val="bg1"/>
              </a:solidFill>
              <a:latin typeface="Arial" pitchFamily="34" charset="0"/>
              <a:ea typeface="Verdana" pitchFamily="34" charset="0"/>
              <a:cs typeface="Arial" pitchFamily="34" charset="0"/>
            </a:rPr>
            <a:t>• 1,873 beds</a:t>
          </a:r>
        </a:p>
        <a:p>
          <a:pPr marL="108000" algn="l">
            <a:lnSpc>
              <a:spcPct val="100000"/>
            </a:lnSpc>
            <a:spcBef>
              <a:spcPts val="0"/>
            </a:spcBef>
            <a:spcAft>
              <a:spcPts val="300"/>
            </a:spcAft>
          </a:pPr>
          <a:r>
            <a:rPr lang="en-AU" sz="800" b="0">
              <a:solidFill>
                <a:schemeClr val="bg1"/>
              </a:solidFill>
              <a:latin typeface="Arial" pitchFamily="34" charset="0"/>
              <a:ea typeface="Verdana" pitchFamily="34" charset="0"/>
              <a:cs typeface="Arial" pitchFamily="34" charset="0"/>
            </a:rPr>
            <a:t>• 606,337 patient days</a:t>
          </a:r>
        </a:p>
      </dgm:t>
    </dgm:pt>
    <dgm:pt modelId="{9035EB08-2739-452A-8DE2-82502021B6CB}" type="parTrans" cxnId="{C3F0E2A5-35F4-4958-98FA-5391B17B1845}">
      <dgm:prSet custT="1">
        <dgm:style>
          <a:lnRef idx="1">
            <a:schemeClr val="accent5"/>
          </a:lnRef>
          <a:fillRef idx="2">
            <a:schemeClr val="accent5"/>
          </a:fillRef>
          <a:effectRef idx="1">
            <a:schemeClr val="accent5"/>
          </a:effectRef>
          <a:fontRef idx="minor">
            <a:schemeClr val="dk1"/>
          </a:fontRef>
        </dgm:style>
      </dgm:prSet>
      <dgm:spPr>
        <a:solidFill>
          <a:srgbClr val="002233"/>
        </a:solidFill>
        <a:ln>
          <a:solidFill>
            <a:srgbClr val="2F3490"/>
          </a:solidFill>
        </a:ln>
        <a:effectLst/>
      </dgm:spPr>
      <dgm:t>
        <a:bodyPr/>
        <a:lstStyle/>
        <a:p>
          <a:pPr>
            <a:spcAft>
              <a:spcPts val="300"/>
            </a:spcAft>
          </a:pPr>
          <a:endParaRPr lang="en-AU" sz="800" b="0">
            <a:solidFill>
              <a:schemeClr val="bg1"/>
            </a:solidFill>
            <a:latin typeface="Arial" pitchFamily="34" charset="0"/>
            <a:ea typeface="Verdana" pitchFamily="34" charset="0"/>
            <a:cs typeface="Arial" pitchFamily="34" charset="0"/>
          </a:endParaRPr>
        </a:p>
      </dgm:t>
    </dgm:pt>
    <dgm:pt modelId="{F3F0C195-5863-4C52-B57A-AA29B2E67AB3}" type="sibTrans" cxnId="{C3F0E2A5-35F4-4958-98FA-5391B17B1845}">
      <dgm:prSet/>
      <dgm:spPr/>
      <dgm:t>
        <a:bodyPr/>
        <a:lstStyle/>
        <a:p>
          <a:pPr>
            <a:spcAft>
              <a:spcPts val="300"/>
            </a:spcAft>
          </a:pPr>
          <a:endParaRPr lang="en-AU" sz="800" b="0">
            <a:latin typeface="Arial" pitchFamily="34" charset="0"/>
            <a:ea typeface="Verdana" pitchFamily="34" charset="0"/>
            <a:cs typeface="Arial" pitchFamily="34" charset="0"/>
          </a:endParaRPr>
        </a:p>
      </dgm:t>
    </dgm:pt>
    <dgm:pt modelId="{53F2AC9F-D41A-414E-8328-42276B9C0F8F}">
      <dgm:prSet custT="1">
        <dgm:style>
          <a:lnRef idx="1">
            <a:schemeClr val="accent5"/>
          </a:lnRef>
          <a:fillRef idx="2">
            <a:schemeClr val="accent5"/>
          </a:fillRef>
          <a:effectRef idx="1">
            <a:schemeClr val="accent5"/>
          </a:effectRef>
          <a:fontRef idx="minor">
            <a:schemeClr val="dk1"/>
          </a:fontRef>
        </dgm:style>
      </dgm:prSet>
      <dgm:spPr>
        <a:solidFill>
          <a:srgbClr val="004080"/>
        </a:solidFill>
        <a:ln>
          <a:noFill/>
        </a:ln>
        <a:effectLst/>
      </dgm:spPr>
      <dgm:t>
        <a:bodyPr/>
        <a:lstStyle/>
        <a:p>
          <a:pPr marL="108000" algn="l">
            <a:lnSpc>
              <a:spcPct val="100000"/>
            </a:lnSpc>
            <a:spcBef>
              <a:spcPts val="0"/>
            </a:spcBef>
            <a:spcAft>
              <a:spcPts val="300"/>
            </a:spcAft>
          </a:pPr>
          <a:r>
            <a:rPr lang="en-AU" sz="800" b="0">
              <a:solidFill>
                <a:schemeClr val="bg1"/>
              </a:solidFill>
              <a:latin typeface="Arial" pitchFamily="34" charset="0"/>
              <a:ea typeface="Verdana" pitchFamily="34" charset="0"/>
              <a:cs typeface="Arial" pitchFamily="34" charset="0"/>
            </a:rPr>
            <a:t>• 4,836 beds</a:t>
          </a:r>
        </a:p>
        <a:p>
          <a:pPr marL="108000" algn="l">
            <a:lnSpc>
              <a:spcPct val="100000"/>
            </a:lnSpc>
            <a:spcBef>
              <a:spcPts val="0"/>
            </a:spcBef>
            <a:spcAft>
              <a:spcPts val="300"/>
            </a:spcAft>
          </a:pPr>
          <a:r>
            <a:rPr lang="en-AU" sz="800" b="0">
              <a:solidFill>
                <a:schemeClr val="bg1"/>
              </a:solidFill>
              <a:latin typeface="Arial" pitchFamily="34" charset="0"/>
              <a:ea typeface="Verdana" pitchFamily="34" charset="0"/>
              <a:cs typeface="Arial" pitchFamily="34" charset="0"/>
            </a:rPr>
            <a:t>• 1,529,806 patient days</a:t>
          </a:r>
        </a:p>
      </dgm:t>
    </dgm:pt>
    <dgm:pt modelId="{E4A893C2-B8BE-46C7-A5B5-44F0318F8AF2}" type="parTrans" cxnId="{1283531F-27F4-492B-9350-3A807AF1AC7E}">
      <dgm:prSet custT="1">
        <dgm:style>
          <a:lnRef idx="1">
            <a:schemeClr val="accent5"/>
          </a:lnRef>
          <a:fillRef idx="2">
            <a:schemeClr val="accent5"/>
          </a:fillRef>
          <a:effectRef idx="1">
            <a:schemeClr val="accent5"/>
          </a:effectRef>
          <a:fontRef idx="minor">
            <a:schemeClr val="dk1"/>
          </a:fontRef>
        </dgm:style>
      </dgm:prSet>
      <dgm:spPr>
        <a:solidFill>
          <a:srgbClr val="002233"/>
        </a:solidFill>
        <a:ln>
          <a:solidFill>
            <a:srgbClr val="2F3490"/>
          </a:solidFill>
        </a:ln>
        <a:effectLst/>
      </dgm:spPr>
      <dgm:t>
        <a:bodyPr/>
        <a:lstStyle/>
        <a:p>
          <a:pPr>
            <a:spcAft>
              <a:spcPts val="300"/>
            </a:spcAft>
          </a:pPr>
          <a:endParaRPr lang="en-AU" sz="800" b="0">
            <a:solidFill>
              <a:schemeClr val="bg1"/>
            </a:solidFill>
            <a:latin typeface="Arial" pitchFamily="34" charset="0"/>
            <a:ea typeface="Verdana" pitchFamily="34" charset="0"/>
            <a:cs typeface="Arial" pitchFamily="34" charset="0"/>
          </a:endParaRPr>
        </a:p>
      </dgm:t>
    </dgm:pt>
    <dgm:pt modelId="{095F8F64-D6A1-4C47-90C7-0B33A241D40C}" type="sibTrans" cxnId="{1283531F-27F4-492B-9350-3A807AF1AC7E}">
      <dgm:prSet/>
      <dgm:spPr/>
      <dgm:t>
        <a:bodyPr/>
        <a:lstStyle/>
        <a:p>
          <a:pPr>
            <a:spcAft>
              <a:spcPts val="300"/>
            </a:spcAft>
          </a:pPr>
          <a:endParaRPr lang="en-AU" sz="800" b="0">
            <a:latin typeface="Arial" pitchFamily="34" charset="0"/>
            <a:ea typeface="Verdana" pitchFamily="34" charset="0"/>
            <a:cs typeface="Arial" pitchFamily="34" charset="0"/>
          </a:endParaRPr>
        </a:p>
      </dgm:t>
    </dgm:pt>
    <dgm:pt modelId="{B5E6138E-1191-4F38-A3DD-0420BB516C65}">
      <dgm:prSet custT="1">
        <dgm:style>
          <a:lnRef idx="1">
            <a:schemeClr val="accent5"/>
          </a:lnRef>
          <a:fillRef idx="2">
            <a:schemeClr val="accent5"/>
          </a:fillRef>
          <a:effectRef idx="1">
            <a:schemeClr val="accent5"/>
          </a:effectRef>
          <a:fontRef idx="minor">
            <a:schemeClr val="dk1"/>
          </a:fontRef>
        </dgm:style>
      </dgm:prSet>
      <dgm:spPr>
        <a:solidFill>
          <a:srgbClr val="004080"/>
        </a:solidFill>
        <a:ln>
          <a:noFill/>
        </a:ln>
        <a:effectLst/>
      </dgm:spPr>
      <dgm:t>
        <a:bodyPr/>
        <a:lstStyle/>
        <a:p>
          <a:pPr marL="72000" algn="l">
            <a:spcAft>
              <a:spcPts val="300"/>
            </a:spcAft>
          </a:pPr>
          <a:r>
            <a:rPr lang="en-AU" sz="800" b="0">
              <a:solidFill>
                <a:schemeClr val="bg1"/>
              </a:solidFill>
              <a:latin typeface="Arial" pitchFamily="34" charset="0"/>
              <a:ea typeface="Verdana" pitchFamily="34" charset="0"/>
              <a:cs typeface="Arial" pitchFamily="34" charset="0"/>
            </a:rPr>
            <a:t>Non-government funded</a:t>
          </a:r>
        </a:p>
        <a:p>
          <a:pPr marL="72000" algn="l">
            <a:spcAft>
              <a:spcPts val="300"/>
            </a:spcAft>
          </a:pPr>
          <a:r>
            <a:rPr lang="en-AU" sz="800" b="0">
              <a:solidFill>
                <a:schemeClr val="bg1"/>
              </a:solidFill>
              <a:latin typeface="Arial" pitchFamily="34" charset="0"/>
              <a:ea typeface="Verdana" pitchFamily="34" charset="0"/>
              <a:cs typeface="Arial" pitchFamily="34" charset="0"/>
            </a:rPr>
            <a:t>  • 84 services</a:t>
          </a:r>
        </a:p>
      </dgm:t>
    </dgm:pt>
    <dgm:pt modelId="{B867015B-E013-4ED1-840B-FC948F6CA7B0}" type="parTrans" cxnId="{43992CDC-EC51-459C-B11F-5937CD63DE9D}">
      <dgm:prSet custT="1">
        <dgm:style>
          <a:lnRef idx="1">
            <a:schemeClr val="accent5"/>
          </a:lnRef>
          <a:fillRef idx="2">
            <a:schemeClr val="accent5"/>
          </a:fillRef>
          <a:effectRef idx="1">
            <a:schemeClr val="accent5"/>
          </a:effectRef>
          <a:fontRef idx="minor">
            <a:schemeClr val="dk1"/>
          </a:fontRef>
        </dgm:style>
      </dgm:prSet>
      <dgm:spPr>
        <a:solidFill>
          <a:srgbClr val="002233"/>
        </a:solidFill>
        <a:ln>
          <a:solidFill>
            <a:srgbClr val="2F3490"/>
          </a:solidFill>
        </a:ln>
        <a:effectLst/>
      </dgm:spPr>
      <dgm:t>
        <a:bodyPr/>
        <a:lstStyle/>
        <a:p>
          <a:pPr>
            <a:spcAft>
              <a:spcPts val="300"/>
            </a:spcAft>
          </a:pPr>
          <a:endParaRPr lang="en-AU" sz="800" b="0">
            <a:solidFill>
              <a:schemeClr val="bg1"/>
            </a:solidFill>
            <a:latin typeface="Arial" pitchFamily="34" charset="0"/>
            <a:ea typeface="Verdana" pitchFamily="34" charset="0"/>
            <a:cs typeface="Arial" pitchFamily="34" charset="0"/>
          </a:endParaRPr>
        </a:p>
      </dgm:t>
    </dgm:pt>
    <dgm:pt modelId="{62DCDA0D-2F36-4276-8C4C-35E5FC36C72C}" type="sibTrans" cxnId="{43992CDC-EC51-459C-B11F-5937CD63DE9D}">
      <dgm:prSet/>
      <dgm:spPr/>
      <dgm:t>
        <a:bodyPr/>
        <a:lstStyle/>
        <a:p>
          <a:pPr>
            <a:spcAft>
              <a:spcPts val="300"/>
            </a:spcAft>
          </a:pPr>
          <a:endParaRPr lang="en-AU" sz="800" b="0">
            <a:latin typeface="Arial" pitchFamily="34" charset="0"/>
            <a:ea typeface="Verdana" pitchFamily="34" charset="0"/>
            <a:cs typeface="Arial" pitchFamily="34" charset="0"/>
          </a:endParaRPr>
        </a:p>
      </dgm:t>
    </dgm:pt>
    <dgm:pt modelId="{FB08A4F8-0FF5-45D9-9934-D3059D7C61FD}">
      <dgm:prSet custT="1">
        <dgm:style>
          <a:lnRef idx="1">
            <a:schemeClr val="accent5"/>
          </a:lnRef>
          <a:fillRef idx="2">
            <a:schemeClr val="accent5"/>
          </a:fillRef>
          <a:effectRef idx="1">
            <a:schemeClr val="accent5"/>
          </a:effectRef>
          <a:fontRef idx="minor">
            <a:schemeClr val="dk1"/>
          </a:fontRef>
        </dgm:style>
      </dgm:prSet>
      <dgm:spPr>
        <a:solidFill>
          <a:srgbClr val="004080"/>
        </a:solidFill>
        <a:ln>
          <a:noFill/>
        </a:ln>
        <a:effectLst/>
      </dgm:spPr>
      <dgm:t>
        <a:bodyPr/>
        <a:lstStyle/>
        <a:p>
          <a:pPr marL="108000" algn="l">
            <a:lnSpc>
              <a:spcPct val="100000"/>
            </a:lnSpc>
            <a:spcBef>
              <a:spcPts val="0"/>
            </a:spcBef>
            <a:spcAft>
              <a:spcPts val="300"/>
            </a:spcAft>
          </a:pPr>
          <a:r>
            <a:rPr lang="en-AU" sz="800" b="0">
              <a:solidFill>
                <a:schemeClr val="bg1"/>
              </a:solidFill>
              <a:latin typeface="Arial" pitchFamily="34" charset="0"/>
              <a:ea typeface="Verdana" pitchFamily="34" charset="0"/>
              <a:cs typeface="Arial" pitchFamily="34" charset="0"/>
            </a:rPr>
            <a:t>• 1,439 beds</a:t>
          </a:r>
        </a:p>
        <a:p>
          <a:pPr marL="108000" algn="l">
            <a:lnSpc>
              <a:spcPct val="100000"/>
            </a:lnSpc>
            <a:spcBef>
              <a:spcPts val="0"/>
            </a:spcBef>
            <a:spcAft>
              <a:spcPts val="300"/>
            </a:spcAft>
          </a:pPr>
          <a:r>
            <a:rPr lang="en-AU" sz="800" b="0">
              <a:solidFill>
                <a:schemeClr val="bg1"/>
              </a:solidFill>
              <a:latin typeface="Arial" pitchFamily="34" charset="0"/>
              <a:ea typeface="Verdana" pitchFamily="34" charset="0"/>
              <a:cs typeface="Arial" pitchFamily="34" charset="0"/>
            </a:rPr>
            <a:t>• 457,952 patient days</a:t>
          </a:r>
        </a:p>
      </dgm:t>
    </dgm:pt>
    <dgm:pt modelId="{56CC75AA-4471-4B50-88DD-6E51E41677FD}" type="parTrans" cxnId="{ABBDAE42-8CBB-4847-9EC6-09D507D8CA86}">
      <dgm:prSet custT="1">
        <dgm:style>
          <a:lnRef idx="1">
            <a:schemeClr val="accent5"/>
          </a:lnRef>
          <a:fillRef idx="2">
            <a:schemeClr val="accent5"/>
          </a:fillRef>
          <a:effectRef idx="1">
            <a:schemeClr val="accent5"/>
          </a:effectRef>
          <a:fontRef idx="minor">
            <a:schemeClr val="dk1"/>
          </a:fontRef>
        </dgm:style>
      </dgm:prSet>
      <dgm:spPr>
        <a:solidFill>
          <a:srgbClr val="002233"/>
        </a:solidFill>
        <a:ln>
          <a:solidFill>
            <a:srgbClr val="2F3490"/>
          </a:solidFill>
        </a:ln>
        <a:effectLst/>
      </dgm:spPr>
      <dgm:t>
        <a:bodyPr/>
        <a:lstStyle/>
        <a:p>
          <a:pPr>
            <a:spcAft>
              <a:spcPts val="300"/>
            </a:spcAft>
          </a:pPr>
          <a:endParaRPr lang="en-AU" sz="800" b="0">
            <a:solidFill>
              <a:schemeClr val="bg1"/>
            </a:solidFill>
            <a:latin typeface="Arial" pitchFamily="34" charset="0"/>
            <a:ea typeface="Verdana" pitchFamily="34" charset="0"/>
            <a:cs typeface="Arial" pitchFamily="34" charset="0"/>
          </a:endParaRPr>
        </a:p>
      </dgm:t>
    </dgm:pt>
    <dgm:pt modelId="{20995C4A-D875-4499-A4F8-F78A8EBF2E07}" type="sibTrans" cxnId="{ABBDAE42-8CBB-4847-9EC6-09D507D8CA86}">
      <dgm:prSet/>
      <dgm:spPr/>
      <dgm:t>
        <a:bodyPr/>
        <a:lstStyle/>
        <a:p>
          <a:pPr>
            <a:spcAft>
              <a:spcPts val="300"/>
            </a:spcAft>
          </a:pPr>
          <a:endParaRPr lang="en-AU" sz="800" b="0">
            <a:latin typeface="Arial" pitchFamily="34" charset="0"/>
            <a:ea typeface="Verdana" pitchFamily="34" charset="0"/>
            <a:cs typeface="Arial" pitchFamily="34" charset="0"/>
          </a:endParaRPr>
        </a:p>
      </dgm:t>
    </dgm:pt>
    <dgm:pt modelId="{B2ADD6ED-DFBF-4BD1-9AB3-5B740EF2BD91}">
      <dgm:prSet custT="1">
        <dgm:style>
          <a:lnRef idx="1">
            <a:schemeClr val="accent5"/>
          </a:lnRef>
          <a:fillRef idx="2">
            <a:schemeClr val="accent5"/>
          </a:fillRef>
          <a:effectRef idx="1">
            <a:schemeClr val="accent5"/>
          </a:effectRef>
          <a:fontRef idx="minor">
            <a:schemeClr val="dk1"/>
          </a:fontRef>
        </dgm:style>
      </dgm:prSet>
      <dgm:spPr>
        <a:solidFill>
          <a:srgbClr val="004080"/>
        </a:solidFill>
        <a:ln>
          <a:noFill/>
        </a:ln>
        <a:effectLst/>
      </dgm:spPr>
      <dgm:t>
        <a:bodyPr/>
        <a:lstStyle/>
        <a:p>
          <a:pPr marL="108000" algn="l">
            <a:lnSpc>
              <a:spcPct val="100000"/>
            </a:lnSpc>
            <a:spcBef>
              <a:spcPts val="0"/>
            </a:spcBef>
            <a:spcAft>
              <a:spcPts val="300"/>
            </a:spcAft>
          </a:pPr>
          <a:r>
            <a:rPr lang="en-AU" sz="800" b="0">
              <a:solidFill>
                <a:schemeClr val="bg1"/>
              </a:solidFill>
              <a:latin typeface="Arial" pitchFamily="34" charset="0"/>
              <a:ea typeface="Verdana" pitchFamily="34" charset="0"/>
              <a:cs typeface="Arial" pitchFamily="34" charset="0"/>
            </a:rPr>
            <a:t>• 913 beds</a:t>
          </a:r>
        </a:p>
        <a:p>
          <a:pPr marL="108000" algn="l">
            <a:lnSpc>
              <a:spcPct val="100000"/>
            </a:lnSpc>
            <a:spcBef>
              <a:spcPts val="0"/>
            </a:spcBef>
            <a:spcAft>
              <a:spcPts val="300"/>
            </a:spcAft>
          </a:pPr>
          <a:r>
            <a:rPr lang="en-AU" sz="800" b="0">
              <a:solidFill>
                <a:schemeClr val="bg1"/>
              </a:solidFill>
              <a:latin typeface="Arial" pitchFamily="34" charset="0"/>
              <a:ea typeface="Verdana" pitchFamily="34" charset="0"/>
              <a:cs typeface="Arial" pitchFamily="34" charset="0"/>
            </a:rPr>
            <a:t>• 293,977 patient days</a:t>
          </a:r>
        </a:p>
      </dgm:t>
    </dgm:pt>
    <dgm:pt modelId="{A1325F5B-211E-4F1F-8842-802D057F6183}" type="parTrans" cxnId="{CDA032AA-5B5B-4A64-B844-76D0A7ED5105}">
      <dgm:prSet custT="1">
        <dgm:style>
          <a:lnRef idx="1">
            <a:schemeClr val="accent5"/>
          </a:lnRef>
          <a:fillRef idx="2">
            <a:schemeClr val="accent5"/>
          </a:fillRef>
          <a:effectRef idx="1">
            <a:schemeClr val="accent5"/>
          </a:effectRef>
          <a:fontRef idx="minor">
            <a:schemeClr val="dk1"/>
          </a:fontRef>
        </dgm:style>
      </dgm:prSet>
      <dgm:spPr>
        <a:solidFill>
          <a:srgbClr val="002233"/>
        </a:solidFill>
        <a:ln>
          <a:solidFill>
            <a:srgbClr val="2F3490"/>
          </a:solidFill>
        </a:ln>
        <a:effectLst/>
      </dgm:spPr>
      <dgm:t>
        <a:bodyPr/>
        <a:lstStyle/>
        <a:p>
          <a:pPr>
            <a:spcAft>
              <a:spcPts val="300"/>
            </a:spcAft>
          </a:pPr>
          <a:endParaRPr lang="en-AU" sz="800" b="0">
            <a:solidFill>
              <a:schemeClr val="bg1"/>
            </a:solidFill>
            <a:latin typeface="Arial" pitchFamily="34" charset="0"/>
            <a:ea typeface="Verdana" pitchFamily="34" charset="0"/>
            <a:cs typeface="Arial" pitchFamily="34" charset="0"/>
          </a:endParaRPr>
        </a:p>
      </dgm:t>
    </dgm:pt>
    <dgm:pt modelId="{F9C299CA-1302-4F8E-B8C3-699CEBB3ED86}" type="sibTrans" cxnId="{CDA032AA-5B5B-4A64-B844-76D0A7ED5105}">
      <dgm:prSet/>
      <dgm:spPr/>
      <dgm:t>
        <a:bodyPr/>
        <a:lstStyle/>
        <a:p>
          <a:pPr>
            <a:spcAft>
              <a:spcPts val="300"/>
            </a:spcAft>
          </a:pPr>
          <a:endParaRPr lang="en-AU" sz="800" b="0">
            <a:latin typeface="Arial" pitchFamily="34" charset="0"/>
            <a:ea typeface="Verdana" pitchFamily="34" charset="0"/>
            <a:cs typeface="Arial" pitchFamily="34" charset="0"/>
          </a:endParaRPr>
        </a:p>
      </dgm:t>
    </dgm:pt>
    <dgm:pt modelId="{C7707EC2-6AA9-49AC-9B58-17D58694D9B8}">
      <dgm:prSet custT="1">
        <dgm:style>
          <a:lnRef idx="1">
            <a:schemeClr val="accent5"/>
          </a:lnRef>
          <a:fillRef idx="2">
            <a:schemeClr val="accent5"/>
          </a:fillRef>
          <a:effectRef idx="1">
            <a:schemeClr val="accent5"/>
          </a:effectRef>
          <a:fontRef idx="minor">
            <a:schemeClr val="dk1"/>
          </a:fontRef>
        </dgm:style>
      </dgm:prSet>
      <dgm:spPr>
        <a:solidFill>
          <a:srgbClr val="004080"/>
        </a:solidFill>
        <a:ln>
          <a:noFill/>
        </a:ln>
        <a:effectLst/>
      </dgm:spPr>
      <dgm:t>
        <a:bodyPr/>
        <a:lstStyle/>
        <a:p>
          <a:pPr marL="72000" algn="l">
            <a:spcAft>
              <a:spcPts val="300"/>
            </a:spcAft>
          </a:pPr>
          <a:r>
            <a:rPr lang="en-AU" sz="800" b="0">
              <a:solidFill>
                <a:schemeClr val="bg1"/>
              </a:solidFill>
              <a:latin typeface="Arial" pitchFamily="34" charset="0"/>
              <a:ea typeface="Verdana" pitchFamily="34" charset="0"/>
              <a:cs typeface="Arial" pitchFamily="34" charset="0"/>
            </a:rPr>
            <a:t>Community mental health care services</a:t>
          </a:r>
        </a:p>
        <a:p>
          <a:pPr marL="72000" algn="l">
            <a:spcAft>
              <a:spcPts val="300"/>
            </a:spcAft>
          </a:pPr>
          <a:r>
            <a:rPr lang="en-AU" sz="800" b="0">
              <a:solidFill>
                <a:schemeClr val="bg1"/>
              </a:solidFill>
              <a:latin typeface="Arial" pitchFamily="34" charset="0"/>
              <a:ea typeface="Verdana" pitchFamily="34" charset="0"/>
              <a:cs typeface="Arial" pitchFamily="34" charset="0"/>
            </a:rPr>
            <a:t>  • 1,133 services</a:t>
          </a:r>
        </a:p>
      </dgm:t>
    </dgm:pt>
    <dgm:pt modelId="{416146CE-5B05-474F-807C-0E28E59CBD62}" type="parTrans" cxnId="{4E2ABC36-E2D9-434C-BB3D-4CBD87775E4B}">
      <dgm:prSet custT="1">
        <dgm:style>
          <a:lnRef idx="1">
            <a:schemeClr val="accent5"/>
          </a:lnRef>
          <a:fillRef idx="2">
            <a:schemeClr val="accent5"/>
          </a:fillRef>
          <a:effectRef idx="1">
            <a:schemeClr val="accent5"/>
          </a:effectRef>
          <a:fontRef idx="minor">
            <a:schemeClr val="dk1"/>
          </a:fontRef>
        </dgm:style>
      </dgm:prSet>
      <dgm:spPr>
        <a:solidFill>
          <a:srgbClr val="002233"/>
        </a:solidFill>
        <a:ln>
          <a:solidFill>
            <a:srgbClr val="2F3490"/>
          </a:solidFill>
        </a:ln>
        <a:effectLst/>
      </dgm:spPr>
      <dgm:t>
        <a:bodyPr/>
        <a:lstStyle/>
        <a:p>
          <a:pPr>
            <a:spcAft>
              <a:spcPts val="300"/>
            </a:spcAft>
          </a:pPr>
          <a:endParaRPr lang="en-AU" sz="800" b="0">
            <a:solidFill>
              <a:schemeClr val="bg1"/>
            </a:solidFill>
            <a:latin typeface="Arial" pitchFamily="34" charset="0"/>
            <a:ea typeface="Verdana" pitchFamily="34" charset="0"/>
            <a:cs typeface="Arial" pitchFamily="34" charset="0"/>
          </a:endParaRPr>
        </a:p>
      </dgm:t>
    </dgm:pt>
    <dgm:pt modelId="{B0CB1D4B-DC11-4458-A319-B014F6C7EED8}" type="sibTrans" cxnId="{4E2ABC36-E2D9-434C-BB3D-4CBD87775E4B}">
      <dgm:prSet/>
      <dgm:spPr/>
      <dgm:t>
        <a:bodyPr/>
        <a:lstStyle/>
        <a:p>
          <a:pPr>
            <a:spcAft>
              <a:spcPts val="300"/>
            </a:spcAft>
          </a:pPr>
          <a:endParaRPr lang="en-AU" sz="800" b="0">
            <a:latin typeface="Arial" pitchFamily="34" charset="0"/>
            <a:ea typeface="Verdana" pitchFamily="34" charset="0"/>
            <a:cs typeface="Arial" pitchFamily="34" charset="0"/>
          </a:endParaRPr>
        </a:p>
      </dgm:t>
    </dgm:pt>
    <dgm:pt modelId="{F0B5E458-2F02-4D90-972B-54F54B66EA89}">
      <dgm:prSet custT="1">
        <dgm:style>
          <a:lnRef idx="1">
            <a:schemeClr val="accent5"/>
          </a:lnRef>
          <a:fillRef idx="2">
            <a:schemeClr val="accent5"/>
          </a:fillRef>
          <a:effectRef idx="1">
            <a:schemeClr val="accent5"/>
          </a:effectRef>
          <a:fontRef idx="minor">
            <a:schemeClr val="dk1"/>
          </a:fontRef>
        </dgm:style>
      </dgm:prSet>
      <dgm:spPr>
        <a:solidFill>
          <a:srgbClr val="004080"/>
        </a:solidFill>
        <a:ln>
          <a:noFill/>
        </a:ln>
        <a:effectLst/>
      </dgm:spPr>
      <dgm:t>
        <a:bodyPr/>
        <a:lstStyle/>
        <a:p>
          <a:pPr marL="108000" algn="l">
            <a:lnSpc>
              <a:spcPct val="100000"/>
            </a:lnSpc>
            <a:spcBef>
              <a:spcPts val="0"/>
            </a:spcBef>
            <a:spcAft>
              <a:spcPts val="300"/>
            </a:spcAft>
          </a:pPr>
          <a:r>
            <a:rPr lang="en-AU" sz="800" b="0">
              <a:solidFill>
                <a:schemeClr val="bg1"/>
              </a:solidFill>
              <a:latin typeface="Arial" pitchFamily="34" charset="0"/>
              <a:ea typeface="Verdana" pitchFamily="34" charset="0"/>
              <a:cs typeface="Arial" pitchFamily="34" charset="0"/>
            </a:rPr>
            <a:t>• 5.5 million patient contacts</a:t>
          </a:r>
        </a:p>
      </dgm:t>
    </dgm:pt>
    <dgm:pt modelId="{1A5D4D95-6276-4DDE-97A8-D7C710CE32F5}" type="parTrans" cxnId="{2217A057-BB03-4C91-8A7C-817F7C0655F1}">
      <dgm:prSet custT="1">
        <dgm:style>
          <a:lnRef idx="1">
            <a:schemeClr val="accent5"/>
          </a:lnRef>
          <a:fillRef idx="2">
            <a:schemeClr val="accent5"/>
          </a:fillRef>
          <a:effectRef idx="1">
            <a:schemeClr val="accent5"/>
          </a:effectRef>
          <a:fontRef idx="minor">
            <a:schemeClr val="dk1"/>
          </a:fontRef>
        </dgm:style>
      </dgm:prSet>
      <dgm:spPr>
        <a:solidFill>
          <a:srgbClr val="002233"/>
        </a:solidFill>
        <a:ln>
          <a:solidFill>
            <a:srgbClr val="2F3490"/>
          </a:solidFill>
        </a:ln>
        <a:effectLst/>
      </dgm:spPr>
      <dgm:t>
        <a:bodyPr/>
        <a:lstStyle/>
        <a:p>
          <a:pPr>
            <a:spcAft>
              <a:spcPts val="300"/>
            </a:spcAft>
          </a:pPr>
          <a:endParaRPr lang="en-AU" sz="800" b="0">
            <a:solidFill>
              <a:schemeClr val="bg1"/>
            </a:solidFill>
            <a:latin typeface="Arial" pitchFamily="34" charset="0"/>
            <a:ea typeface="Verdana" pitchFamily="34" charset="0"/>
            <a:cs typeface="Arial" pitchFamily="34" charset="0"/>
          </a:endParaRPr>
        </a:p>
      </dgm:t>
    </dgm:pt>
    <dgm:pt modelId="{482C92CE-2CF2-4E5B-BC58-B4A6C35ED966}" type="sibTrans" cxnId="{2217A057-BB03-4C91-8A7C-817F7C0655F1}">
      <dgm:prSet/>
      <dgm:spPr/>
      <dgm:t>
        <a:bodyPr/>
        <a:lstStyle/>
        <a:p>
          <a:pPr>
            <a:spcAft>
              <a:spcPts val="300"/>
            </a:spcAft>
          </a:pPr>
          <a:endParaRPr lang="en-AU" sz="800" b="0">
            <a:latin typeface="Arial" pitchFamily="34" charset="0"/>
            <a:ea typeface="Verdana" pitchFamily="34" charset="0"/>
            <a:cs typeface="Arial" pitchFamily="34" charset="0"/>
          </a:endParaRPr>
        </a:p>
      </dgm:t>
    </dgm:pt>
    <dgm:pt modelId="{9FA678D8-4743-43A8-BE5F-3C74276D2862}" type="pres">
      <dgm:prSet presAssocID="{6FE2968D-0D9D-4ED5-85CD-C62A8D1C7B10}" presName="mainComposite" presStyleCnt="0">
        <dgm:presLayoutVars>
          <dgm:chPref val="1"/>
          <dgm:dir/>
          <dgm:animOne val="branch"/>
          <dgm:animLvl val="lvl"/>
          <dgm:resizeHandles val="exact"/>
        </dgm:presLayoutVars>
      </dgm:prSet>
      <dgm:spPr/>
      <dgm:t>
        <a:bodyPr/>
        <a:lstStyle/>
        <a:p>
          <a:endParaRPr lang="en-AU"/>
        </a:p>
      </dgm:t>
    </dgm:pt>
    <dgm:pt modelId="{F96C75A1-8FD6-4F76-8FE3-A1F483EB2557}" type="pres">
      <dgm:prSet presAssocID="{6FE2968D-0D9D-4ED5-85CD-C62A8D1C7B10}" presName="hierFlow" presStyleCnt="0"/>
      <dgm:spPr/>
    </dgm:pt>
    <dgm:pt modelId="{F5411ECA-68E1-4FCC-A88A-D252FC7381F7}" type="pres">
      <dgm:prSet presAssocID="{6FE2968D-0D9D-4ED5-85CD-C62A8D1C7B10}" presName="hierChild1" presStyleCnt="0">
        <dgm:presLayoutVars>
          <dgm:chPref val="1"/>
          <dgm:animOne val="branch"/>
          <dgm:animLvl val="lvl"/>
        </dgm:presLayoutVars>
      </dgm:prSet>
      <dgm:spPr/>
    </dgm:pt>
    <dgm:pt modelId="{34BFCF41-D24D-48BA-B8CF-43FFB549B070}" type="pres">
      <dgm:prSet presAssocID="{947737EF-A0B1-4782-9F7E-15F091FB1F9F}" presName="Name17" presStyleCnt="0"/>
      <dgm:spPr/>
    </dgm:pt>
    <dgm:pt modelId="{78C91798-C7EF-49B7-9F86-E333E546B48F}" type="pres">
      <dgm:prSet presAssocID="{947737EF-A0B1-4782-9F7E-15F091FB1F9F}" presName="level1Shape" presStyleLbl="node0" presStyleIdx="0" presStyleCnt="1" custScaleX="257118" custScaleY="292728" custLinFactNeighborX="-69331" custLinFactNeighborY="-1261">
        <dgm:presLayoutVars>
          <dgm:chPref val="3"/>
        </dgm:presLayoutVars>
      </dgm:prSet>
      <dgm:spPr/>
      <dgm:t>
        <a:bodyPr/>
        <a:lstStyle/>
        <a:p>
          <a:endParaRPr lang="en-AU"/>
        </a:p>
      </dgm:t>
    </dgm:pt>
    <dgm:pt modelId="{7E78B9D2-8648-46D1-8384-8847E1ED0059}" type="pres">
      <dgm:prSet presAssocID="{947737EF-A0B1-4782-9F7E-15F091FB1F9F}" presName="hierChild2" presStyleCnt="0"/>
      <dgm:spPr/>
    </dgm:pt>
    <dgm:pt modelId="{2F5B473C-9F27-4A35-9066-915AE9FC04B9}" type="pres">
      <dgm:prSet presAssocID="{CC12E630-33F9-4CB9-8A71-7D6864C2BC4E}" presName="Name25" presStyleLbl="parChTrans1D2" presStyleIdx="0" presStyleCnt="4"/>
      <dgm:spPr/>
      <dgm:t>
        <a:bodyPr/>
        <a:lstStyle/>
        <a:p>
          <a:endParaRPr lang="en-AU"/>
        </a:p>
      </dgm:t>
    </dgm:pt>
    <dgm:pt modelId="{E77613B8-8E17-41E7-8AB0-E973C0BD00EF}" type="pres">
      <dgm:prSet presAssocID="{CC12E630-33F9-4CB9-8A71-7D6864C2BC4E}" presName="connTx" presStyleLbl="parChTrans1D2" presStyleIdx="0" presStyleCnt="4"/>
      <dgm:spPr/>
      <dgm:t>
        <a:bodyPr/>
        <a:lstStyle/>
        <a:p>
          <a:endParaRPr lang="en-AU"/>
        </a:p>
      </dgm:t>
    </dgm:pt>
    <dgm:pt modelId="{10110280-FEF5-40DB-90EA-F51B81DF75FF}" type="pres">
      <dgm:prSet presAssocID="{4B6813D9-88F5-4C9A-88CD-165780F2B5AC}" presName="Name30" presStyleCnt="0"/>
      <dgm:spPr/>
    </dgm:pt>
    <dgm:pt modelId="{94CFB800-6BBF-45E9-9DF9-317013B70F7B}" type="pres">
      <dgm:prSet presAssocID="{4B6813D9-88F5-4C9A-88CD-165780F2B5AC}" presName="level2Shape" presStyleLbl="node2" presStyleIdx="0" presStyleCnt="4" custScaleX="266804" custScaleY="202973" custLinFactNeighborX="-14362" custLinFactNeighborY="6568"/>
      <dgm:spPr/>
      <dgm:t>
        <a:bodyPr/>
        <a:lstStyle/>
        <a:p>
          <a:endParaRPr lang="en-AU"/>
        </a:p>
      </dgm:t>
    </dgm:pt>
    <dgm:pt modelId="{C079C498-D5E1-4745-A97A-FB54F6737090}" type="pres">
      <dgm:prSet presAssocID="{4B6813D9-88F5-4C9A-88CD-165780F2B5AC}" presName="hierChild3" presStyleCnt="0"/>
      <dgm:spPr/>
    </dgm:pt>
    <dgm:pt modelId="{C91DB31D-A32E-4984-AF92-8BBD19DEA818}" type="pres">
      <dgm:prSet presAssocID="{71A9F733-FEE7-4937-9E7B-7FB612A56D44}" presName="Name25" presStyleLbl="parChTrans1D3" presStyleIdx="0" presStyleCnt="6"/>
      <dgm:spPr/>
      <dgm:t>
        <a:bodyPr/>
        <a:lstStyle/>
        <a:p>
          <a:endParaRPr lang="en-AU"/>
        </a:p>
      </dgm:t>
    </dgm:pt>
    <dgm:pt modelId="{70B220CF-84FD-4576-86E0-9A6E679794DD}" type="pres">
      <dgm:prSet presAssocID="{71A9F733-FEE7-4937-9E7B-7FB612A56D44}" presName="connTx" presStyleLbl="parChTrans1D3" presStyleIdx="0" presStyleCnt="6"/>
      <dgm:spPr/>
      <dgm:t>
        <a:bodyPr/>
        <a:lstStyle/>
        <a:p>
          <a:endParaRPr lang="en-AU"/>
        </a:p>
      </dgm:t>
    </dgm:pt>
    <dgm:pt modelId="{B886E113-99F5-4686-AF5C-9355C1A9587C}" type="pres">
      <dgm:prSet presAssocID="{C9D8DA72-195D-42DE-9725-7C707B4F6236}" presName="Name30" presStyleCnt="0"/>
      <dgm:spPr/>
    </dgm:pt>
    <dgm:pt modelId="{FD0C37C4-FF61-408D-B9A2-7EE6A308F170}" type="pres">
      <dgm:prSet presAssocID="{C9D8DA72-195D-42DE-9725-7C707B4F6236}" presName="level2Shape" presStyleLbl="node3" presStyleIdx="0" presStyleCnt="6" custScaleX="299891" custScaleY="249278" custLinFactNeighborX="-5569" custLinFactNeighborY="-932"/>
      <dgm:spPr/>
      <dgm:t>
        <a:bodyPr/>
        <a:lstStyle/>
        <a:p>
          <a:endParaRPr lang="en-AU"/>
        </a:p>
      </dgm:t>
    </dgm:pt>
    <dgm:pt modelId="{1C4253D7-F129-46A9-8E72-4F7F45CC70DB}" type="pres">
      <dgm:prSet presAssocID="{C9D8DA72-195D-42DE-9725-7C707B4F6236}" presName="hierChild3" presStyleCnt="0"/>
      <dgm:spPr/>
    </dgm:pt>
    <dgm:pt modelId="{7A331649-A107-4EAB-9186-7181D7484DCC}" type="pres">
      <dgm:prSet presAssocID="{9035EB08-2739-452A-8DE2-82502021B6CB}" presName="Name25" presStyleLbl="parChTrans1D4" presStyleIdx="0" presStyleCnt="4"/>
      <dgm:spPr/>
      <dgm:t>
        <a:bodyPr/>
        <a:lstStyle/>
        <a:p>
          <a:endParaRPr lang="en-AU"/>
        </a:p>
      </dgm:t>
    </dgm:pt>
    <dgm:pt modelId="{3C8F95F6-EC17-4D1C-8C98-BB71E21E2DE1}" type="pres">
      <dgm:prSet presAssocID="{9035EB08-2739-452A-8DE2-82502021B6CB}" presName="connTx" presStyleLbl="parChTrans1D4" presStyleIdx="0" presStyleCnt="4"/>
      <dgm:spPr/>
      <dgm:t>
        <a:bodyPr/>
        <a:lstStyle/>
        <a:p>
          <a:endParaRPr lang="en-AU"/>
        </a:p>
      </dgm:t>
    </dgm:pt>
    <dgm:pt modelId="{DDB17779-032D-49ED-B7E5-CD0BAF781EDE}" type="pres">
      <dgm:prSet presAssocID="{040454F1-1582-4662-A70C-0375D49F43F4}" presName="Name30" presStyleCnt="0"/>
      <dgm:spPr/>
    </dgm:pt>
    <dgm:pt modelId="{EC0FA791-F412-4EF1-A21A-9BCB48F6BDE6}" type="pres">
      <dgm:prSet presAssocID="{040454F1-1582-4662-A70C-0375D49F43F4}" presName="level2Shape" presStyleLbl="node4" presStyleIdx="0" presStyleCnt="4" custScaleX="294228" custScaleY="190719" custLinFactNeighborX="-606" custLinFactNeighborY="-454"/>
      <dgm:spPr/>
      <dgm:t>
        <a:bodyPr/>
        <a:lstStyle/>
        <a:p>
          <a:endParaRPr lang="en-AU"/>
        </a:p>
      </dgm:t>
    </dgm:pt>
    <dgm:pt modelId="{C1680452-8293-4C5F-825B-173005098850}" type="pres">
      <dgm:prSet presAssocID="{040454F1-1582-4662-A70C-0375D49F43F4}" presName="hierChild3" presStyleCnt="0"/>
      <dgm:spPr/>
    </dgm:pt>
    <dgm:pt modelId="{EDC20001-3D8C-4510-A68C-7A972A0B235F}" type="pres">
      <dgm:prSet presAssocID="{7783899A-8C2A-4B32-8DD3-143E10CEF5D0}" presName="Name25" presStyleLbl="parChTrans1D3" presStyleIdx="1" presStyleCnt="6"/>
      <dgm:spPr/>
      <dgm:t>
        <a:bodyPr/>
        <a:lstStyle/>
        <a:p>
          <a:endParaRPr lang="en-AU"/>
        </a:p>
      </dgm:t>
    </dgm:pt>
    <dgm:pt modelId="{ACC4CE2E-AF28-40D7-BE21-D8D2BDCC3445}" type="pres">
      <dgm:prSet presAssocID="{7783899A-8C2A-4B32-8DD3-143E10CEF5D0}" presName="connTx" presStyleLbl="parChTrans1D3" presStyleIdx="1" presStyleCnt="6"/>
      <dgm:spPr/>
      <dgm:t>
        <a:bodyPr/>
        <a:lstStyle/>
        <a:p>
          <a:endParaRPr lang="en-AU"/>
        </a:p>
      </dgm:t>
    </dgm:pt>
    <dgm:pt modelId="{0E2E9DF4-10A1-4D18-A7F7-2D22BBA3435A}" type="pres">
      <dgm:prSet presAssocID="{74B266AE-8EEE-40F9-A11A-7206CCAE73BB}" presName="Name30" presStyleCnt="0"/>
      <dgm:spPr/>
    </dgm:pt>
    <dgm:pt modelId="{FB46684B-4D2E-4D87-B493-A7BFD8D6B810}" type="pres">
      <dgm:prSet presAssocID="{74B266AE-8EEE-40F9-A11A-7206CCAE73BB}" presName="level2Shape" presStyleLbl="node3" presStyleIdx="1" presStyleCnt="6" custScaleX="299891" custScaleY="307667" custLinFactNeighborX="-5569" custLinFactNeighborY="-932"/>
      <dgm:spPr/>
      <dgm:t>
        <a:bodyPr/>
        <a:lstStyle/>
        <a:p>
          <a:endParaRPr lang="en-AU"/>
        </a:p>
      </dgm:t>
    </dgm:pt>
    <dgm:pt modelId="{2DC5040A-1BD1-4853-B3B0-51EBA3F25F64}" type="pres">
      <dgm:prSet presAssocID="{74B266AE-8EEE-40F9-A11A-7206CCAE73BB}" presName="hierChild3" presStyleCnt="0"/>
      <dgm:spPr/>
    </dgm:pt>
    <dgm:pt modelId="{EC2A9D75-F4FF-4D6F-9A67-764513E63DB3}" type="pres">
      <dgm:prSet presAssocID="{E4A893C2-B8BE-46C7-A5B5-44F0318F8AF2}" presName="Name25" presStyleLbl="parChTrans1D4" presStyleIdx="1" presStyleCnt="4"/>
      <dgm:spPr/>
      <dgm:t>
        <a:bodyPr/>
        <a:lstStyle/>
        <a:p>
          <a:endParaRPr lang="en-AU"/>
        </a:p>
      </dgm:t>
    </dgm:pt>
    <dgm:pt modelId="{0700B06E-8170-4800-97A3-F58CDAC38F8A}" type="pres">
      <dgm:prSet presAssocID="{E4A893C2-B8BE-46C7-A5B5-44F0318F8AF2}" presName="connTx" presStyleLbl="parChTrans1D4" presStyleIdx="1" presStyleCnt="4"/>
      <dgm:spPr/>
      <dgm:t>
        <a:bodyPr/>
        <a:lstStyle/>
        <a:p>
          <a:endParaRPr lang="en-AU"/>
        </a:p>
      </dgm:t>
    </dgm:pt>
    <dgm:pt modelId="{3B8520FD-0BD8-49A0-A286-35094AF359F8}" type="pres">
      <dgm:prSet presAssocID="{53F2AC9F-D41A-414E-8328-42276B9C0F8F}" presName="Name30" presStyleCnt="0"/>
      <dgm:spPr/>
    </dgm:pt>
    <dgm:pt modelId="{68A6A211-0498-4367-86A3-E87C4E9A457F}" type="pres">
      <dgm:prSet presAssocID="{53F2AC9F-D41A-414E-8328-42276B9C0F8F}" presName="level2Shape" presStyleLbl="node4" presStyleIdx="1" presStyleCnt="4" custScaleX="294445" custScaleY="190719" custLinFactNeighborX="22631" custLinFactNeighborY="-929"/>
      <dgm:spPr/>
      <dgm:t>
        <a:bodyPr/>
        <a:lstStyle/>
        <a:p>
          <a:endParaRPr lang="en-AU"/>
        </a:p>
      </dgm:t>
    </dgm:pt>
    <dgm:pt modelId="{4FE2AD27-D401-4731-A43D-582FF7D0CE21}" type="pres">
      <dgm:prSet presAssocID="{53F2AC9F-D41A-414E-8328-42276B9C0F8F}" presName="hierChild3" presStyleCnt="0"/>
      <dgm:spPr/>
    </dgm:pt>
    <dgm:pt modelId="{79782DD8-5736-4391-BC79-7EFBA5037EBF}" type="pres">
      <dgm:prSet presAssocID="{42ED9A8B-070E-4121-B243-6F7CBA38EAF2}" presName="Name25" presStyleLbl="parChTrans1D2" presStyleIdx="1" presStyleCnt="4"/>
      <dgm:spPr/>
      <dgm:t>
        <a:bodyPr/>
        <a:lstStyle/>
        <a:p>
          <a:endParaRPr lang="en-AU"/>
        </a:p>
      </dgm:t>
    </dgm:pt>
    <dgm:pt modelId="{D32F78A1-E9FB-40AD-B14F-41E98E2E2BD2}" type="pres">
      <dgm:prSet presAssocID="{42ED9A8B-070E-4121-B243-6F7CBA38EAF2}" presName="connTx" presStyleLbl="parChTrans1D2" presStyleIdx="1" presStyleCnt="4"/>
      <dgm:spPr/>
      <dgm:t>
        <a:bodyPr/>
        <a:lstStyle/>
        <a:p>
          <a:endParaRPr lang="en-AU"/>
        </a:p>
      </dgm:t>
    </dgm:pt>
    <dgm:pt modelId="{CC5B9E6C-42B8-4325-9E9B-5876020622C2}" type="pres">
      <dgm:prSet presAssocID="{3D16CCEA-A825-4EF6-B636-BE2B4D9A1417}" presName="Name30" presStyleCnt="0"/>
      <dgm:spPr/>
    </dgm:pt>
    <dgm:pt modelId="{0A6C9DBA-3986-4855-A708-7BECFB07A07F}" type="pres">
      <dgm:prSet presAssocID="{3D16CCEA-A825-4EF6-B636-BE2B4D9A1417}" presName="level2Shape" presStyleLbl="node2" presStyleIdx="1" presStyleCnt="4" custScaleX="266804" custScaleY="223270" custLinFactNeighborX="-14362" custLinFactNeighborY="6568"/>
      <dgm:spPr/>
      <dgm:t>
        <a:bodyPr/>
        <a:lstStyle/>
        <a:p>
          <a:endParaRPr lang="en-AU"/>
        </a:p>
      </dgm:t>
    </dgm:pt>
    <dgm:pt modelId="{DE81D32D-1B09-4A5D-BC3B-6E3B4ED7D9F8}" type="pres">
      <dgm:prSet presAssocID="{3D16CCEA-A825-4EF6-B636-BE2B4D9A1417}" presName="hierChild3" presStyleCnt="0"/>
      <dgm:spPr/>
    </dgm:pt>
    <dgm:pt modelId="{AC2CAEF8-2F70-4FC0-B4BF-AF742DFC2CDF}" type="pres">
      <dgm:prSet presAssocID="{B9CA8E83-B0E1-4343-AEAD-AEB4FC2FF544}" presName="Name25" presStyleLbl="parChTrans1D3" presStyleIdx="2" presStyleCnt="6"/>
      <dgm:spPr/>
      <dgm:t>
        <a:bodyPr/>
        <a:lstStyle/>
        <a:p>
          <a:endParaRPr lang="en-AU"/>
        </a:p>
      </dgm:t>
    </dgm:pt>
    <dgm:pt modelId="{08DF0077-7B52-4C71-A059-93544B7DF353}" type="pres">
      <dgm:prSet presAssocID="{B9CA8E83-B0E1-4343-AEAD-AEB4FC2FF544}" presName="connTx" presStyleLbl="parChTrans1D3" presStyleIdx="2" presStyleCnt="6"/>
      <dgm:spPr/>
      <dgm:t>
        <a:bodyPr/>
        <a:lstStyle/>
        <a:p>
          <a:endParaRPr lang="en-AU"/>
        </a:p>
      </dgm:t>
    </dgm:pt>
    <dgm:pt modelId="{36690D5B-D1F4-4719-96CA-A36DAE65C9E5}" type="pres">
      <dgm:prSet presAssocID="{483CF702-C06C-4F7F-BEBF-00A854E6F6B3}" presName="Name30" presStyleCnt="0"/>
      <dgm:spPr/>
    </dgm:pt>
    <dgm:pt modelId="{3C50D623-1D78-4E5D-96B4-D1651BD881A3}" type="pres">
      <dgm:prSet presAssocID="{483CF702-C06C-4F7F-BEBF-00A854E6F6B3}" presName="level2Shape" presStyleLbl="node3" presStyleIdx="2" presStyleCnt="6" custScaleX="294445" custScaleY="190719" custLinFactX="159808" custLinFactNeighborX="200000" custLinFactNeighborY="6396"/>
      <dgm:spPr/>
      <dgm:t>
        <a:bodyPr/>
        <a:lstStyle/>
        <a:p>
          <a:endParaRPr lang="en-AU"/>
        </a:p>
      </dgm:t>
    </dgm:pt>
    <dgm:pt modelId="{3926154D-F94A-415D-82E3-E1A7640F59C5}" type="pres">
      <dgm:prSet presAssocID="{483CF702-C06C-4F7F-BEBF-00A854E6F6B3}" presName="hierChild3" presStyleCnt="0"/>
      <dgm:spPr/>
    </dgm:pt>
    <dgm:pt modelId="{35DB7AAB-0492-42E6-AEF7-9228B4DFC16D}" type="pres">
      <dgm:prSet presAssocID="{104B5471-ADC6-41CE-8BFB-27CFAE98295D}" presName="Name25" presStyleLbl="parChTrans1D2" presStyleIdx="2" presStyleCnt="4"/>
      <dgm:spPr/>
      <dgm:t>
        <a:bodyPr/>
        <a:lstStyle/>
        <a:p>
          <a:endParaRPr lang="en-AU"/>
        </a:p>
      </dgm:t>
    </dgm:pt>
    <dgm:pt modelId="{8D6FE503-BC71-4209-8AC9-A67ECE4996E8}" type="pres">
      <dgm:prSet presAssocID="{104B5471-ADC6-41CE-8BFB-27CFAE98295D}" presName="connTx" presStyleLbl="parChTrans1D2" presStyleIdx="2" presStyleCnt="4"/>
      <dgm:spPr/>
      <dgm:t>
        <a:bodyPr/>
        <a:lstStyle/>
        <a:p>
          <a:endParaRPr lang="en-AU"/>
        </a:p>
      </dgm:t>
    </dgm:pt>
    <dgm:pt modelId="{BC310C3D-A8E3-484A-8E74-6635B3D85B1F}" type="pres">
      <dgm:prSet presAssocID="{894A9EA3-8C10-43E1-BD18-B088940DF59E}" presName="Name30" presStyleCnt="0"/>
      <dgm:spPr/>
    </dgm:pt>
    <dgm:pt modelId="{B905D01A-108D-4B7C-8891-211354F231AA}" type="pres">
      <dgm:prSet presAssocID="{894A9EA3-8C10-43E1-BD18-B088940DF59E}" presName="level2Shape" presStyleLbl="node2" presStyleIdx="2" presStyleCnt="4" custScaleX="266804" custScaleY="223270" custLinFactNeighborX="-14362" custLinFactNeighborY="6568"/>
      <dgm:spPr/>
      <dgm:t>
        <a:bodyPr/>
        <a:lstStyle/>
        <a:p>
          <a:endParaRPr lang="en-AU"/>
        </a:p>
      </dgm:t>
    </dgm:pt>
    <dgm:pt modelId="{7A700208-D367-4602-B509-8DA75C7243FA}" type="pres">
      <dgm:prSet presAssocID="{894A9EA3-8C10-43E1-BD18-B088940DF59E}" presName="hierChild3" presStyleCnt="0"/>
      <dgm:spPr/>
    </dgm:pt>
    <dgm:pt modelId="{09AFB397-455B-4B2D-A12A-627950796CE0}" type="pres">
      <dgm:prSet presAssocID="{5F87F924-DD1D-47AA-BF76-9E68C042E98B}" presName="Name25" presStyleLbl="parChTrans1D3" presStyleIdx="3" presStyleCnt="6"/>
      <dgm:spPr/>
      <dgm:t>
        <a:bodyPr/>
        <a:lstStyle/>
        <a:p>
          <a:endParaRPr lang="en-AU"/>
        </a:p>
      </dgm:t>
    </dgm:pt>
    <dgm:pt modelId="{4F5659FC-30A4-40B3-BD8F-E1E3B4F1C4CC}" type="pres">
      <dgm:prSet presAssocID="{5F87F924-DD1D-47AA-BF76-9E68C042E98B}" presName="connTx" presStyleLbl="parChTrans1D3" presStyleIdx="3" presStyleCnt="6"/>
      <dgm:spPr/>
      <dgm:t>
        <a:bodyPr/>
        <a:lstStyle/>
        <a:p>
          <a:endParaRPr lang="en-AU"/>
        </a:p>
      </dgm:t>
    </dgm:pt>
    <dgm:pt modelId="{A8D3FEC6-ABA1-45ED-A6B3-874B3EF84676}" type="pres">
      <dgm:prSet presAssocID="{7D93A61E-6F2B-4E00-9D8F-5144B0144742}" presName="Name30" presStyleCnt="0"/>
      <dgm:spPr/>
    </dgm:pt>
    <dgm:pt modelId="{9D88A422-6788-43EA-83D1-F7DC8056A0BC}" type="pres">
      <dgm:prSet presAssocID="{7D93A61E-6F2B-4E00-9D8F-5144B0144742}" presName="level2Shape" presStyleLbl="node3" presStyleIdx="3" presStyleCnt="6" custScaleX="299891" custScaleY="249278" custLinFactNeighborX="-5569" custLinFactNeighborY="-932"/>
      <dgm:spPr/>
      <dgm:t>
        <a:bodyPr/>
        <a:lstStyle/>
        <a:p>
          <a:endParaRPr lang="en-AU"/>
        </a:p>
      </dgm:t>
    </dgm:pt>
    <dgm:pt modelId="{EDBFE840-07BF-4211-895E-1A7812FF6D6E}" type="pres">
      <dgm:prSet presAssocID="{7D93A61E-6F2B-4E00-9D8F-5144B0144742}" presName="hierChild3" presStyleCnt="0"/>
      <dgm:spPr/>
    </dgm:pt>
    <dgm:pt modelId="{7746BD6D-FDC8-43FE-89A5-9DFA4F81ABBC}" type="pres">
      <dgm:prSet presAssocID="{56CC75AA-4471-4B50-88DD-6E51E41677FD}" presName="Name25" presStyleLbl="parChTrans1D4" presStyleIdx="2" presStyleCnt="4"/>
      <dgm:spPr/>
      <dgm:t>
        <a:bodyPr/>
        <a:lstStyle/>
        <a:p>
          <a:endParaRPr lang="en-AU"/>
        </a:p>
      </dgm:t>
    </dgm:pt>
    <dgm:pt modelId="{79EFBC68-203A-44CE-B030-605D80549C9D}" type="pres">
      <dgm:prSet presAssocID="{56CC75AA-4471-4B50-88DD-6E51E41677FD}" presName="connTx" presStyleLbl="parChTrans1D4" presStyleIdx="2" presStyleCnt="4"/>
      <dgm:spPr/>
      <dgm:t>
        <a:bodyPr/>
        <a:lstStyle/>
        <a:p>
          <a:endParaRPr lang="en-AU"/>
        </a:p>
      </dgm:t>
    </dgm:pt>
    <dgm:pt modelId="{4962987A-EF10-44D6-8E51-382E743FD3EE}" type="pres">
      <dgm:prSet presAssocID="{FB08A4F8-0FF5-45D9-9934-D3059D7C61FD}" presName="Name30" presStyleCnt="0"/>
      <dgm:spPr/>
    </dgm:pt>
    <dgm:pt modelId="{524D9286-9A83-4A78-BB2D-4447F8AB778E}" type="pres">
      <dgm:prSet presAssocID="{FB08A4F8-0FF5-45D9-9934-D3059D7C61FD}" presName="level2Shape" presStyleLbl="node4" presStyleIdx="2" presStyleCnt="4" custScaleX="294228" custScaleY="190719" custLinFactNeighborX="19917" custLinFactNeighborY="-454"/>
      <dgm:spPr/>
      <dgm:t>
        <a:bodyPr/>
        <a:lstStyle/>
        <a:p>
          <a:endParaRPr lang="en-AU"/>
        </a:p>
      </dgm:t>
    </dgm:pt>
    <dgm:pt modelId="{57148387-D0FE-4928-9AC1-EE7486AB8EFA}" type="pres">
      <dgm:prSet presAssocID="{FB08A4F8-0FF5-45D9-9934-D3059D7C61FD}" presName="hierChild3" presStyleCnt="0"/>
      <dgm:spPr/>
    </dgm:pt>
    <dgm:pt modelId="{23AA6F6F-4451-4B9E-94BE-4DA0A67FB001}" type="pres">
      <dgm:prSet presAssocID="{B867015B-E013-4ED1-840B-FC948F6CA7B0}" presName="Name25" presStyleLbl="parChTrans1D3" presStyleIdx="4" presStyleCnt="6"/>
      <dgm:spPr/>
      <dgm:t>
        <a:bodyPr/>
        <a:lstStyle/>
        <a:p>
          <a:endParaRPr lang="en-AU"/>
        </a:p>
      </dgm:t>
    </dgm:pt>
    <dgm:pt modelId="{5A47D883-C79C-4336-BC57-0DA86F5E2531}" type="pres">
      <dgm:prSet presAssocID="{B867015B-E013-4ED1-840B-FC948F6CA7B0}" presName="connTx" presStyleLbl="parChTrans1D3" presStyleIdx="4" presStyleCnt="6"/>
      <dgm:spPr/>
      <dgm:t>
        <a:bodyPr/>
        <a:lstStyle/>
        <a:p>
          <a:endParaRPr lang="en-AU"/>
        </a:p>
      </dgm:t>
    </dgm:pt>
    <dgm:pt modelId="{0A0C8EF4-9599-408D-BFFE-13B3FE8758B6}" type="pres">
      <dgm:prSet presAssocID="{B5E6138E-1191-4F38-A3DD-0420BB516C65}" presName="Name30" presStyleCnt="0"/>
      <dgm:spPr/>
    </dgm:pt>
    <dgm:pt modelId="{22662A54-FAC4-4736-AE9D-D116AB33706F}" type="pres">
      <dgm:prSet presAssocID="{B5E6138E-1191-4F38-A3DD-0420BB516C65}" presName="level2Shape" presStyleLbl="node3" presStyleIdx="4" presStyleCnt="6" custScaleX="299891" custScaleY="249278" custLinFactNeighborX="-5569" custLinFactNeighborY="-932"/>
      <dgm:spPr/>
      <dgm:t>
        <a:bodyPr/>
        <a:lstStyle/>
        <a:p>
          <a:endParaRPr lang="en-AU"/>
        </a:p>
      </dgm:t>
    </dgm:pt>
    <dgm:pt modelId="{9828C166-0CA3-4960-B3A6-09C74450A4E2}" type="pres">
      <dgm:prSet presAssocID="{B5E6138E-1191-4F38-A3DD-0420BB516C65}" presName="hierChild3" presStyleCnt="0"/>
      <dgm:spPr/>
    </dgm:pt>
    <dgm:pt modelId="{DCDCF289-2711-4D20-B5FF-2F87E2CF8D92}" type="pres">
      <dgm:prSet presAssocID="{A1325F5B-211E-4F1F-8842-802D057F6183}" presName="Name25" presStyleLbl="parChTrans1D4" presStyleIdx="3" presStyleCnt="4"/>
      <dgm:spPr/>
      <dgm:t>
        <a:bodyPr/>
        <a:lstStyle/>
        <a:p>
          <a:endParaRPr lang="en-AU"/>
        </a:p>
      </dgm:t>
    </dgm:pt>
    <dgm:pt modelId="{08FD1466-CCA3-4817-925E-FEBE97969FE7}" type="pres">
      <dgm:prSet presAssocID="{A1325F5B-211E-4F1F-8842-802D057F6183}" presName="connTx" presStyleLbl="parChTrans1D4" presStyleIdx="3" presStyleCnt="4"/>
      <dgm:spPr/>
      <dgm:t>
        <a:bodyPr/>
        <a:lstStyle/>
        <a:p>
          <a:endParaRPr lang="en-AU"/>
        </a:p>
      </dgm:t>
    </dgm:pt>
    <dgm:pt modelId="{9BC14DD7-C88D-4F5C-9631-4A689DE50E4F}" type="pres">
      <dgm:prSet presAssocID="{B2ADD6ED-DFBF-4BD1-9AB3-5B740EF2BD91}" presName="Name30" presStyleCnt="0"/>
      <dgm:spPr/>
    </dgm:pt>
    <dgm:pt modelId="{F87DB56E-EC04-4DBE-AB89-9E1954052CC2}" type="pres">
      <dgm:prSet presAssocID="{B2ADD6ED-DFBF-4BD1-9AB3-5B740EF2BD91}" presName="level2Shape" presStyleLbl="node4" presStyleIdx="3" presStyleCnt="4" custScaleX="294445" custScaleY="190719" custLinFactNeighborX="19917" custLinFactNeighborY="-454"/>
      <dgm:spPr/>
      <dgm:t>
        <a:bodyPr/>
        <a:lstStyle/>
        <a:p>
          <a:endParaRPr lang="en-AU"/>
        </a:p>
      </dgm:t>
    </dgm:pt>
    <dgm:pt modelId="{38643EC3-1BE4-48F0-82DA-70A6F988DF06}" type="pres">
      <dgm:prSet presAssocID="{B2ADD6ED-DFBF-4BD1-9AB3-5B740EF2BD91}" presName="hierChild3" presStyleCnt="0"/>
      <dgm:spPr/>
    </dgm:pt>
    <dgm:pt modelId="{A363D5E1-F287-4726-9BC7-3B607F977D62}" type="pres">
      <dgm:prSet presAssocID="{416146CE-5B05-474F-807C-0E28E59CBD62}" presName="Name25" presStyleLbl="parChTrans1D2" presStyleIdx="3" presStyleCnt="4"/>
      <dgm:spPr/>
      <dgm:t>
        <a:bodyPr/>
        <a:lstStyle/>
        <a:p>
          <a:endParaRPr lang="en-AU"/>
        </a:p>
      </dgm:t>
    </dgm:pt>
    <dgm:pt modelId="{48A80523-F2F6-4BA1-960A-35519802E5B4}" type="pres">
      <dgm:prSet presAssocID="{416146CE-5B05-474F-807C-0E28E59CBD62}" presName="connTx" presStyleLbl="parChTrans1D2" presStyleIdx="3" presStyleCnt="4"/>
      <dgm:spPr/>
      <dgm:t>
        <a:bodyPr/>
        <a:lstStyle/>
        <a:p>
          <a:endParaRPr lang="en-AU"/>
        </a:p>
      </dgm:t>
    </dgm:pt>
    <dgm:pt modelId="{6077EAD6-37CD-4518-9C48-0199CE9FF4D5}" type="pres">
      <dgm:prSet presAssocID="{C7707EC2-6AA9-49AC-9B58-17D58694D9B8}" presName="Name30" presStyleCnt="0"/>
      <dgm:spPr/>
    </dgm:pt>
    <dgm:pt modelId="{FA83D0FC-A047-4B60-95A0-650D3BDF1EDC}" type="pres">
      <dgm:prSet presAssocID="{C7707EC2-6AA9-49AC-9B58-17D58694D9B8}" presName="level2Shape" presStyleLbl="node2" presStyleIdx="3" presStyleCnt="4" custScaleX="266804" custScaleY="223270" custLinFactNeighborX="-14362" custLinFactNeighborY="932"/>
      <dgm:spPr/>
      <dgm:t>
        <a:bodyPr/>
        <a:lstStyle/>
        <a:p>
          <a:endParaRPr lang="en-AU"/>
        </a:p>
      </dgm:t>
    </dgm:pt>
    <dgm:pt modelId="{608DF5A7-023E-455E-89D0-D0D8F7116597}" type="pres">
      <dgm:prSet presAssocID="{C7707EC2-6AA9-49AC-9B58-17D58694D9B8}" presName="hierChild3" presStyleCnt="0"/>
      <dgm:spPr/>
    </dgm:pt>
    <dgm:pt modelId="{5AB38B4A-BC37-44E3-96B5-5E8B9EF0EDE6}" type="pres">
      <dgm:prSet presAssocID="{1A5D4D95-6276-4DDE-97A8-D7C710CE32F5}" presName="Name25" presStyleLbl="parChTrans1D3" presStyleIdx="5" presStyleCnt="6"/>
      <dgm:spPr/>
      <dgm:t>
        <a:bodyPr/>
        <a:lstStyle/>
        <a:p>
          <a:endParaRPr lang="en-AU"/>
        </a:p>
      </dgm:t>
    </dgm:pt>
    <dgm:pt modelId="{26ED7B88-5ACB-4F76-B0FA-E6DF549AD025}" type="pres">
      <dgm:prSet presAssocID="{1A5D4D95-6276-4DDE-97A8-D7C710CE32F5}" presName="connTx" presStyleLbl="parChTrans1D3" presStyleIdx="5" presStyleCnt="6"/>
      <dgm:spPr/>
      <dgm:t>
        <a:bodyPr/>
        <a:lstStyle/>
        <a:p>
          <a:endParaRPr lang="en-AU"/>
        </a:p>
      </dgm:t>
    </dgm:pt>
    <dgm:pt modelId="{8B061109-2613-4D08-BADA-B9D009D4BDAC}" type="pres">
      <dgm:prSet presAssocID="{F0B5E458-2F02-4D90-972B-54F54B66EA89}" presName="Name30" presStyleCnt="0"/>
      <dgm:spPr/>
    </dgm:pt>
    <dgm:pt modelId="{CA0C6CAD-AD6D-455C-9D60-B3CB46DB4932}" type="pres">
      <dgm:prSet presAssocID="{F0B5E458-2F02-4D90-972B-54F54B66EA89}" presName="level2Shape" presStyleLbl="node3" presStyleIdx="5" presStyleCnt="6" custScaleX="293413" custScaleY="164637" custLinFactX="159808" custLinFactNeighborX="200000" custLinFactNeighborY="454"/>
      <dgm:spPr/>
      <dgm:t>
        <a:bodyPr/>
        <a:lstStyle/>
        <a:p>
          <a:endParaRPr lang="en-AU"/>
        </a:p>
      </dgm:t>
    </dgm:pt>
    <dgm:pt modelId="{84665CB0-63B1-41EA-B013-600A72185605}" type="pres">
      <dgm:prSet presAssocID="{F0B5E458-2F02-4D90-972B-54F54B66EA89}" presName="hierChild3" presStyleCnt="0"/>
      <dgm:spPr/>
    </dgm:pt>
    <dgm:pt modelId="{69937F6C-7B56-4629-9D73-E61806F84BF2}" type="pres">
      <dgm:prSet presAssocID="{6FE2968D-0D9D-4ED5-85CD-C62A8D1C7B10}" presName="bgShapesFlow" presStyleCnt="0"/>
      <dgm:spPr/>
    </dgm:pt>
  </dgm:ptLst>
  <dgm:cxnLst>
    <dgm:cxn modelId="{54640DC2-C159-468C-81D1-31762C4819E9}" type="presOf" srcId="{53F2AC9F-D41A-414E-8328-42276B9C0F8F}" destId="{68A6A211-0498-4367-86A3-E87C4E9A457F}" srcOrd="0" destOrd="0" presId="urn:microsoft.com/office/officeart/2005/8/layout/hierarchy5"/>
    <dgm:cxn modelId="{CDA032AA-5B5B-4A64-B844-76D0A7ED5105}" srcId="{B5E6138E-1191-4F38-A3DD-0420BB516C65}" destId="{B2ADD6ED-DFBF-4BD1-9AB3-5B740EF2BD91}" srcOrd="0" destOrd="0" parTransId="{A1325F5B-211E-4F1F-8842-802D057F6183}" sibTransId="{F9C299CA-1302-4F8E-B8C3-699CEBB3ED86}"/>
    <dgm:cxn modelId="{76004E2B-EB46-426A-AF2F-30B67796B960}" type="presOf" srcId="{A1325F5B-211E-4F1F-8842-802D057F6183}" destId="{08FD1466-CCA3-4817-925E-FEBE97969FE7}" srcOrd="1" destOrd="0" presId="urn:microsoft.com/office/officeart/2005/8/layout/hierarchy5"/>
    <dgm:cxn modelId="{415820F7-17B9-4453-81A9-0C8E0B0AAD57}" type="presOf" srcId="{B9CA8E83-B0E1-4343-AEAD-AEB4FC2FF544}" destId="{AC2CAEF8-2F70-4FC0-B4BF-AF742DFC2CDF}" srcOrd="0" destOrd="0" presId="urn:microsoft.com/office/officeart/2005/8/layout/hierarchy5"/>
    <dgm:cxn modelId="{3697DA30-2CA0-4246-8C82-AF04B1107056}" type="presOf" srcId="{71A9F733-FEE7-4937-9E7B-7FB612A56D44}" destId="{70B220CF-84FD-4576-86E0-9A6E679794DD}" srcOrd="1" destOrd="0" presId="urn:microsoft.com/office/officeart/2005/8/layout/hierarchy5"/>
    <dgm:cxn modelId="{347D61DF-07D4-473B-AB34-129E11CFE9E6}" type="presOf" srcId="{B5E6138E-1191-4F38-A3DD-0420BB516C65}" destId="{22662A54-FAC4-4736-AE9D-D116AB33706F}" srcOrd="0" destOrd="0" presId="urn:microsoft.com/office/officeart/2005/8/layout/hierarchy5"/>
    <dgm:cxn modelId="{C52F54CF-0102-4668-893E-0691014EA5FB}" type="presOf" srcId="{416146CE-5B05-474F-807C-0E28E59CBD62}" destId="{48A80523-F2F6-4BA1-960A-35519802E5B4}" srcOrd="1" destOrd="0" presId="urn:microsoft.com/office/officeart/2005/8/layout/hierarchy5"/>
    <dgm:cxn modelId="{B417C5CF-5397-402D-9003-3796784F1E02}" type="presOf" srcId="{71A9F733-FEE7-4937-9E7B-7FB612A56D44}" destId="{C91DB31D-A32E-4984-AF92-8BBD19DEA818}" srcOrd="0" destOrd="0" presId="urn:microsoft.com/office/officeart/2005/8/layout/hierarchy5"/>
    <dgm:cxn modelId="{019C47D6-C0DC-4103-9427-A905BA3C7ED6}" type="presOf" srcId="{416146CE-5B05-474F-807C-0E28E59CBD62}" destId="{A363D5E1-F287-4726-9BC7-3B607F977D62}" srcOrd="0" destOrd="0" presId="urn:microsoft.com/office/officeart/2005/8/layout/hierarchy5"/>
    <dgm:cxn modelId="{6FF0FE18-88C7-4333-9E21-18708D59FA2E}" type="presOf" srcId="{4B6813D9-88F5-4C9A-88CD-165780F2B5AC}" destId="{94CFB800-6BBF-45E9-9DF9-317013B70F7B}" srcOrd="0" destOrd="0" presId="urn:microsoft.com/office/officeart/2005/8/layout/hierarchy5"/>
    <dgm:cxn modelId="{43992CDC-EC51-459C-B11F-5937CD63DE9D}" srcId="{894A9EA3-8C10-43E1-BD18-B088940DF59E}" destId="{B5E6138E-1191-4F38-A3DD-0420BB516C65}" srcOrd="1" destOrd="0" parTransId="{B867015B-E013-4ED1-840B-FC948F6CA7B0}" sibTransId="{62DCDA0D-2F36-4276-8C4C-35E5FC36C72C}"/>
    <dgm:cxn modelId="{EBCA9FC5-E01C-40BA-9CDD-63D3639F22D1}" type="presOf" srcId="{7783899A-8C2A-4B32-8DD3-143E10CEF5D0}" destId="{ACC4CE2E-AF28-40D7-BE21-D8D2BDCC3445}" srcOrd="1" destOrd="0" presId="urn:microsoft.com/office/officeart/2005/8/layout/hierarchy5"/>
    <dgm:cxn modelId="{5C3A6461-585D-4E7F-B03E-8BCA41E54D3E}" type="presOf" srcId="{42ED9A8B-070E-4121-B243-6F7CBA38EAF2}" destId="{D32F78A1-E9FB-40AD-B14F-41E98E2E2BD2}" srcOrd="1" destOrd="0" presId="urn:microsoft.com/office/officeart/2005/8/layout/hierarchy5"/>
    <dgm:cxn modelId="{11F4DF00-F6EF-40B9-B791-DFB4E9DDF998}" type="presOf" srcId="{74B266AE-8EEE-40F9-A11A-7206CCAE73BB}" destId="{FB46684B-4D2E-4D87-B493-A7BFD8D6B810}" srcOrd="0" destOrd="0" presId="urn:microsoft.com/office/officeart/2005/8/layout/hierarchy5"/>
    <dgm:cxn modelId="{A623C9CC-0966-499B-8778-69CC5AD5C1BA}" srcId="{947737EF-A0B1-4782-9F7E-15F091FB1F9F}" destId="{894A9EA3-8C10-43E1-BD18-B088940DF59E}" srcOrd="2" destOrd="0" parTransId="{104B5471-ADC6-41CE-8BFB-27CFAE98295D}" sibTransId="{6D701EB7-6745-4F02-95A5-4155A3204386}"/>
    <dgm:cxn modelId="{4E2ABC36-E2D9-434C-BB3D-4CBD87775E4B}" srcId="{947737EF-A0B1-4782-9F7E-15F091FB1F9F}" destId="{C7707EC2-6AA9-49AC-9B58-17D58694D9B8}" srcOrd="3" destOrd="0" parTransId="{416146CE-5B05-474F-807C-0E28E59CBD62}" sibTransId="{B0CB1D4B-DC11-4458-A319-B014F6C7EED8}"/>
    <dgm:cxn modelId="{2217A057-BB03-4C91-8A7C-817F7C0655F1}" srcId="{C7707EC2-6AA9-49AC-9B58-17D58694D9B8}" destId="{F0B5E458-2F02-4D90-972B-54F54B66EA89}" srcOrd="0" destOrd="0" parTransId="{1A5D4D95-6276-4DDE-97A8-D7C710CE32F5}" sibTransId="{482C92CE-2CF2-4E5B-BC58-B4A6C35ED966}"/>
    <dgm:cxn modelId="{E981A10A-DC34-4844-BB09-3C252F8ABE40}" type="presOf" srcId="{E4A893C2-B8BE-46C7-A5B5-44F0318F8AF2}" destId="{0700B06E-8170-4800-97A3-F58CDAC38F8A}" srcOrd="1" destOrd="0" presId="urn:microsoft.com/office/officeart/2005/8/layout/hierarchy5"/>
    <dgm:cxn modelId="{6C421274-0137-4438-AFAE-B62B3BAE3C07}" type="presOf" srcId="{C9D8DA72-195D-42DE-9725-7C707B4F6236}" destId="{FD0C37C4-FF61-408D-B9A2-7EE6A308F170}" srcOrd="0" destOrd="0" presId="urn:microsoft.com/office/officeart/2005/8/layout/hierarchy5"/>
    <dgm:cxn modelId="{D6F8164E-1097-458D-8A0A-7A945BE3BE84}" type="presOf" srcId="{040454F1-1582-4662-A70C-0375D49F43F4}" destId="{EC0FA791-F412-4EF1-A21A-9BCB48F6BDE6}" srcOrd="0" destOrd="0" presId="urn:microsoft.com/office/officeart/2005/8/layout/hierarchy5"/>
    <dgm:cxn modelId="{C3F0E2A5-35F4-4958-98FA-5391B17B1845}" srcId="{C9D8DA72-195D-42DE-9725-7C707B4F6236}" destId="{040454F1-1582-4662-A70C-0375D49F43F4}" srcOrd="0" destOrd="0" parTransId="{9035EB08-2739-452A-8DE2-82502021B6CB}" sibTransId="{F3F0C195-5863-4C52-B57A-AA29B2E67AB3}"/>
    <dgm:cxn modelId="{4DF9B211-0D0B-4BE2-9801-324738DEA433}" type="presOf" srcId="{56CC75AA-4471-4B50-88DD-6E51E41677FD}" destId="{79EFBC68-203A-44CE-B030-605D80549C9D}" srcOrd="1" destOrd="0" presId="urn:microsoft.com/office/officeart/2005/8/layout/hierarchy5"/>
    <dgm:cxn modelId="{1283531F-27F4-492B-9350-3A807AF1AC7E}" srcId="{74B266AE-8EEE-40F9-A11A-7206CCAE73BB}" destId="{53F2AC9F-D41A-414E-8328-42276B9C0F8F}" srcOrd="0" destOrd="0" parTransId="{E4A893C2-B8BE-46C7-A5B5-44F0318F8AF2}" sibTransId="{095F8F64-D6A1-4C47-90C7-0B33A241D40C}"/>
    <dgm:cxn modelId="{E3D037A3-0377-4FDF-8868-128F9EF56614}" srcId="{894A9EA3-8C10-43E1-BD18-B088940DF59E}" destId="{7D93A61E-6F2B-4E00-9D8F-5144B0144742}" srcOrd="0" destOrd="0" parTransId="{5F87F924-DD1D-47AA-BF76-9E68C042E98B}" sibTransId="{25C83D2A-B21E-4630-B51E-75EA8F4E23BB}"/>
    <dgm:cxn modelId="{489787C6-7513-461C-9D98-21FFAA8A8016}" type="presOf" srcId="{9035EB08-2739-452A-8DE2-82502021B6CB}" destId="{3C8F95F6-EC17-4D1C-8C98-BB71E21E2DE1}" srcOrd="1" destOrd="0" presId="urn:microsoft.com/office/officeart/2005/8/layout/hierarchy5"/>
    <dgm:cxn modelId="{430F909B-0B4D-4F1F-BC81-F49A6EEB37A0}" type="presOf" srcId="{56CC75AA-4471-4B50-88DD-6E51E41677FD}" destId="{7746BD6D-FDC8-43FE-89A5-9DFA4F81ABBC}" srcOrd="0" destOrd="0" presId="urn:microsoft.com/office/officeart/2005/8/layout/hierarchy5"/>
    <dgm:cxn modelId="{C14CFD15-5D23-4A86-BA33-382831F9CB63}" type="presOf" srcId="{42ED9A8B-070E-4121-B243-6F7CBA38EAF2}" destId="{79782DD8-5736-4391-BC79-7EFBA5037EBF}" srcOrd="0" destOrd="0" presId="urn:microsoft.com/office/officeart/2005/8/layout/hierarchy5"/>
    <dgm:cxn modelId="{22FAA8CA-0B20-42B3-8374-18F551D5CCDD}" type="presOf" srcId="{CC12E630-33F9-4CB9-8A71-7D6864C2BC4E}" destId="{2F5B473C-9F27-4A35-9066-915AE9FC04B9}" srcOrd="0" destOrd="0" presId="urn:microsoft.com/office/officeart/2005/8/layout/hierarchy5"/>
    <dgm:cxn modelId="{E4DF9DD7-B504-492D-8609-6EFD5D9C5193}" type="presOf" srcId="{5F87F924-DD1D-47AA-BF76-9E68C042E98B}" destId="{4F5659FC-30A4-40B3-BD8F-E1E3B4F1C4CC}" srcOrd="1" destOrd="0" presId="urn:microsoft.com/office/officeart/2005/8/layout/hierarchy5"/>
    <dgm:cxn modelId="{C91D1449-B70F-43C9-85EA-D91DC388EA00}" type="presOf" srcId="{C7707EC2-6AA9-49AC-9B58-17D58694D9B8}" destId="{FA83D0FC-A047-4B60-95A0-650D3BDF1EDC}" srcOrd="0" destOrd="0" presId="urn:microsoft.com/office/officeart/2005/8/layout/hierarchy5"/>
    <dgm:cxn modelId="{D42229E8-37AD-4190-9889-9728FB7365D5}" type="presOf" srcId="{894A9EA3-8C10-43E1-BD18-B088940DF59E}" destId="{B905D01A-108D-4B7C-8891-211354F231AA}" srcOrd="0" destOrd="0" presId="urn:microsoft.com/office/officeart/2005/8/layout/hierarchy5"/>
    <dgm:cxn modelId="{B7A0706E-F987-4C39-8257-10B0946BCB62}" type="presOf" srcId="{1A5D4D95-6276-4DDE-97A8-D7C710CE32F5}" destId="{5AB38B4A-BC37-44E3-96B5-5E8B9EF0EDE6}" srcOrd="0" destOrd="0" presId="urn:microsoft.com/office/officeart/2005/8/layout/hierarchy5"/>
    <dgm:cxn modelId="{DDE4D50D-5EF8-4ED5-B377-BF4B00906071}" srcId="{3D16CCEA-A825-4EF6-B636-BE2B4D9A1417}" destId="{483CF702-C06C-4F7F-BEBF-00A854E6F6B3}" srcOrd="0" destOrd="0" parTransId="{B9CA8E83-B0E1-4343-AEAD-AEB4FC2FF544}" sibTransId="{5B93892E-5AAD-48DC-9A0F-63B8DA6ED725}"/>
    <dgm:cxn modelId="{16FCDDEC-C74C-4F56-B6B3-7A6F862D9441}" type="presOf" srcId="{F0B5E458-2F02-4D90-972B-54F54B66EA89}" destId="{CA0C6CAD-AD6D-455C-9D60-B3CB46DB4932}" srcOrd="0" destOrd="0" presId="urn:microsoft.com/office/officeart/2005/8/layout/hierarchy5"/>
    <dgm:cxn modelId="{12C8FFB2-C647-4358-9C32-E8714AF94288}" type="presOf" srcId="{104B5471-ADC6-41CE-8BFB-27CFAE98295D}" destId="{8D6FE503-BC71-4209-8AC9-A67ECE4996E8}" srcOrd="1" destOrd="0" presId="urn:microsoft.com/office/officeart/2005/8/layout/hierarchy5"/>
    <dgm:cxn modelId="{5544BFEA-911E-45DE-8326-103E2AB19D49}" srcId="{947737EF-A0B1-4782-9F7E-15F091FB1F9F}" destId="{4B6813D9-88F5-4C9A-88CD-165780F2B5AC}" srcOrd="0" destOrd="0" parTransId="{CC12E630-33F9-4CB9-8A71-7D6864C2BC4E}" sibTransId="{6FB27B28-D172-45DA-A170-9178C42731ED}"/>
    <dgm:cxn modelId="{E982A1DD-CC47-4539-A67A-FF4E0C279221}" type="presOf" srcId="{B9CA8E83-B0E1-4343-AEAD-AEB4FC2FF544}" destId="{08DF0077-7B52-4C71-A059-93544B7DF353}" srcOrd="1" destOrd="0" presId="urn:microsoft.com/office/officeart/2005/8/layout/hierarchy5"/>
    <dgm:cxn modelId="{1B2A126F-72F8-4E13-AA7D-BC8DFB24F2BD}" type="presOf" srcId="{5F87F924-DD1D-47AA-BF76-9E68C042E98B}" destId="{09AFB397-455B-4B2D-A12A-627950796CE0}" srcOrd="0" destOrd="0" presId="urn:microsoft.com/office/officeart/2005/8/layout/hierarchy5"/>
    <dgm:cxn modelId="{2D2F9DE1-0D7E-43F4-93B3-EEE8897AA43C}" type="presOf" srcId="{7D93A61E-6F2B-4E00-9D8F-5144B0144742}" destId="{9D88A422-6788-43EA-83D1-F7DC8056A0BC}" srcOrd="0" destOrd="0" presId="urn:microsoft.com/office/officeart/2005/8/layout/hierarchy5"/>
    <dgm:cxn modelId="{C32753D5-63DB-455A-866A-C5BB1E017A2D}" type="presOf" srcId="{B867015B-E013-4ED1-840B-FC948F6CA7B0}" destId="{5A47D883-C79C-4336-BC57-0DA86F5E2531}" srcOrd="1" destOrd="0" presId="urn:microsoft.com/office/officeart/2005/8/layout/hierarchy5"/>
    <dgm:cxn modelId="{7AC5FBD0-3A5C-4A19-9985-A7F0EEE3EA8C}" type="presOf" srcId="{483CF702-C06C-4F7F-BEBF-00A854E6F6B3}" destId="{3C50D623-1D78-4E5D-96B4-D1651BD881A3}" srcOrd="0" destOrd="0" presId="urn:microsoft.com/office/officeart/2005/8/layout/hierarchy5"/>
    <dgm:cxn modelId="{0677EC4E-A618-4243-9BA6-2EAA5CB35365}" type="presOf" srcId="{A1325F5B-211E-4F1F-8842-802D057F6183}" destId="{DCDCF289-2711-4D20-B5FF-2F87E2CF8D92}" srcOrd="0" destOrd="0" presId="urn:microsoft.com/office/officeart/2005/8/layout/hierarchy5"/>
    <dgm:cxn modelId="{F0168C19-CB3D-47A7-B8BA-19BD3876BDB9}" type="presOf" srcId="{7783899A-8C2A-4B32-8DD3-143E10CEF5D0}" destId="{EDC20001-3D8C-4510-A68C-7A972A0B235F}" srcOrd="0" destOrd="0" presId="urn:microsoft.com/office/officeart/2005/8/layout/hierarchy5"/>
    <dgm:cxn modelId="{DC352CBA-17CB-4181-B999-6DFC20303AE2}" type="presOf" srcId="{E4A893C2-B8BE-46C7-A5B5-44F0318F8AF2}" destId="{EC2A9D75-F4FF-4D6F-9A67-764513E63DB3}" srcOrd="0" destOrd="0" presId="urn:microsoft.com/office/officeart/2005/8/layout/hierarchy5"/>
    <dgm:cxn modelId="{7D2D2E57-E031-4219-A690-3A6C47B5F8D6}" type="presOf" srcId="{FB08A4F8-0FF5-45D9-9934-D3059D7C61FD}" destId="{524D9286-9A83-4A78-BB2D-4447F8AB778E}" srcOrd="0" destOrd="0" presId="urn:microsoft.com/office/officeart/2005/8/layout/hierarchy5"/>
    <dgm:cxn modelId="{09721BA0-62CA-4CE8-8FC9-253F7BCEB7EB}" srcId="{6FE2968D-0D9D-4ED5-85CD-C62A8D1C7B10}" destId="{947737EF-A0B1-4782-9F7E-15F091FB1F9F}" srcOrd="0" destOrd="0" parTransId="{9F8BFEB1-B62B-46A4-A016-31AC488B2968}" sibTransId="{36BC7FE2-3543-4EDB-83AF-9E77034DCDEF}"/>
    <dgm:cxn modelId="{B1E25EDF-9530-4B1B-8F4A-65F98D8001D5}" srcId="{4B6813D9-88F5-4C9A-88CD-165780F2B5AC}" destId="{74B266AE-8EEE-40F9-A11A-7206CCAE73BB}" srcOrd="1" destOrd="0" parTransId="{7783899A-8C2A-4B32-8DD3-143E10CEF5D0}" sibTransId="{2AD37745-1D42-45D6-8F31-45B42EB4E644}"/>
    <dgm:cxn modelId="{3FA8C89C-C6D2-4EF5-9730-5C0AE88EDECE}" type="presOf" srcId="{104B5471-ADC6-41CE-8BFB-27CFAE98295D}" destId="{35DB7AAB-0492-42E6-AEF7-9228B4DFC16D}" srcOrd="0" destOrd="0" presId="urn:microsoft.com/office/officeart/2005/8/layout/hierarchy5"/>
    <dgm:cxn modelId="{81243F6D-A3C1-44C2-91C3-E725BF3AF433}" type="presOf" srcId="{B867015B-E013-4ED1-840B-FC948F6CA7B0}" destId="{23AA6F6F-4451-4B9E-94BE-4DA0A67FB001}" srcOrd="0" destOrd="0" presId="urn:microsoft.com/office/officeart/2005/8/layout/hierarchy5"/>
    <dgm:cxn modelId="{D481A7B8-E7E5-423E-AEDC-34C58C1D25D9}" type="presOf" srcId="{1A5D4D95-6276-4DDE-97A8-D7C710CE32F5}" destId="{26ED7B88-5ACB-4F76-B0FA-E6DF549AD025}" srcOrd="1" destOrd="0" presId="urn:microsoft.com/office/officeart/2005/8/layout/hierarchy5"/>
    <dgm:cxn modelId="{9DB3DA7E-29CD-44F4-9C21-E07076B12B96}" srcId="{947737EF-A0B1-4782-9F7E-15F091FB1F9F}" destId="{3D16CCEA-A825-4EF6-B636-BE2B4D9A1417}" srcOrd="1" destOrd="0" parTransId="{42ED9A8B-070E-4121-B243-6F7CBA38EAF2}" sibTransId="{7A78AEE1-7CAB-4709-9CAD-53E1457F5887}"/>
    <dgm:cxn modelId="{6452A14D-EDB3-4532-8158-D6F3040A9DC3}" type="presOf" srcId="{947737EF-A0B1-4782-9F7E-15F091FB1F9F}" destId="{78C91798-C7EF-49B7-9F86-E333E546B48F}" srcOrd="0" destOrd="0" presId="urn:microsoft.com/office/officeart/2005/8/layout/hierarchy5"/>
    <dgm:cxn modelId="{ABBDAE42-8CBB-4847-9EC6-09D507D8CA86}" srcId="{7D93A61E-6F2B-4E00-9D8F-5144B0144742}" destId="{FB08A4F8-0FF5-45D9-9934-D3059D7C61FD}" srcOrd="0" destOrd="0" parTransId="{56CC75AA-4471-4B50-88DD-6E51E41677FD}" sibTransId="{20995C4A-D875-4499-A4F8-F78A8EBF2E07}"/>
    <dgm:cxn modelId="{8E6C4B36-D150-4D63-A648-5D08BB793FA2}" type="presOf" srcId="{9035EB08-2739-452A-8DE2-82502021B6CB}" destId="{7A331649-A107-4EAB-9186-7181D7484DCC}" srcOrd="0" destOrd="0" presId="urn:microsoft.com/office/officeart/2005/8/layout/hierarchy5"/>
    <dgm:cxn modelId="{C47C9092-D64A-42E1-BD45-50DC1CF5F569}" type="presOf" srcId="{6FE2968D-0D9D-4ED5-85CD-C62A8D1C7B10}" destId="{9FA678D8-4743-43A8-BE5F-3C74276D2862}" srcOrd="0" destOrd="0" presId="urn:microsoft.com/office/officeart/2005/8/layout/hierarchy5"/>
    <dgm:cxn modelId="{7AD49778-82F8-47BC-A5AE-011B0FF3F1CB}" type="presOf" srcId="{3D16CCEA-A825-4EF6-B636-BE2B4D9A1417}" destId="{0A6C9DBA-3986-4855-A708-7BECFB07A07F}" srcOrd="0" destOrd="0" presId="urn:microsoft.com/office/officeart/2005/8/layout/hierarchy5"/>
    <dgm:cxn modelId="{5744102F-A0B0-4430-B4B5-9C68F0BA9B81}" type="presOf" srcId="{B2ADD6ED-DFBF-4BD1-9AB3-5B740EF2BD91}" destId="{F87DB56E-EC04-4DBE-AB89-9E1954052CC2}" srcOrd="0" destOrd="0" presId="urn:microsoft.com/office/officeart/2005/8/layout/hierarchy5"/>
    <dgm:cxn modelId="{D4332D61-152D-438E-A43F-95C582BF32AF}" srcId="{4B6813D9-88F5-4C9A-88CD-165780F2B5AC}" destId="{C9D8DA72-195D-42DE-9725-7C707B4F6236}" srcOrd="0" destOrd="0" parTransId="{71A9F733-FEE7-4937-9E7B-7FB612A56D44}" sibTransId="{BC31E006-E41C-4CA9-A08B-908A24CBB94F}"/>
    <dgm:cxn modelId="{899C6C15-CCAA-4719-88FD-3BF232EE5AFD}" type="presOf" srcId="{CC12E630-33F9-4CB9-8A71-7D6864C2BC4E}" destId="{E77613B8-8E17-41E7-8AB0-E973C0BD00EF}" srcOrd="1" destOrd="0" presId="urn:microsoft.com/office/officeart/2005/8/layout/hierarchy5"/>
    <dgm:cxn modelId="{FD98C265-C99F-4482-8B61-FB947E59101E}" type="presParOf" srcId="{9FA678D8-4743-43A8-BE5F-3C74276D2862}" destId="{F96C75A1-8FD6-4F76-8FE3-A1F483EB2557}" srcOrd="0" destOrd="0" presId="urn:microsoft.com/office/officeart/2005/8/layout/hierarchy5"/>
    <dgm:cxn modelId="{EFFFC2E1-082D-49EF-9424-B198647ECBD1}" type="presParOf" srcId="{F96C75A1-8FD6-4F76-8FE3-A1F483EB2557}" destId="{F5411ECA-68E1-4FCC-A88A-D252FC7381F7}" srcOrd="0" destOrd="0" presId="urn:microsoft.com/office/officeart/2005/8/layout/hierarchy5"/>
    <dgm:cxn modelId="{C92FC716-51CB-4FB8-8308-EF6B3E5928C3}" type="presParOf" srcId="{F5411ECA-68E1-4FCC-A88A-D252FC7381F7}" destId="{34BFCF41-D24D-48BA-B8CF-43FFB549B070}" srcOrd="0" destOrd="0" presId="urn:microsoft.com/office/officeart/2005/8/layout/hierarchy5"/>
    <dgm:cxn modelId="{694E6655-9E90-4B13-9E0D-21148C497D4F}" type="presParOf" srcId="{34BFCF41-D24D-48BA-B8CF-43FFB549B070}" destId="{78C91798-C7EF-49B7-9F86-E333E546B48F}" srcOrd="0" destOrd="0" presId="urn:microsoft.com/office/officeart/2005/8/layout/hierarchy5"/>
    <dgm:cxn modelId="{60EE0A55-1410-4E60-AFF5-C31518BDB56B}" type="presParOf" srcId="{34BFCF41-D24D-48BA-B8CF-43FFB549B070}" destId="{7E78B9D2-8648-46D1-8384-8847E1ED0059}" srcOrd="1" destOrd="0" presId="urn:microsoft.com/office/officeart/2005/8/layout/hierarchy5"/>
    <dgm:cxn modelId="{270D5302-1406-4C79-9D0C-72F53E22C808}" type="presParOf" srcId="{7E78B9D2-8648-46D1-8384-8847E1ED0059}" destId="{2F5B473C-9F27-4A35-9066-915AE9FC04B9}" srcOrd="0" destOrd="0" presId="urn:microsoft.com/office/officeart/2005/8/layout/hierarchy5"/>
    <dgm:cxn modelId="{B136F6E5-7123-4534-905C-355E463DE474}" type="presParOf" srcId="{2F5B473C-9F27-4A35-9066-915AE9FC04B9}" destId="{E77613B8-8E17-41E7-8AB0-E973C0BD00EF}" srcOrd="0" destOrd="0" presId="urn:microsoft.com/office/officeart/2005/8/layout/hierarchy5"/>
    <dgm:cxn modelId="{4E875EE0-3D54-49C3-8E37-DFD0AB464CED}" type="presParOf" srcId="{7E78B9D2-8648-46D1-8384-8847E1ED0059}" destId="{10110280-FEF5-40DB-90EA-F51B81DF75FF}" srcOrd="1" destOrd="0" presId="urn:microsoft.com/office/officeart/2005/8/layout/hierarchy5"/>
    <dgm:cxn modelId="{6EE990F1-032A-4770-8CE9-B88D9C9D8AFD}" type="presParOf" srcId="{10110280-FEF5-40DB-90EA-F51B81DF75FF}" destId="{94CFB800-6BBF-45E9-9DF9-317013B70F7B}" srcOrd="0" destOrd="0" presId="urn:microsoft.com/office/officeart/2005/8/layout/hierarchy5"/>
    <dgm:cxn modelId="{9E046FB7-6BF4-4321-BA2D-36D78F0E0C4D}" type="presParOf" srcId="{10110280-FEF5-40DB-90EA-F51B81DF75FF}" destId="{C079C498-D5E1-4745-A97A-FB54F6737090}" srcOrd="1" destOrd="0" presId="urn:microsoft.com/office/officeart/2005/8/layout/hierarchy5"/>
    <dgm:cxn modelId="{C0A79B36-2F6A-45AC-B6AF-18AB3E421C64}" type="presParOf" srcId="{C079C498-D5E1-4745-A97A-FB54F6737090}" destId="{C91DB31D-A32E-4984-AF92-8BBD19DEA818}" srcOrd="0" destOrd="0" presId="urn:microsoft.com/office/officeart/2005/8/layout/hierarchy5"/>
    <dgm:cxn modelId="{A4901C89-2EF8-4332-808F-E142B9436B76}" type="presParOf" srcId="{C91DB31D-A32E-4984-AF92-8BBD19DEA818}" destId="{70B220CF-84FD-4576-86E0-9A6E679794DD}" srcOrd="0" destOrd="0" presId="urn:microsoft.com/office/officeart/2005/8/layout/hierarchy5"/>
    <dgm:cxn modelId="{3F4E03B8-8588-4C00-9DE7-24EB4F94E13E}" type="presParOf" srcId="{C079C498-D5E1-4745-A97A-FB54F6737090}" destId="{B886E113-99F5-4686-AF5C-9355C1A9587C}" srcOrd="1" destOrd="0" presId="urn:microsoft.com/office/officeart/2005/8/layout/hierarchy5"/>
    <dgm:cxn modelId="{8AE81929-9ADA-4E9F-8D87-066BDEA3191F}" type="presParOf" srcId="{B886E113-99F5-4686-AF5C-9355C1A9587C}" destId="{FD0C37C4-FF61-408D-B9A2-7EE6A308F170}" srcOrd="0" destOrd="0" presId="urn:microsoft.com/office/officeart/2005/8/layout/hierarchy5"/>
    <dgm:cxn modelId="{80193283-3229-4B67-AF98-0E95A5D01435}" type="presParOf" srcId="{B886E113-99F5-4686-AF5C-9355C1A9587C}" destId="{1C4253D7-F129-46A9-8E72-4F7F45CC70DB}" srcOrd="1" destOrd="0" presId="urn:microsoft.com/office/officeart/2005/8/layout/hierarchy5"/>
    <dgm:cxn modelId="{0CAA24DA-6727-4705-8289-CFB66CA8606D}" type="presParOf" srcId="{1C4253D7-F129-46A9-8E72-4F7F45CC70DB}" destId="{7A331649-A107-4EAB-9186-7181D7484DCC}" srcOrd="0" destOrd="0" presId="urn:microsoft.com/office/officeart/2005/8/layout/hierarchy5"/>
    <dgm:cxn modelId="{3DBF2CA1-2976-49A7-ADDB-C62AE4B9F741}" type="presParOf" srcId="{7A331649-A107-4EAB-9186-7181D7484DCC}" destId="{3C8F95F6-EC17-4D1C-8C98-BB71E21E2DE1}" srcOrd="0" destOrd="0" presId="urn:microsoft.com/office/officeart/2005/8/layout/hierarchy5"/>
    <dgm:cxn modelId="{BA715C97-7B89-4DFB-A88E-42835FCAB1F8}" type="presParOf" srcId="{1C4253D7-F129-46A9-8E72-4F7F45CC70DB}" destId="{DDB17779-032D-49ED-B7E5-CD0BAF781EDE}" srcOrd="1" destOrd="0" presId="urn:microsoft.com/office/officeart/2005/8/layout/hierarchy5"/>
    <dgm:cxn modelId="{CFAA7A4A-06BE-4F28-A13D-F29CF4954B68}" type="presParOf" srcId="{DDB17779-032D-49ED-B7E5-CD0BAF781EDE}" destId="{EC0FA791-F412-4EF1-A21A-9BCB48F6BDE6}" srcOrd="0" destOrd="0" presId="urn:microsoft.com/office/officeart/2005/8/layout/hierarchy5"/>
    <dgm:cxn modelId="{8B281AF6-2415-4FF2-99C4-6C23B24F70E1}" type="presParOf" srcId="{DDB17779-032D-49ED-B7E5-CD0BAF781EDE}" destId="{C1680452-8293-4C5F-825B-173005098850}" srcOrd="1" destOrd="0" presId="urn:microsoft.com/office/officeart/2005/8/layout/hierarchy5"/>
    <dgm:cxn modelId="{C7238358-BC5A-44E4-9DF6-9D640041B27E}" type="presParOf" srcId="{C079C498-D5E1-4745-A97A-FB54F6737090}" destId="{EDC20001-3D8C-4510-A68C-7A972A0B235F}" srcOrd="2" destOrd="0" presId="urn:microsoft.com/office/officeart/2005/8/layout/hierarchy5"/>
    <dgm:cxn modelId="{BAD990ED-6F25-4E0B-878C-520F80BAF760}" type="presParOf" srcId="{EDC20001-3D8C-4510-A68C-7A972A0B235F}" destId="{ACC4CE2E-AF28-40D7-BE21-D8D2BDCC3445}" srcOrd="0" destOrd="0" presId="urn:microsoft.com/office/officeart/2005/8/layout/hierarchy5"/>
    <dgm:cxn modelId="{CE3CCB82-BFB6-499F-8CC8-7E6568607D25}" type="presParOf" srcId="{C079C498-D5E1-4745-A97A-FB54F6737090}" destId="{0E2E9DF4-10A1-4D18-A7F7-2D22BBA3435A}" srcOrd="3" destOrd="0" presId="urn:microsoft.com/office/officeart/2005/8/layout/hierarchy5"/>
    <dgm:cxn modelId="{8C188847-6273-4FF4-9D97-F9E2082D0F50}" type="presParOf" srcId="{0E2E9DF4-10A1-4D18-A7F7-2D22BBA3435A}" destId="{FB46684B-4D2E-4D87-B493-A7BFD8D6B810}" srcOrd="0" destOrd="0" presId="urn:microsoft.com/office/officeart/2005/8/layout/hierarchy5"/>
    <dgm:cxn modelId="{6FE62D05-1CD1-4814-8F08-20C97DF870BE}" type="presParOf" srcId="{0E2E9DF4-10A1-4D18-A7F7-2D22BBA3435A}" destId="{2DC5040A-1BD1-4853-B3B0-51EBA3F25F64}" srcOrd="1" destOrd="0" presId="urn:microsoft.com/office/officeart/2005/8/layout/hierarchy5"/>
    <dgm:cxn modelId="{2F3210BA-8227-42D2-94B7-4165C9FD8B43}" type="presParOf" srcId="{2DC5040A-1BD1-4853-B3B0-51EBA3F25F64}" destId="{EC2A9D75-F4FF-4D6F-9A67-764513E63DB3}" srcOrd="0" destOrd="0" presId="urn:microsoft.com/office/officeart/2005/8/layout/hierarchy5"/>
    <dgm:cxn modelId="{B40065E2-BDFE-4D5B-9A35-4A95DB89AF05}" type="presParOf" srcId="{EC2A9D75-F4FF-4D6F-9A67-764513E63DB3}" destId="{0700B06E-8170-4800-97A3-F58CDAC38F8A}" srcOrd="0" destOrd="0" presId="urn:microsoft.com/office/officeart/2005/8/layout/hierarchy5"/>
    <dgm:cxn modelId="{97B46C9E-5CA8-407F-AB3F-B069FEBF8E3B}" type="presParOf" srcId="{2DC5040A-1BD1-4853-B3B0-51EBA3F25F64}" destId="{3B8520FD-0BD8-49A0-A286-35094AF359F8}" srcOrd="1" destOrd="0" presId="urn:microsoft.com/office/officeart/2005/8/layout/hierarchy5"/>
    <dgm:cxn modelId="{8E75F04F-5D1A-45F5-B8E9-160BC388154C}" type="presParOf" srcId="{3B8520FD-0BD8-49A0-A286-35094AF359F8}" destId="{68A6A211-0498-4367-86A3-E87C4E9A457F}" srcOrd="0" destOrd="0" presId="urn:microsoft.com/office/officeart/2005/8/layout/hierarchy5"/>
    <dgm:cxn modelId="{514EBD50-7D61-4A1C-A827-6E32D0918090}" type="presParOf" srcId="{3B8520FD-0BD8-49A0-A286-35094AF359F8}" destId="{4FE2AD27-D401-4731-A43D-582FF7D0CE21}" srcOrd="1" destOrd="0" presId="urn:microsoft.com/office/officeart/2005/8/layout/hierarchy5"/>
    <dgm:cxn modelId="{C9111910-32B7-411F-B7B6-C522781EDFCC}" type="presParOf" srcId="{7E78B9D2-8648-46D1-8384-8847E1ED0059}" destId="{79782DD8-5736-4391-BC79-7EFBA5037EBF}" srcOrd="2" destOrd="0" presId="urn:microsoft.com/office/officeart/2005/8/layout/hierarchy5"/>
    <dgm:cxn modelId="{E7493CD0-7933-4091-93ED-B749569E52AB}" type="presParOf" srcId="{79782DD8-5736-4391-BC79-7EFBA5037EBF}" destId="{D32F78A1-E9FB-40AD-B14F-41E98E2E2BD2}" srcOrd="0" destOrd="0" presId="urn:microsoft.com/office/officeart/2005/8/layout/hierarchy5"/>
    <dgm:cxn modelId="{2BF517A0-A00C-49C4-94B8-B9EA52CC6C95}" type="presParOf" srcId="{7E78B9D2-8648-46D1-8384-8847E1ED0059}" destId="{CC5B9E6C-42B8-4325-9E9B-5876020622C2}" srcOrd="3" destOrd="0" presId="urn:microsoft.com/office/officeart/2005/8/layout/hierarchy5"/>
    <dgm:cxn modelId="{A1E80D28-23C3-4924-8620-700BD001C314}" type="presParOf" srcId="{CC5B9E6C-42B8-4325-9E9B-5876020622C2}" destId="{0A6C9DBA-3986-4855-A708-7BECFB07A07F}" srcOrd="0" destOrd="0" presId="urn:microsoft.com/office/officeart/2005/8/layout/hierarchy5"/>
    <dgm:cxn modelId="{D60A447B-5D6E-4447-9F83-6979D17B0331}" type="presParOf" srcId="{CC5B9E6C-42B8-4325-9E9B-5876020622C2}" destId="{DE81D32D-1B09-4A5D-BC3B-6E3B4ED7D9F8}" srcOrd="1" destOrd="0" presId="urn:microsoft.com/office/officeart/2005/8/layout/hierarchy5"/>
    <dgm:cxn modelId="{7C1249A1-C193-4FAF-B224-5CCC006E8ACE}" type="presParOf" srcId="{DE81D32D-1B09-4A5D-BC3B-6E3B4ED7D9F8}" destId="{AC2CAEF8-2F70-4FC0-B4BF-AF742DFC2CDF}" srcOrd="0" destOrd="0" presId="urn:microsoft.com/office/officeart/2005/8/layout/hierarchy5"/>
    <dgm:cxn modelId="{75CA22B3-F4D6-4FFB-A290-C1745CCB1AF8}" type="presParOf" srcId="{AC2CAEF8-2F70-4FC0-B4BF-AF742DFC2CDF}" destId="{08DF0077-7B52-4C71-A059-93544B7DF353}" srcOrd="0" destOrd="0" presId="urn:microsoft.com/office/officeart/2005/8/layout/hierarchy5"/>
    <dgm:cxn modelId="{7845AD73-5B8D-42CC-8F22-2DDFB86619BD}" type="presParOf" srcId="{DE81D32D-1B09-4A5D-BC3B-6E3B4ED7D9F8}" destId="{36690D5B-D1F4-4719-96CA-A36DAE65C9E5}" srcOrd="1" destOrd="0" presId="urn:microsoft.com/office/officeart/2005/8/layout/hierarchy5"/>
    <dgm:cxn modelId="{57D6F8BB-927F-4CC2-BA75-9E9AEFADE449}" type="presParOf" srcId="{36690D5B-D1F4-4719-96CA-A36DAE65C9E5}" destId="{3C50D623-1D78-4E5D-96B4-D1651BD881A3}" srcOrd="0" destOrd="0" presId="urn:microsoft.com/office/officeart/2005/8/layout/hierarchy5"/>
    <dgm:cxn modelId="{BBA8FDA9-1486-4213-BE0B-16E5451EDBD4}" type="presParOf" srcId="{36690D5B-D1F4-4719-96CA-A36DAE65C9E5}" destId="{3926154D-F94A-415D-82E3-E1A7640F59C5}" srcOrd="1" destOrd="0" presId="urn:microsoft.com/office/officeart/2005/8/layout/hierarchy5"/>
    <dgm:cxn modelId="{6C73E175-790D-4E2E-BAD5-28EE9A292BFD}" type="presParOf" srcId="{7E78B9D2-8648-46D1-8384-8847E1ED0059}" destId="{35DB7AAB-0492-42E6-AEF7-9228B4DFC16D}" srcOrd="4" destOrd="0" presId="urn:microsoft.com/office/officeart/2005/8/layout/hierarchy5"/>
    <dgm:cxn modelId="{2181BAFE-321B-43EC-AB89-F7A0CA2FAFAC}" type="presParOf" srcId="{35DB7AAB-0492-42E6-AEF7-9228B4DFC16D}" destId="{8D6FE503-BC71-4209-8AC9-A67ECE4996E8}" srcOrd="0" destOrd="0" presId="urn:microsoft.com/office/officeart/2005/8/layout/hierarchy5"/>
    <dgm:cxn modelId="{37C9DB73-140B-4A89-BA5E-44A9A9E9E322}" type="presParOf" srcId="{7E78B9D2-8648-46D1-8384-8847E1ED0059}" destId="{BC310C3D-A8E3-484A-8E74-6635B3D85B1F}" srcOrd="5" destOrd="0" presId="urn:microsoft.com/office/officeart/2005/8/layout/hierarchy5"/>
    <dgm:cxn modelId="{EC4C8EA4-8F35-4376-A083-48150600DF3B}" type="presParOf" srcId="{BC310C3D-A8E3-484A-8E74-6635B3D85B1F}" destId="{B905D01A-108D-4B7C-8891-211354F231AA}" srcOrd="0" destOrd="0" presId="urn:microsoft.com/office/officeart/2005/8/layout/hierarchy5"/>
    <dgm:cxn modelId="{538C5FC9-B3AC-404A-93C2-EC07D7381F93}" type="presParOf" srcId="{BC310C3D-A8E3-484A-8E74-6635B3D85B1F}" destId="{7A700208-D367-4602-B509-8DA75C7243FA}" srcOrd="1" destOrd="0" presId="urn:microsoft.com/office/officeart/2005/8/layout/hierarchy5"/>
    <dgm:cxn modelId="{CAD0061B-A593-4ED1-B946-9E8C5A49BB59}" type="presParOf" srcId="{7A700208-D367-4602-B509-8DA75C7243FA}" destId="{09AFB397-455B-4B2D-A12A-627950796CE0}" srcOrd="0" destOrd="0" presId="urn:microsoft.com/office/officeart/2005/8/layout/hierarchy5"/>
    <dgm:cxn modelId="{DF43BE94-F42A-4213-BEB4-98D00015DAD0}" type="presParOf" srcId="{09AFB397-455B-4B2D-A12A-627950796CE0}" destId="{4F5659FC-30A4-40B3-BD8F-E1E3B4F1C4CC}" srcOrd="0" destOrd="0" presId="urn:microsoft.com/office/officeart/2005/8/layout/hierarchy5"/>
    <dgm:cxn modelId="{3F6E4C8B-6969-4C35-9C0E-3692387159A8}" type="presParOf" srcId="{7A700208-D367-4602-B509-8DA75C7243FA}" destId="{A8D3FEC6-ABA1-45ED-A6B3-874B3EF84676}" srcOrd="1" destOrd="0" presId="urn:microsoft.com/office/officeart/2005/8/layout/hierarchy5"/>
    <dgm:cxn modelId="{D0CE38DD-2073-4B22-84C6-566F40AC5CE2}" type="presParOf" srcId="{A8D3FEC6-ABA1-45ED-A6B3-874B3EF84676}" destId="{9D88A422-6788-43EA-83D1-F7DC8056A0BC}" srcOrd="0" destOrd="0" presId="urn:microsoft.com/office/officeart/2005/8/layout/hierarchy5"/>
    <dgm:cxn modelId="{502EFF54-E04A-486D-AC42-763EF08DAACD}" type="presParOf" srcId="{A8D3FEC6-ABA1-45ED-A6B3-874B3EF84676}" destId="{EDBFE840-07BF-4211-895E-1A7812FF6D6E}" srcOrd="1" destOrd="0" presId="urn:microsoft.com/office/officeart/2005/8/layout/hierarchy5"/>
    <dgm:cxn modelId="{F1519B39-8DEA-4E9B-AAB3-393921AE7341}" type="presParOf" srcId="{EDBFE840-07BF-4211-895E-1A7812FF6D6E}" destId="{7746BD6D-FDC8-43FE-89A5-9DFA4F81ABBC}" srcOrd="0" destOrd="0" presId="urn:microsoft.com/office/officeart/2005/8/layout/hierarchy5"/>
    <dgm:cxn modelId="{49EFC0AF-D44A-4C7C-9623-5FCBC6067F6D}" type="presParOf" srcId="{7746BD6D-FDC8-43FE-89A5-9DFA4F81ABBC}" destId="{79EFBC68-203A-44CE-B030-605D80549C9D}" srcOrd="0" destOrd="0" presId="urn:microsoft.com/office/officeart/2005/8/layout/hierarchy5"/>
    <dgm:cxn modelId="{5C76EFF0-8E6E-42D6-9F63-1056FD49F223}" type="presParOf" srcId="{EDBFE840-07BF-4211-895E-1A7812FF6D6E}" destId="{4962987A-EF10-44D6-8E51-382E743FD3EE}" srcOrd="1" destOrd="0" presId="urn:microsoft.com/office/officeart/2005/8/layout/hierarchy5"/>
    <dgm:cxn modelId="{1E01BCD2-3565-4D45-BB0D-3B715C43FFAA}" type="presParOf" srcId="{4962987A-EF10-44D6-8E51-382E743FD3EE}" destId="{524D9286-9A83-4A78-BB2D-4447F8AB778E}" srcOrd="0" destOrd="0" presId="urn:microsoft.com/office/officeart/2005/8/layout/hierarchy5"/>
    <dgm:cxn modelId="{D0D23F7B-39C5-428D-B75D-394F5E22D537}" type="presParOf" srcId="{4962987A-EF10-44D6-8E51-382E743FD3EE}" destId="{57148387-D0FE-4928-9AC1-EE7486AB8EFA}" srcOrd="1" destOrd="0" presId="urn:microsoft.com/office/officeart/2005/8/layout/hierarchy5"/>
    <dgm:cxn modelId="{AD8D0287-DAB0-49EC-AE7E-EFE8ADD28144}" type="presParOf" srcId="{7A700208-D367-4602-B509-8DA75C7243FA}" destId="{23AA6F6F-4451-4B9E-94BE-4DA0A67FB001}" srcOrd="2" destOrd="0" presId="urn:microsoft.com/office/officeart/2005/8/layout/hierarchy5"/>
    <dgm:cxn modelId="{DA240001-F4F9-48A0-8ED3-2AD5D3478E4F}" type="presParOf" srcId="{23AA6F6F-4451-4B9E-94BE-4DA0A67FB001}" destId="{5A47D883-C79C-4336-BC57-0DA86F5E2531}" srcOrd="0" destOrd="0" presId="urn:microsoft.com/office/officeart/2005/8/layout/hierarchy5"/>
    <dgm:cxn modelId="{2E935A8A-C93F-435D-AC90-4A467793C891}" type="presParOf" srcId="{7A700208-D367-4602-B509-8DA75C7243FA}" destId="{0A0C8EF4-9599-408D-BFFE-13B3FE8758B6}" srcOrd="3" destOrd="0" presId="urn:microsoft.com/office/officeart/2005/8/layout/hierarchy5"/>
    <dgm:cxn modelId="{A7A7A64E-FBFD-4CCD-ACA7-6D79593F006A}" type="presParOf" srcId="{0A0C8EF4-9599-408D-BFFE-13B3FE8758B6}" destId="{22662A54-FAC4-4736-AE9D-D116AB33706F}" srcOrd="0" destOrd="0" presId="urn:microsoft.com/office/officeart/2005/8/layout/hierarchy5"/>
    <dgm:cxn modelId="{61F0231F-F986-4ACC-A804-4C1DD1F20925}" type="presParOf" srcId="{0A0C8EF4-9599-408D-BFFE-13B3FE8758B6}" destId="{9828C166-0CA3-4960-B3A6-09C74450A4E2}" srcOrd="1" destOrd="0" presId="urn:microsoft.com/office/officeart/2005/8/layout/hierarchy5"/>
    <dgm:cxn modelId="{6B7D06D8-744A-4C32-ADAA-39B765B6ED57}" type="presParOf" srcId="{9828C166-0CA3-4960-B3A6-09C74450A4E2}" destId="{DCDCF289-2711-4D20-B5FF-2F87E2CF8D92}" srcOrd="0" destOrd="0" presId="urn:microsoft.com/office/officeart/2005/8/layout/hierarchy5"/>
    <dgm:cxn modelId="{FB9E2418-3216-4EFD-9BD8-0F04794CD461}" type="presParOf" srcId="{DCDCF289-2711-4D20-B5FF-2F87E2CF8D92}" destId="{08FD1466-CCA3-4817-925E-FEBE97969FE7}" srcOrd="0" destOrd="0" presId="urn:microsoft.com/office/officeart/2005/8/layout/hierarchy5"/>
    <dgm:cxn modelId="{91D56895-4CEB-410A-BA36-13EBD71D6602}" type="presParOf" srcId="{9828C166-0CA3-4960-B3A6-09C74450A4E2}" destId="{9BC14DD7-C88D-4F5C-9631-4A689DE50E4F}" srcOrd="1" destOrd="0" presId="urn:microsoft.com/office/officeart/2005/8/layout/hierarchy5"/>
    <dgm:cxn modelId="{F9A2BA83-AD54-4ABE-AA0B-8D4F69BC43EB}" type="presParOf" srcId="{9BC14DD7-C88D-4F5C-9631-4A689DE50E4F}" destId="{F87DB56E-EC04-4DBE-AB89-9E1954052CC2}" srcOrd="0" destOrd="0" presId="urn:microsoft.com/office/officeart/2005/8/layout/hierarchy5"/>
    <dgm:cxn modelId="{F60EE4FB-CADA-4E6F-AAFB-2D4423CA5CAD}" type="presParOf" srcId="{9BC14DD7-C88D-4F5C-9631-4A689DE50E4F}" destId="{38643EC3-1BE4-48F0-82DA-70A6F988DF06}" srcOrd="1" destOrd="0" presId="urn:microsoft.com/office/officeart/2005/8/layout/hierarchy5"/>
    <dgm:cxn modelId="{A78F278B-F2E3-4B49-872C-17F2E9BB2332}" type="presParOf" srcId="{7E78B9D2-8648-46D1-8384-8847E1ED0059}" destId="{A363D5E1-F287-4726-9BC7-3B607F977D62}" srcOrd="6" destOrd="0" presId="urn:microsoft.com/office/officeart/2005/8/layout/hierarchy5"/>
    <dgm:cxn modelId="{277F145E-DBC3-49D2-B915-D0778A398C33}" type="presParOf" srcId="{A363D5E1-F287-4726-9BC7-3B607F977D62}" destId="{48A80523-F2F6-4BA1-960A-35519802E5B4}" srcOrd="0" destOrd="0" presId="urn:microsoft.com/office/officeart/2005/8/layout/hierarchy5"/>
    <dgm:cxn modelId="{20748885-EE6E-48E4-8E09-D4AF1FAE3021}" type="presParOf" srcId="{7E78B9D2-8648-46D1-8384-8847E1ED0059}" destId="{6077EAD6-37CD-4518-9C48-0199CE9FF4D5}" srcOrd="7" destOrd="0" presId="urn:microsoft.com/office/officeart/2005/8/layout/hierarchy5"/>
    <dgm:cxn modelId="{461E93DD-FD77-4DA3-AB0E-E3B9276D0D57}" type="presParOf" srcId="{6077EAD6-37CD-4518-9C48-0199CE9FF4D5}" destId="{FA83D0FC-A047-4B60-95A0-650D3BDF1EDC}" srcOrd="0" destOrd="0" presId="urn:microsoft.com/office/officeart/2005/8/layout/hierarchy5"/>
    <dgm:cxn modelId="{D35268DB-1BC7-44B9-95CA-01A06E256A81}" type="presParOf" srcId="{6077EAD6-37CD-4518-9C48-0199CE9FF4D5}" destId="{608DF5A7-023E-455E-89D0-D0D8F7116597}" srcOrd="1" destOrd="0" presId="urn:microsoft.com/office/officeart/2005/8/layout/hierarchy5"/>
    <dgm:cxn modelId="{E535E2A0-89D1-4AFC-8B2B-ED7054218940}" type="presParOf" srcId="{608DF5A7-023E-455E-89D0-D0D8F7116597}" destId="{5AB38B4A-BC37-44E3-96B5-5E8B9EF0EDE6}" srcOrd="0" destOrd="0" presId="urn:microsoft.com/office/officeart/2005/8/layout/hierarchy5"/>
    <dgm:cxn modelId="{FD85B1F1-0AE4-46B2-A1C8-BD6CEB896D80}" type="presParOf" srcId="{5AB38B4A-BC37-44E3-96B5-5E8B9EF0EDE6}" destId="{26ED7B88-5ACB-4F76-B0FA-E6DF549AD025}" srcOrd="0" destOrd="0" presId="urn:microsoft.com/office/officeart/2005/8/layout/hierarchy5"/>
    <dgm:cxn modelId="{DE64BCDD-1F6C-4F12-83F8-D2AC6092F014}" type="presParOf" srcId="{608DF5A7-023E-455E-89D0-D0D8F7116597}" destId="{8B061109-2613-4D08-BADA-B9D009D4BDAC}" srcOrd="1" destOrd="0" presId="urn:microsoft.com/office/officeart/2005/8/layout/hierarchy5"/>
    <dgm:cxn modelId="{1AB878BD-04A9-49FF-8A99-306D6C9472A4}" type="presParOf" srcId="{8B061109-2613-4D08-BADA-B9D009D4BDAC}" destId="{CA0C6CAD-AD6D-455C-9D60-B3CB46DB4932}" srcOrd="0" destOrd="0" presId="urn:microsoft.com/office/officeart/2005/8/layout/hierarchy5"/>
    <dgm:cxn modelId="{383A091B-8E7F-4B13-BC03-8DAD8F9294FE}" type="presParOf" srcId="{8B061109-2613-4D08-BADA-B9D009D4BDAC}" destId="{84665CB0-63B1-41EA-B013-600A72185605}" srcOrd="1" destOrd="0" presId="urn:microsoft.com/office/officeart/2005/8/layout/hierarchy5"/>
    <dgm:cxn modelId="{C5742414-2FAC-49BB-AD2E-129FB04374E2}" type="presParOf" srcId="{9FA678D8-4743-43A8-BE5F-3C74276D2862}" destId="{69937F6C-7B56-4629-9D73-E61806F84BF2}" srcOrd="1" destOrd="0" presId="urn:microsoft.com/office/officeart/2005/8/layout/hierarchy5"/>
  </dgm:cxnLst>
  <dgm:bg>
    <a:noFill/>
    <a:effectLst/>
  </dgm:bg>
  <dgm:whole>
    <a:ln w="9525" cap="flat" cmpd="sng" algn="ctr">
      <a:noFill/>
      <a:prstDash val="solid"/>
      <a:round/>
      <a:headEnd type="none" w="med" len="med"/>
      <a:tailEnd type="none" w="med" len="med"/>
    </a:ln>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8C91798-C7EF-49B7-9F86-E333E546B48F}">
      <dsp:nvSpPr>
        <dsp:cNvPr id="0" name=""/>
        <dsp:cNvSpPr/>
      </dsp:nvSpPr>
      <dsp:spPr>
        <a:xfrm>
          <a:off x="0" y="1477771"/>
          <a:ext cx="1080762" cy="615222"/>
        </a:xfrm>
        <a:prstGeom prst="roundRect">
          <a:avLst>
            <a:gd name="adj" fmla="val 10000"/>
          </a:avLst>
        </a:prstGeom>
        <a:solidFill>
          <a:srgbClr val="004080"/>
        </a:solidFill>
        <a:ln w="9525" cap="flat" cmpd="sng" algn="ctr">
          <a:noFill/>
          <a:prstDash val="solid"/>
        </a:ln>
        <a:effectLst/>
      </dsp:spPr>
      <dsp:style>
        <a:lnRef idx="1">
          <a:schemeClr val="accent5"/>
        </a:lnRef>
        <a:fillRef idx="2">
          <a:schemeClr val="accent5"/>
        </a:fillRef>
        <a:effectRef idx="1">
          <a:schemeClr val="accent5"/>
        </a:effectRef>
        <a:fontRef idx="minor">
          <a:schemeClr val="dk1"/>
        </a:fontRef>
      </dsp:style>
      <dsp:txBody>
        <a:bodyPr spcFirstLastPara="0" vert="horz" wrap="square" lIns="5080" tIns="5080" rIns="5080" bIns="5080" numCol="1" spcCol="1270" anchor="ctr" anchorCtr="0">
          <a:noAutofit/>
        </a:bodyPr>
        <a:lstStyle/>
        <a:p>
          <a:pPr marL="72000" lvl="0" algn="l" defTabSz="355600">
            <a:lnSpc>
              <a:spcPct val="90000"/>
            </a:lnSpc>
            <a:spcBef>
              <a:spcPct val="0"/>
            </a:spcBef>
            <a:spcAft>
              <a:spcPts val="300"/>
            </a:spcAft>
          </a:pPr>
          <a:r>
            <a:rPr lang="en-AU" sz="800" b="0" kern="1200">
              <a:solidFill>
                <a:schemeClr val="bg1"/>
              </a:solidFill>
              <a:latin typeface="Arial" pitchFamily="34" charset="0"/>
              <a:ea typeface="Verdana" pitchFamily="34" charset="0"/>
              <a:cs typeface="Arial" pitchFamily="34" charset="0"/>
            </a:rPr>
            <a:t>Specialised mental </a:t>
          </a:r>
          <a:br>
            <a:rPr lang="en-AU" sz="800" b="0" kern="1200">
              <a:solidFill>
                <a:schemeClr val="bg1"/>
              </a:solidFill>
              <a:latin typeface="Arial" pitchFamily="34" charset="0"/>
              <a:ea typeface="Verdana" pitchFamily="34" charset="0"/>
              <a:cs typeface="Arial" pitchFamily="34" charset="0"/>
            </a:rPr>
          </a:br>
          <a:r>
            <a:rPr lang="en-AU" sz="800" b="0" kern="1200">
              <a:solidFill>
                <a:schemeClr val="bg1"/>
              </a:solidFill>
              <a:latin typeface="Arial" pitchFamily="34" charset="0"/>
              <a:ea typeface="Verdana" pitchFamily="34" charset="0"/>
              <a:cs typeface="Arial" pitchFamily="34" charset="0"/>
            </a:rPr>
            <a:t>health care </a:t>
          </a:r>
        </a:p>
        <a:p>
          <a:pPr marL="72000" lvl="0" algn="l" defTabSz="355600">
            <a:lnSpc>
              <a:spcPct val="90000"/>
            </a:lnSpc>
            <a:spcBef>
              <a:spcPct val="0"/>
            </a:spcBef>
            <a:spcAft>
              <a:spcPts val="300"/>
            </a:spcAft>
          </a:pPr>
          <a:r>
            <a:rPr lang="en-AU" sz="800" b="0" kern="1200">
              <a:solidFill>
                <a:schemeClr val="bg1"/>
              </a:solidFill>
              <a:latin typeface="Arial" pitchFamily="34" charset="0"/>
              <a:ea typeface="Verdana" pitchFamily="34" charset="0"/>
              <a:cs typeface="Arial" pitchFamily="34" charset="0"/>
            </a:rPr>
            <a:t>  • 1,514 facilites</a:t>
          </a:r>
        </a:p>
      </dsp:txBody>
      <dsp:txXfrm>
        <a:off x="18019" y="1495790"/>
        <a:ext cx="1044724" cy="579184"/>
      </dsp:txXfrm>
    </dsp:sp>
    <dsp:sp modelId="{2F5B473C-9F27-4A35-9066-915AE9FC04B9}">
      <dsp:nvSpPr>
        <dsp:cNvPr id="0" name=""/>
        <dsp:cNvSpPr/>
      </dsp:nvSpPr>
      <dsp:spPr>
        <a:xfrm rot="16792570">
          <a:off x="589400" y="1195152"/>
          <a:ext cx="1186174" cy="11865"/>
        </a:xfrm>
        <a:custGeom>
          <a:avLst/>
          <a:gdLst/>
          <a:ahLst/>
          <a:cxnLst/>
          <a:rect l="0" t="0" r="0" b="0"/>
          <a:pathLst>
            <a:path>
              <a:moveTo>
                <a:pt x="0" y="5932"/>
              </a:moveTo>
              <a:lnTo>
                <a:pt x="1186174" y="5932"/>
              </a:lnTo>
            </a:path>
          </a:pathLst>
        </a:custGeom>
        <a:noFill/>
        <a:ln w="9525" cap="flat" cmpd="sng" algn="ctr">
          <a:solidFill>
            <a:srgbClr val="2F3490"/>
          </a:solidFill>
          <a:prstDash val="solid"/>
        </a:ln>
        <a:effectLst/>
      </dsp:spPr>
      <dsp:style>
        <a:lnRef idx="1">
          <a:schemeClr val="accent5"/>
        </a:lnRef>
        <a:fillRef idx="2">
          <a:schemeClr val="accent5"/>
        </a:fillRef>
        <a:effectRef idx="1">
          <a:schemeClr val="accent5"/>
        </a:effectRef>
        <a:fontRef idx="minor">
          <a:schemeClr val="dk1"/>
        </a:fontRef>
      </dsp:style>
      <dsp:txBody>
        <a:bodyPr spcFirstLastPara="0" vert="horz" wrap="square" lIns="12700" tIns="0" rIns="12700" bIns="0" numCol="1" spcCol="1270" anchor="ctr" anchorCtr="0">
          <a:noAutofit/>
        </a:bodyPr>
        <a:lstStyle/>
        <a:p>
          <a:pPr lvl="0" algn="ctr" defTabSz="355600">
            <a:lnSpc>
              <a:spcPct val="90000"/>
            </a:lnSpc>
            <a:spcBef>
              <a:spcPct val="0"/>
            </a:spcBef>
            <a:spcAft>
              <a:spcPts val="300"/>
            </a:spcAft>
          </a:pPr>
          <a:endParaRPr lang="en-AU" sz="800" b="0" kern="1200">
            <a:solidFill>
              <a:schemeClr val="bg1"/>
            </a:solidFill>
            <a:latin typeface="Arial" pitchFamily="34" charset="0"/>
            <a:ea typeface="Verdana" pitchFamily="34" charset="0"/>
            <a:cs typeface="Arial" pitchFamily="34" charset="0"/>
          </a:endParaRPr>
        </a:p>
      </dsp:txBody>
      <dsp:txXfrm>
        <a:off x="1152834" y="1171430"/>
        <a:ext cx="59308" cy="59308"/>
      </dsp:txXfrm>
    </dsp:sp>
    <dsp:sp modelId="{94CFB800-6BBF-45E9-9DF9-317013B70F7B}">
      <dsp:nvSpPr>
        <dsp:cNvPr id="0" name=""/>
        <dsp:cNvSpPr/>
      </dsp:nvSpPr>
      <dsp:spPr>
        <a:xfrm>
          <a:off x="1284214" y="403493"/>
          <a:ext cx="1121476" cy="426585"/>
        </a:xfrm>
        <a:prstGeom prst="roundRect">
          <a:avLst>
            <a:gd name="adj" fmla="val 10000"/>
          </a:avLst>
        </a:prstGeom>
        <a:solidFill>
          <a:srgbClr val="004080"/>
        </a:solidFill>
        <a:ln w="9525" cap="flat" cmpd="sng" algn="ctr">
          <a:noFill/>
          <a:prstDash val="solid"/>
        </a:ln>
        <a:effectLst/>
      </dsp:spPr>
      <dsp:style>
        <a:lnRef idx="1">
          <a:schemeClr val="accent5"/>
        </a:lnRef>
        <a:fillRef idx="2">
          <a:schemeClr val="accent5"/>
        </a:fillRef>
        <a:effectRef idx="1">
          <a:schemeClr val="accent5"/>
        </a:effectRef>
        <a:fontRef idx="minor">
          <a:schemeClr val="dk1"/>
        </a:fontRef>
      </dsp:style>
      <dsp:txBody>
        <a:bodyPr spcFirstLastPara="0" vert="horz" wrap="square" lIns="5080" tIns="5080" rIns="5080" bIns="5080" numCol="1" spcCol="1270" anchor="ctr" anchorCtr="0">
          <a:noAutofit/>
        </a:bodyPr>
        <a:lstStyle/>
        <a:p>
          <a:pPr marL="72000" lvl="0" algn="l" defTabSz="355600">
            <a:lnSpc>
              <a:spcPct val="90000"/>
            </a:lnSpc>
            <a:spcBef>
              <a:spcPct val="0"/>
            </a:spcBef>
            <a:spcAft>
              <a:spcPts val="300"/>
            </a:spcAft>
          </a:pPr>
          <a:r>
            <a:rPr lang="en-AU" sz="800" b="0" kern="1200">
              <a:solidFill>
                <a:schemeClr val="bg1"/>
              </a:solidFill>
              <a:latin typeface="Arial" pitchFamily="34" charset="0"/>
              <a:ea typeface="Verdana" pitchFamily="34" charset="0"/>
              <a:cs typeface="Arial" pitchFamily="34" charset="0"/>
            </a:rPr>
            <a:t>Public hospitals</a:t>
          </a:r>
        </a:p>
        <a:p>
          <a:pPr marL="72000" lvl="0" algn="l" defTabSz="355600">
            <a:lnSpc>
              <a:spcPct val="90000"/>
            </a:lnSpc>
            <a:spcBef>
              <a:spcPct val="0"/>
            </a:spcBef>
            <a:spcAft>
              <a:spcPts val="300"/>
            </a:spcAft>
          </a:pPr>
          <a:r>
            <a:rPr lang="en-AU" sz="800" b="0" kern="1200">
              <a:solidFill>
                <a:schemeClr val="bg1"/>
              </a:solidFill>
              <a:latin typeface="Arial" pitchFamily="34" charset="0"/>
              <a:ea typeface="Verdana" pitchFamily="34" charset="0"/>
              <a:cs typeface="Arial" pitchFamily="34" charset="0"/>
            </a:rPr>
            <a:t>  • 161 hospitals</a:t>
          </a:r>
        </a:p>
      </dsp:txBody>
      <dsp:txXfrm>
        <a:off x="1296708" y="415987"/>
        <a:ext cx="1096488" cy="401597"/>
      </dsp:txXfrm>
    </dsp:sp>
    <dsp:sp modelId="{C91DB31D-A32E-4984-AF92-8BBD19DEA818}">
      <dsp:nvSpPr>
        <dsp:cNvPr id="0" name=""/>
        <dsp:cNvSpPr/>
      </dsp:nvSpPr>
      <dsp:spPr>
        <a:xfrm rot="18001680">
          <a:off x="2303316" y="433436"/>
          <a:ext cx="409843" cy="11865"/>
        </a:xfrm>
        <a:custGeom>
          <a:avLst/>
          <a:gdLst/>
          <a:ahLst/>
          <a:cxnLst/>
          <a:rect l="0" t="0" r="0" b="0"/>
          <a:pathLst>
            <a:path>
              <a:moveTo>
                <a:pt x="0" y="5932"/>
              </a:moveTo>
              <a:lnTo>
                <a:pt x="409843" y="5932"/>
              </a:lnTo>
            </a:path>
          </a:pathLst>
        </a:custGeom>
        <a:noFill/>
        <a:ln w="9525" cap="flat" cmpd="sng" algn="ctr">
          <a:solidFill>
            <a:srgbClr val="2F3490"/>
          </a:solidFill>
          <a:prstDash val="solid"/>
        </a:ln>
        <a:effectLst/>
      </dsp:spPr>
      <dsp:style>
        <a:lnRef idx="1">
          <a:schemeClr val="accent5"/>
        </a:lnRef>
        <a:fillRef idx="2">
          <a:schemeClr val="accent5"/>
        </a:fillRef>
        <a:effectRef idx="1">
          <a:schemeClr val="accent5"/>
        </a:effectRef>
        <a:fontRef idx="minor">
          <a:schemeClr val="dk1"/>
        </a:fontRef>
      </dsp:style>
      <dsp:txBody>
        <a:bodyPr spcFirstLastPara="0" vert="horz" wrap="square" lIns="12700" tIns="0" rIns="12700" bIns="0" numCol="1" spcCol="1270" anchor="ctr" anchorCtr="0">
          <a:noAutofit/>
        </a:bodyPr>
        <a:lstStyle/>
        <a:p>
          <a:pPr lvl="0" algn="ctr" defTabSz="355600">
            <a:lnSpc>
              <a:spcPct val="90000"/>
            </a:lnSpc>
            <a:spcBef>
              <a:spcPct val="0"/>
            </a:spcBef>
            <a:spcAft>
              <a:spcPts val="300"/>
            </a:spcAft>
          </a:pPr>
          <a:endParaRPr lang="en-AU" sz="800" b="0" kern="1200">
            <a:solidFill>
              <a:schemeClr val="bg1"/>
            </a:solidFill>
            <a:latin typeface="Arial" pitchFamily="34" charset="0"/>
            <a:ea typeface="Verdana" pitchFamily="34" charset="0"/>
            <a:cs typeface="Arial" pitchFamily="34" charset="0"/>
          </a:endParaRPr>
        </a:p>
      </dsp:txBody>
      <dsp:txXfrm>
        <a:off x="2497992" y="429123"/>
        <a:ext cx="20492" cy="20492"/>
      </dsp:txXfrm>
    </dsp:sp>
    <dsp:sp modelId="{FD0C37C4-FF61-408D-B9A2-7EE6A308F170}">
      <dsp:nvSpPr>
        <dsp:cNvPr id="0" name=""/>
        <dsp:cNvSpPr/>
      </dsp:nvSpPr>
      <dsp:spPr>
        <a:xfrm>
          <a:off x="2610785" y="0"/>
          <a:ext cx="1260553" cy="523904"/>
        </a:xfrm>
        <a:prstGeom prst="roundRect">
          <a:avLst>
            <a:gd name="adj" fmla="val 10000"/>
          </a:avLst>
        </a:prstGeom>
        <a:solidFill>
          <a:srgbClr val="004080"/>
        </a:solidFill>
        <a:ln w="9525" cap="flat" cmpd="sng" algn="ctr">
          <a:noFill/>
          <a:prstDash val="solid"/>
        </a:ln>
        <a:effectLst/>
      </dsp:spPr>
      <dsp:style>
        <a:lnRef idx="1">
          <a:schemeClr val="accent5"/>
        </a:lnRef>
        <a:fillRef idx="2">
          <a:schemeClr val="accent5"/>
        </a:fillRef>
        <a:effectRef idx="1">
          <a:schemeClr val="accent5"/>
        </a:effectRef>
        <a:fontRef idx="minor">
          <a:schemeClr val="dk1"/>
        </a:fontRef>
      </dsp:style>
      <dsp:txBody>
        <a:bodyPr spcFirstLastPara="0" vert="horz" wrap="square" lIns="5080" tIns="5080" rIns="5080" bIns="5080" numCol="1" spcCol="1270" anchor="ctr" anchorCtr="0">
          <a:noAutofit/>
        </a:bodyPr>
        <a:lstStyle/>
        <a:p>
          <a:pPr marL="72000" lvl="0" algn="l" defTabSz="355600">
            <a:lnSpc>
              <a:spcPct val="90000"/>
            </a:lnSpc>
            <a:spcBef>
              <a:spcPct val="0"/>
            </a:spcBef>
            <a:spcAft>
              <a:spcPts val="300"/>
            </a:spcAft>
          </a:pPr>
          <a:r>
            <a:rPr lang="en-AU" sz="800" b="0" kern="1200">
              <a:solidFill>
                <a:schemeClr val="bg1"/>
              </a:solidFill>
              <a:latin typeface="Arial" pitchFamily="34" charset="0"/>
              <a:ea typeface="Verdana" pitchFamily="34" charset="0"/>
              <a:cs typeface="Arial" pitchFamily="34" charset="0"/>
            </a:rPr>
            <a:t>Public psychiatric hospitals</a:t>
          </a:r>
        </a:p>
        <a:p>
          <a:pPr marL="72000" lvl="0" algn="l" defTabSz="355600">
            <a:lnSpc>
              <a:spcPct val="90000"/>
            </a:lnSpc>
            <a:spcBef>
              <a:spcPct val="0"/>
            </a:spcBef>
            <a:spcAft>
              <a:spcPts val="300"/>
            </a:spcAft>
          </a:pPr>
          <a:r>
            <a:rPr lang="en-AU" sz="800" b="0" kern="1200">
              <a:solidFill>
                <a:schemeClr val="bg1"/>
              </a:solidFill>
              <a:latin typeface="Arial" pitchFamily="34" charset="0"/>
              <a:ea typeface="Verdana" pitchFamily="34" charset="0"/>
              <a:cs typeface="Arial" pitchFamily="34" charset="0"/>
            </a:rPr>
            <a:t>  • 16 hospitals</a:t>
          </a:r>
        </a:p>
      </dsp:txBody>
      <dsp:txXfrm>
        <a:off x="2626130" y="15345"/>
        <a:ext cx="1229863" cy="493214"/>
      </dsp:txXfrm>
    </dsp:sp>
    <dsp:sp modelId="{7A331649-A107-4EAB-9186-7181D7484DCC}">
      <dsp:nvSpPr>
        <dsp:cNvPr id="0" name=""/>
        <dsp:cNvSpPr/>
      </dsp:nvSpPr>
      <dsp:spPr>
        <a:xfrm rot="18264">
          <a:off x="3871337" y="256521"/>
          <a:ext cx="188998" cy="11865"/>
        </a:xfrm>
        <a:custGeom>
          <a:avLst/>
          <a:gdLst/>
          <a:ahLst/>
          <a:cxnLst/>
          <a:rect l="0" t="0" r="0" b="0"/>
          <a:pathLst>
            <a:path>
              <a:moveTo>
                <a:pt x="0" y="5932"/>
              </a:moveTo>
              <a:lnTo>
                <a:pt x="188998" y="5932"/>
              </a:lnTo>
            </a:path>
          </a:pathLst>
        </a:custGeom>
        <a:noFill/>
        <a:ln w="9525" cap="flat" cmpd="sng" algn="ctr">
          <a:solidFill>
            <a:srgbClr val="2F3490"/>
          </a:solidFill>
          <a:prstDash val="solid"/>
        </a:ln>
        <a:effectLst/>
      </dsp:spPr>
      <dsp:style>
        <a:lnRef idx="1">
          <a:schemeClr val="accent5"/>
        </a:lnRef>
        <a:fillRef idx="2">
          <a:schemeClr val="accent5"/>
        </a:fillRef>
        <a:effectRef idx="1">
          <a:schemeClr val="accent5"/>
        </a:effectRef>
        <a:fontRef idx="minor">
          <a:schemeClr val="dk1"/>
        </a:fontRef>
      </dsp:style>
      <dsp:txBody>
        <a:bodyPr spcFirstLastPara="0" vert="horz" wrap="square" lIns="12700" tIns="0" rIns="12700" bIns="0" numCol="1" spcCol="1270" anchor="ctr" anchorCtr="0">
          <a:noAutofit/>
        </a:bodyPr>
        <a:lstStyle/>
        <a:p>
          <a:pPr lvl="0" algn="ctr" defTabSz="355600">
            <a:lnSpc>
              <a:spcPct val="90000"/>
            </a:lnSpc>
            <a:spcBef>
              <a:spcPct val="0"/>
            </a:spcBef>
            <a:spcAft>
              <a:spcPts val="300"/>
            </a:spcAft>
          </a:pPr>
          <a:endParaRPr lang="en-AU" sz="800" b="0" kern="1200">
            <a:solidFill>
              <a:schemeClr val="bg1"/>
            </a:solidFill>
            <a:latin typeface="Arial" pitchFamily="34" charset="0"/>
            <a:ea typeface="Verdana" pitchFamily="34" charset="0"/>
            <a:cs typeface="Arial" pitchFamily="34" charset="0"/>
          </a:endParaRPr>
        </a:p>
      </dsp:txBody>
      <dsp:txXfrm>
        <a:off x="3961112" y="257729"/>
        <a:ext cx="9449" cy="9449"/>
      </dsp:txXfrm>
    </dsp:sp>
    <dsp:sp modelId="{EC0FA791-F412-4EF1-A21A-9BCB48F6BDE6}">
      <dsp:nvSpPr>
        <dsp:cNvPr id="0" name=""/>
        <dsp:cNvSpPr/>
      </dsp:nvSpPr>
      <dsp:spPr>
        <a:xfrm>
          <a:off x="4060335" y="62540"/>
          <a:ext cx="1236749" cy="400831"/>
        </a:xfrm>
        <a:prstGeom prst="roundRect">
          <a:avLst>
            <a:gd name="adj" fmla="val 10000"/>
          </a:avLst>
        </a:prstGeom>
        <a:solidFill>
          <a:srgbClr val="004080"/>
        </a:solidFill>
        <a:ln w="9525" cap="flat" cmpd="sng" algn="ctr">
          <a:noFill/>
          <a:prstDash val="solid"/>
        </a:ln>
        <a:effectLst/>
      </dsp:spPr>
      <dsp:style>
        <a:lnRef idx="1">
          <a:schemeClr val="accent5"/>
        </a:lnRef>
        <a:fillRef idx="2">
          <a:schemeClr val="accent5"/>
        </a:fillRef>
        <a:effectRef idx="1">
          <a:schemeClr val="accent5"/>
        </a:effectRef>
        <a:fontRef idx="minor">
          <a:schemeClr val="dk1"/>
        </a:fontRef>
      </dsp:style>
      <dsp:txBody>
        <a:bodyPr spcFirstLastPara="0" vert="horz" wrap="square" lIns="5080" tIns="5080" rIns="5080" bIns="5080" numCol="1" spcCol="1270" anchor="ctr" anchorCtr="0">
          <a:noAutofit/>
        </a:bodyPr>
        <a:lstStyle/>
        <a:p>
          <a:pPr marL="108000" lvl="0" algn="l" defTabSz="355600">
            <a:lnSpc>
              <a:spcPct val="100000"/>
            </a:lnSpc>
            <a:spcBef>
              <a:spcPct val="0"/>
            </a:spcBef>
            <a:spcAft>
              <a:spcPts val="300"/>
            </a:spcAft>
          </a:pPr>
          <a:r>
            <a:rPr lang="en-AU" sz="800" b="0" kern="1200">
              <a:solidFill>
                <a:schemeClr val="bg1"/>
              </a:solidFill>
              <a:latin typeface="Arial" pitchFamily="34" charset="0"/>
              <a:ea typeface="Verdana" pitchFamily="34" charset="0"/>
              <a:cs typeface="Arial" pitchFamily="34" charset="0"/>
            </a:rPr>
            <a:t>• 1,873 beds</a:t>
          </a:r>
        </a:p>
        <a:p>
          <a:pPr marL="108000" lvl="0" algn="l" defTabSz="355600">
            <a:lnSpc>
              <a:spcPct val="100000"/>
            </a:lnSpc>
            <a:spcBef>
              <a:spcPct val="0"/>
            </a:spcBef>
            <a:spcAft>
              <a:spcPts val="300"/>
            </a:spcAft>
          </a:pPr>
          <a:r>
            <a:rPr lang="en-AU" sz="800" b="0" kern="1200">
              <a:solidFill>
                <a:schemeClr val="bg1"/>
              </a:solidFill>
              <a:latin typeface="Arial" pitchFamily="34" charset="0"/>
              <a:ea typeface="Verdana" pitchFamily="34" charset="0"/>
              <a:cs typeface="Arial" pitchFamily="34" charset="0"/>
            </a:rPr>
            <a:t>• 606,337 patient days</a:t>
          </a:r>
        </a:p>
      </dsp:txBody>
      <dsp:txXfrm>
        <a:off x="4072075" y="74280"/>
        <a:ext cx="1213269" cy="377351"/>
      </dsp:txXfrm>
    </dsp:sp>
    <dsp:sp modelId="{EDC20001-3D8C-4510-A68C-7A972A0B235F}">
      <dsp:nvSpPr>
        <dsp:cNvPr id="0" name=""/>
        <dsp:cNvSpPr/>
      </dsp:nvSpPr>
      <dsp:spPr>
        <a:xfrm rot="3116452">
          <a:off x="2341893" y="741829"/>
          <a:ext cx="332690" cy="11865"/>
        </a:xfrm>
        <a:custGeom>
          <a:avLst/>
          <a:gdLst/>
          <a:ahLst/>
          <a:cxnLst/>
          <a:rect l="0" t="0" r="0" b="0"/>
          <a:pathLst>
            <a:path>
              <a:moveTo>
                <a:pt x="0" y="5932"/>
              </a:moveTo>
              <a:lnTo>
                <a:pt x="332690" y="5932"/>
              </a:lnTo>
            </a:path>
          </a:pathLst>
        </a:custGeom>
        <a:noFill/>
        <a:ln w="9525" cap="flat" cmpd="sng" algn="ctr">
          <a:solidFill>
            <a:srgbClr val="2F3490"/>
          </a:solidFill>
          <a:prstDash val="solid"/>
        </a:ln>
        <a:effectLst/>
      </dsp:spPr>
      <dsp:style>
        <a:lnRef idx="1">
          <a:schemeClr val="accent5"/>
        </a:lnRef>
        <a:fillRef idx="2">
          <a:schemeClr val="accent5"/>
        </a:fillRef>
        <a:effectRef idx="1">
          <a:schemeClr val="accent5"/>
        </a:effectRef>
        <a:fontRef idx="minor">
          <a:schemeClr val="dk1"/>
        </a:fontRef>
      </dsp:style>
      <dsp:txBody>
        <a:bodyPr spcFirstLastPara="0" vert="horz" wrap="square" lIns="12700" tIns="0" rIns="12700" bIns="0" numCol="1" spcCol="1270" anchor="ctr" anchorCtr="0">
          <a:noAutofit/>
        </a:bodyPr>
        <a:lstStyle/>
        <a:p>
          <a:pPr lvl="0" algn="ctr" defTabSz="355600">
            <a:lnSpc>
              <a:spcPct val="90000"/>
            </a:lnSpc>
            <a:spcBef>
              <a:spcPct val="0"/>
            </a:spcBef>
            <a:spcAft>
              <a:spcPts val="300"/>
            </a:spcAft>
          </a:pPr>
          <a:endParaRPr lang="en-AU" sz="800" b="0" kern="1200">
            <a:solidFill>
              <a:schemeClr val="bg1"/>
            </a:solidFill>
            <a:latin typeface="Arial" pitchFamily="34" charset="0"/>
            <a:ea typeface="Verdana" pitchFamily="34" charset="0"/>
            <a:cs typeface="Arial" pitchFamily="34" charset="0"/>
          </a:endParaRPr>
        </a:p>
      </dsp:txBody>
      <dsp:txXfrm>
        <a:off x="2499920" y="739445"/>
        <a:ext cx="16634" cy="16634"/>
      </dsp:txXfrm>
    </dsp:sp>
    <dsp:sp modelId="{FB46684B-4D2E-4D87-B493-A7BFD8D6B810}">
      <dsp:nvSpPr>
        <dsp:cNvPr id="0" name=""/>
        <dsp:cNvSpPr/>
      </dsp:nvSpPr>
      <dsp:spPr>
        <a:xfrm>
          <a:off x="2610785" y="555428"/>
          <a:ext cx="1260553" cy="646619"/>
        </a:xfrm>
        <a:prstGeom prst="roundRect">
          <a:avLst>
            <a:gd name="adj" fmla="val 10000"/>
          </a:avLst>
        </a:prstGeom>
        <a:solidFill>
          <a:srgbClr val="004080"/>
        </a:solidFill>
        <a:ln w="9525" cap="flat" cmpd="sng" algn="ctr">
          <a:noFill/>
          <a:prstDash val="solid"/>
        </a:ln>
        <a:effectLst/>
      </dsp:spPr>
      <dsp:style>
        <a:lnRef idx="1">
          <a:schemeClr val="accent5"/>
        </a:lnRef>
        <a:fillRef idx="2">
          <a:schemeClr val="accent5"/>
        </a:fillRef>
        <a:effectRef idx="1">
          <a:schemeClr val="accent5"/>
        </a:effectRef>
        <a:fontRef idx="minor">
          <a:schemeClr val="dk1"/>
        </a:fontRef>
      </dsp:style>
      <dsp:txBody>
        <a:bodyPr spcFirstLastPara="0" vert="horz" wrap="square" lIns="5080" tIns="5080" rIns="5080" bIns="5080" numCol="1" spcCol="1270" anchor="ctr" anchorCtr="0">
          <a:noAutofit/>
        </a:bodyPr>
        <a:lstStyle/>
        <a:p>
          <a:pPr marL="72000" lvl="0" algn="l" defTabSz="355600">
            <a:lnSpc>
              <a:spcPct val="90000"/>
            </a:lnSpc>
            <a:spcBef>
              <a:spcPct val="0"/>
            </a:spcBef>
            <a:spcAft>
              <a:spcPts val="300"/>
            </a:spcAft>
          </a:pPr>
          <a:r>
            <a:rPr lang="en-AU" sz="800" b="0" kern="1200">
              <a:solidFill>
                <a:schemeClr val="bg1"/>
              </a:solidFill>
              <a:latin typeface="Arial" pitchFamily="34" charset="0"/>
              <a:ea typeface="Verdana" pitchFamily="34" charset="0"/>
              <a:cs typeface="Arial" pitchFamily="34" charset="0"/>
            </a:rPr>
            <a:t>Public acute hospitals with a psychiatric unit </a:t>
          </a:r>
          <a:br>
            <a:rPr lang="en-AU" sz="800" b="0" kern="1200">
              <a:solidFill>
                <a:schemeClr val="bg1"/>
              </a:solidFill>
              <a:latin typeface="Arial" pitchFamily="34" charset="0"/>
              <a:ea typeface="Verdana" pitchFamily="34" charset="0"/>
              <a:cs typeface="Arial" pitchFamily="34" charset="0"/>
            </a:rPr>
          </a:br>
          <a:r>
            <a:rPr lang="en-AU" sz="800" b="0" kern="1200">
              <a:solidFill>
                <a:schemeClr val="bg1"/>
              </a:solidFill>
              <a:latin typeface="Arial" pitchFamily="34" charset="0"/>
              <a:ea typeface="Verdana" pitchFamily="34" charset="0"/>
              <a:cs typeface="Arial" pitchFamily="34" charset="0"/>
            </a:rPr>
            <a:t>or ward</a:t>
          </a:r>
        </a:p>
        <a:p>
          <a:pPr marL="72000" lvl="0" algn="l" defTabSz="355600">
            <a:lnSpc>
              <a:spcPct val="90000"/>
            </a:lnSpc>
            <a:spcBef>
              <a:spcPct val="0"/>
            </a:spcBef>
            <a:spcAft>
              <a:spcPts val="300"/>
            </a:spcAft>
          </a:pPr>
          <a:r>
            <a:rPr lang="en-AU" sz="800" b="0" kern="1200">
              <a:solidFill>
                <a:schemeClr val="bg1"/>
              </a:solidFill>
              <a:latin typeface="Arial" pitchFamily="34" charset="0"/>
              <a:ea typeface="Verdana" pitchFamily="34" charset="0"/>
              <a:cs typeface="Arial" pitchFamily="34" charset="0"/>
            </a:rPr>
            <a:t>  • 145 hospitals</a:t>
          </a:r>
        </a:p>
      </dsp:txBody>
      <dsp:txXfrm>
        <a:off x="2629724" y="574367"/>
        <a:ext cx="1222675" cy="608741"/>
      </dsp:txXfrm>
    </dsp:sp>
    <dsp:sp modelId="{EC2A9D75-F4FF-4D6F-9A67-764513E63DB3}">
      <dsp:nvSpPr>
        <dsp:cNvPr id="0" name=""/>
        <dsp:cNvSpPr/>
      </dsp:nvSpPr>
      <dsp:spPr>
        <a:xfrm rot="76">
          <a:off x="3871338" y="872808"/>
          <a:ext cx="286669" cy="11865"/>
        </a:xfrm>
        <a:custGeom>
          <a:avLst/>
          <a:gdLst/>
          <a:ahLst/>
          <a:cxnLst/>
          <a:rect l="0" t="0" r="0" b="0"/>
          <a:pathLst>
            <a:path>
              <a:moveTo>
                <a:pt x="0" y="5932"/>
              </a:moveTo>
              <a:lnTo>
                <a:pt x="286669" y="5932"/>
              </a:lnTo>
            </a:path>
          </a:pathLst>
        </a:custGeom>
        <a:noFill/>
        <a:ln w="9525" cap="flat" cmpd="sng" algn="ctr">
          <a:solidFill>
            <a:srgbClr val="2F3490"/>
          </a:solidFill>
          <a:prstDash val="solid"/>
        </a:ln>
        <a:effectLst/>
      </dsp:spPr>
      <dsp:style>
        <a:lnRef idx="1">
          <a:schemeClr val="accent5"/>
        </a:lnRef>
        <a:fillRef idx="2">
          <a:schemeClr val="accent5"/>
        </a:fillRef>
        <a:effectRef idx="1">
          <a:schemeClr val="accent5"/>
        </a:effectRef>
        <a:fontRef idx="minor">
          <a:schemeClr val="dk1"/>
        </a:fontRef>
      </dsp:style>
      <dsp:txBody>
        <a:bodyPr spcFirstLastPara="0" vert="horz" wrap="square" lIns="12700" tIns="0" rIns="12700" bIns="0" numCol="1" spcCol="1270" anchor="ctr" anchorCtr="0">
          <a:noAutofit/>
        </a:bodyPr>
        <a:lstStyle/>
        <a:p>
          <a:pPr lvl="0" algn="ctr" defTabSz="355600">
            <a:lnSpc>
              <a:spcPct val="90000"/>
            </a:lnSpc>
            <a:spcBef>
              <a:spcPct val="0"/>
            </a:spcBef>
            <a:spcAft>
              <a:spcPts val="300"/>
            </a:spcAft>
          </a:pPr>
          <a:endParaRPr lang="en-AU" sz="800" b="0" kern="1200">
            <a:solidFill>
              <a:schemeClr val="bg1"/>
            </a:solidFill>
            <a:latin typeface="Arial" pitchFamily="34" charset="0"/>
            <a:ea typeface="Verdana" pitchFamily="34" charset="0"/>
            <a:cs typeface="Arial" pitchFamily="34" charset="0"/>
          </a:endParaRPr>
        </a:p>
      </dsp:txBody>
      <dsp:txXfrm>
        <a:off x="4007507" y="871574"/>
        <a:ext cx="14333" cy="14333"/>
      </dsp:txXfrm>
    </dsp:sp>
    <dsp:sp modelId="{68A6A211-0498-4367-86A3-E87C4E9A457F}">
      <dsp:nvSpPr>
        <dsp:cNvPr id="0" name=""/>
        <dsp:cNvSpPr/>
      </dsp:nvSpPr>
      <dsp:spPr>
        <a:xfrm>
          <a:off x="4158008" y="678329"/>
          <a:ext cx="1237661" cy="400831"/>
        </a:xfrm>
        <a:prstGeom prst="roundRect">
          <a:avLst>
            <a:gd name="adj" fmla="val 10000"/>
          </a:avLst>
        </a:prstGeom>
        <a:solidFill>
          <a:srgbClr val="004080"/>
        </a:solidFill>
        <a:ln w="9525" cap="flat" cmpd="sng" algn="ctr">
          <a:noFill/>
          <a:prstDash val="solid"/>
        </a:ln>
        <a:effectLst/>
      </dsp:spPr>
      <dsp:style>
        <a:lnRef idx="1">
          <a:schemeClr val="accent5"/>
        </a:lnRef>
        <a:fillRef idx="2">
          <a:schemeClr val="accent5"/>
        </a:fillRef>
        <a:effectRef idx="1">
          <a:schemeClr val="accent5"/>
        </a:effectRef>
        <a:fontRef idx="minor">
          <a:schemeClr val="dk1"/>
        </a:fontRef>
      </dsp:style>
      <dsp:txBody>
        <a:bodyPr spcFirstLastPara="0" vert="horz" wrap="square" lIns="5080" tIns="5080" rIns="5080" bIns="5080" numCol="1" spcCol="1270" anchor="ctr" anchorCtr="0">
          <a:noAutofit/>
        </a:bodyPr>
        <a:lstStyle/>
        <a:p>
          <a:pPr marL="108000" lvl="0" algn="l" defTabSz="355600">
            <a:lnSpc>
              <a:spcPct val="100000"/>
            </a:lnSpc>
            <a:spcBef>
              <a:spcPct val="0"/>
            </a:spcBef>
            <a:spcAft>
              <a:spcPts val="300"/>
            </a:spcAft>
          </a:pPr>
          <a:r>
            <a:rPr lang="en-AU" sz="800" b="0" kern="1200">
              <a:solidFill>
                <a:schemeClr val="bg1"/>
              </a:solidFill>
              <a:latin typeface="Arial" pitchFamily="34" charset="0"/>
              <a:ea typeface="Verdana" pitchFamily="34" charset="0"/>
              <a:cs typeface="Arial" pitchFamily="34" charset="0"/>
            </a:rPr>
            <a:t>• 4,836 beds</a:t>
          </a:r>
        </a:p>
        <a:p>
          <a:pPr marL="108000" lvl="0" algn="l" defTabSz="355600">
            <a:lnSpc>
              <a:spcPct val="100000"/>
            </a:lnSpc>
            <a:spcBef>
              <a:spcPct val="0"/>
            </a:spcBef>
            <a:spcAft>
              <a:spcPts val="300"/>
            </a:spcAft>
          </a:pPr>
          <a:r>
            <a:rPr lang="en-AU" sz="800" b="0" kern="1200">
              <a:solidFill>
                <a:schemeClr val="bg1"/>
              </a:solidFill>
              <a:latin typeface="Arial" pitchFamily="34" charset="0"/>
              <a:ea typeface="Verdana" pitchFamily="34" charset="0"/>
              <a:cs typeface="Arial" pitchFamily="34" charset="0"/>
            </a:rPr>
            <a:t>• 1,529,806 patient days</a:t>
          </a:r>
        </a:p>
      </dsp:txBody>
      <dsp:txXfrm>
        <a:off x="4169748" y="690069"/>
        <a:ext cx="1214181" cy="377351"/>
      </dsp:txXfrm>
    </dsp:sp>
    <dsp:sp modelId="{79782DD8-5736-4391-BC79-7EFBA5037EBF}">
      <dsp:nvSpPr>
        <dsp:cNvPr id="0" name=""/>
        <dsp:cNvSpPr/>
      </dsp:nvSpPr>
      <dsp:spPr>
        <a:xfrm rot="18073396">
          <a:off x="986248" y="1611634"/>
          <a:ext cx="392480" cy="11865"/>
        </a:xfrm>
        <a:custGeom>
          <a:avLst/>
          <a:gdLst/>
          <a:ahLst/>
          <a:cxnLst/>
          <a:rect l="0" t="0" r="0" b="0"/>
          <a:pathLst>
            <a:path>
              <a:moveTo>
                <a:pt x="0" y="5932"/>
              </a:moveTo>
              <a:lnTo>
                <a:pt x="392480" y="5932"/>
              </a:lnTo>
            </a:path>
          </a:pathLst>
        </a:custGeom>
        <a:noFill/>
        <a:ln w="9525" cap="flat" cmpd="sng" algn="ctr">
          <a:solidFill>
            <a:srgbClr val="2F3490"/>
          </a:solidFill>
          <a:prstDash val="solid"/>
        </a:ln>
        <a:effectLst/>
      </dsp:spPr>
      <dsp:style>
        <a:lnRef idx="1">
          <a:schemeClr val="accent5"/>
        </a:lnRef>
        <a:fillRef idx="2">
          <a:schemeClr val="accent5"/>
        </a:fillRef>
        <a:effectRef idx="1">
          <a:schemeClr val="accent5"/>
        </a:effectRef>
        <a:fontRef idx="minor">
          <a:schemeClr val="dk1"/>
        </a:fontRef>
      </dsp:style>
      <dsp:txBody>
        <a:bodyPr spcFirstLastPara="0" vert="horz" wrap="square" lIns="12700" tIns="0" rIns="12700" bIns="0" numCol="1" spcCol="1270" anchor="ctr" anchorCtr="0">
          <a:noAutofit/>
        </a:bodyPr>
        <a:lstStyle/>
        <a:p>
          <a:pPr lvl="0" algn="ctr" defTabSz="355600">
            <a:lnSpc>
              <a:spcPct val="90000"/>
            </a:lnSpc>
            <a:spcBef>
              <a:spcPct val="0"/>
            </a:spcBef>
            <a:spcAft>
              <a:spcPts val="300"/>
            </a:spcAft>
          </a:pPr>
          <a:endParaRPr lang="en-AU" sz="800" b="0" kern="1200">
            <a:solidFill>
              <a:schemeClr val="bg1"/>
            </a:solidFill>
            <a:latin typeface="Arial" pitchFamily="34" charset="0"/>
            <a:ea typeface="Verdana" pitchFamily="34" charset="0"/>
            <a:cs typeface="Arial" pitchFamily="34" charset="0"/>
          </a:endParaRPr>
        </a:p>
      </dsp:txBody>
      <dsp:txXfrm>
        <a:off x="1172676" y="1607755"/>
        <a:ext cx="19624" cy="19624"/>
      </dsp:txXfrm>
    </dsp:sp>
    <dsp:sp modelId="{0A6C9DBA-3986-4855-A708-7BECFB07A07F}">
      <dsp:nvSpPr>
        <dsp:cNvPr id="0" name=""/>
        <dsp:cNvSpPr/>
      </dsp:nvSpPr>
      <dsp:spPr>
        <a:xfrm>
          <a:off x="1284214" y="1215130"/>
          <a:ext cx="1121476" cy="469243"/>
        </a:xfrm>
        <a:prstGeom prst="roundRect">
          <a:avLst>
            <a:gd name="adj" fmla="val 10000"/>
          </a:avLst>
        </a:prstGeom>
        <a:solidFill>
          <a:srgbClr val="004080"/>
        </a:solidFill>
        <a:ln w="9525" cap="flat" cmpd="sng" algn="ctr">
          <a:noFill/>
          <a:prstDash val="solid"/>
        </a:ln>
        <a:effectLst/>
      </dsp:spPr>
      <dsp:style>
        <a:lnRef idx="1">
          <a:schemeClr val="accent5"/>
        </a:lnRef>
        <a:fillRef idx="2">
          <a:schemeClr val="accent5"/>
        </a:fillRef>
        <a:effectRef idx="1">
          <a:schemeClr val="accent5"/>
        </a:effectRef>
        <a:fontRef idx="minor">
          <a:schemeClr val="dk1"/>
        </a:fontRef>
      </dsp:style>
      <dsp:txBody>
        <a:bodyPr spcFirstLastPara="0" vert="horz" wrap="square" lIns="5080" tIns="5080" rIns="5080" bIns="5080" numCol="1" spcCol="1270" anchor="ctr" anchorCtr="0">
          <a:noAutofit/>
        </a:bodyPr>
        <a:lstStyle/>
        <a:p>
          <a:pPr marL="72000" lvl="0" algn="l" defTabSz="355600">
            <a:lnSpc>
              <a:spcPct val="90000"/>
            </a:lnSpc>
            <a:spcBef>
              <a:spcPct val="0"/>
            </a:spcBef>
            <a:spcAft>
              <a:spcPts val="300"/>
            </a:spcAft>
          </a:pPr>
          <a:r>
            <a:rPr lang="en-AU" sz="800" b="0" kern="1200" dirty="0">
              <a:solidFill>
                <a:schemeClr val="bg1"/>
              </a:solidFill>
              <a:latin typeface="Arial" pitchFamily="34" charset="0"/>
              <a:ea typeface="Verdana" pitchFamily="34" charset="0"/>
              <a:cs typeface="Arial" pitchFamily="34" charset="0"/>
            </a:rPr>
            <a:t>Private psychiatric hospitals</a:t>
          </a:r>
        </a:p>
        <a:p>
          <a:pPr marL="72000" lvl="0" algn="l" defTabSz="355600">
            <a:lnSpc>
              <a:spcPct val="90000"/>
            </a:lnSpc>
            <a:spcBef>
              <a:spcPct val="0"/>
            </a:spcBef>
            <a:spcAft>
              <a:spcPts val="300"/>
            </a:spcAft>
          </a:pPr>
          <a:r>
            <a:rPr lang="en-AU" sz="800" b="0" kern="1200">
              <a:solidFill>
                <a:schemeClr val="bg1"/>
              </a:solidFill>
              <a:latin typeface="Arial" pitchFamily="34" charset="0"/>
              <a:ea typeface="Verdana" pitchFamily="34" charset="0"/>
              <a:cs typeface="Arial" pitchFamily="34" charset="0"/>
            </a:rPr>
            <a:t>  • 55 hospitals</a:t>
          </a:r>
        </a:p>
      </dsp:txBody>
      <dsp:txXfrm>
        <a:off x="1297958" y="1228874"/>
        <a:ext cx="1093988" cy="441755"/>
      </dsp:txXfrm>
    </dsp:sp>
    <dsp:sp modelId="{AC2CAEF8-2F70-4FC0-B4BF-AF742DFC2CDF}">
      <dsp:nvSpPr>
        <dsp:cNvPr id="0" name=""/>
        <dsp:cNvSpPr/>
      </dsp:nvSpPr>
      <dsp:spPr>
        <a:xfrm rot="21599286">
          <a:off x="2405690" y="1443638"/>
          <a:ext cx="1740910" cy="11865"/>
        </a:xfrm>
        <a:custGeom>
          <a:avLst/>
          <a:gdLst/>
          <a:ahLst/>
          <a:cxnLst/>
          <a:rect l="0" t="0" r="0" b="0"/>
          <a:pathLst>
            <a:path>
              <a:moveTo>
                <a:pt x="0" y="5932"/>
              </a:moveTo>
              <a:lnTo>
                <a:pt x="1740910" y="5932"/>
              </a:lnTo>
            </a:path>
          </a:pathLst>
        </a:custGeom>
        <a:noFill/>
        <a:ln w="9525" cap="flat" cmpd="sng" algn="ctr">
          <a:solidFill>
            <a:srgbClr val="2F3490"/>
          </a:solidFill>
          <a:prstDash val="solid"/>
        </a:ln>
        <a:effectLst/>
      </dsp:spPr>
      <dsp:style>
        <a:lnRef idx="1">
          <a:schemeClr val="accent5"/>
        </a:lnRef>
        <a:fillRef idx="2">
          <a:schemeClr val="accent5"/>
        </a:fillRef>
        <a:effectRef idx="1">
          <a:schemeClr val="accent5"/>
        </a:effectRef>
        <a:fontRef idx="minor">
          <a:schemeClr val="dk1"/>
        </a:fontRef>
      </dsp:style>
      <dsp:txBody>
        <a:bodyPr spcFirstLastPara="0" vert="horz" wrap="square" lIns="12700" tIns="0" rIns="12700" bIns="0" numCol="1" spcCol="1270" anchor="ctr" anchorCtr="0">
          <a:noAutofit/>
        </a:bodyPr>
        <a:lstStyle/>
        <a:p>
          <a:pPr lvl="0" algn="ctr" defTabSz="355600">
            <a:lnSpc>
              <a:spcPct val="90000"/>
            </a:lnSpc>
            <a:spcBef>
              <a:spcPct val="0"/>
            </a:spcBef>
            <a:spcAft>
              <a:spcPts val="300"/>
            </a:spcAft>
          </a:pPr>
          <a:endParaRPr lang="en-AU" sz="800" b="0" kern="1200">
            <a:solidFill>
              <a:schemeClr val="bg1"/>
            </a:solidFill>
            <a:latin typeface="Arial" pitchFamily="34" charset="0"/>
            <a:ea typeface="Verdana" pitchFamily="34" charset="0"/>
            <a:cs typeface="Arial" pitchFamily="34" charset="0"/>
          </a:endParaRPr>
        </a:p>
      </dsp:txBody>
      <dsp:txXfrm>
        <a:off x="3232623" y="1406048"/>
        <a:ext cx="87045" cy="87045"/>
      </dsp:txXfrm>
    </dsp:sp>
    <dsp:sp modelId="{3C50D623-1D78-4E5D-96B4-D1651BD881A3}">
      <dsp:nvSpPr>
        <dsp:cNvPr id="0" name=""/>
        <dsp:cNvSpPr/>
      </dsp:nvSpPr>
      <dsp:spPr>
        <a:xfrm>
          <a:off x="4146600" y="1248974"/>
          <a:ext cx="1237661" cy="400831"/>
        </a:xfrm>
        <a:prstGeom prst="roundRect">
          <a:avLst>
            <a:gd name="adj" fmla="val 10000"/>
          </a:avLst>
        </a:prstGeom>
        <a:solidFill>
          <a:srgbClr val="004080"/>
        </a:solidFill>
        <a:ln w="9525" cap="flat" cmpd="sng" algn="ctr">
          <a:noFill/>
          <a:prstDash val="solid"/>
        </a:ln>
        <a:effectLst/>
      </dsp:spPr>
      <dsp:style>
        <a:lnRef idx="1">
          <a:schemeClr val="accent5"/>
        </a:lnRef>
        <a:fillRef idx="2">
          <a:schemeClr val="accent5"/>
        </a:fillRef>
        <a:effectRef idx="1">
          <a:schemeClr val="accent5"/>
        </a:effectRef>
        <a:fontRef idx="minor">
          <a:schemeClr val="dk1"/>
        </a:fontRef>
      </dsp:style>
      <dsp:txBody>
        <a:bodyPr spcFirstLastPara="0" vert="horz" wrap="square" lIns="5080" tIns="5080" rIns="5080" bIns="5080" numCol="1" spcCol="1270" anchor="ctr" anchorCtr="0">
          <a:noAutofit/>
        </a:bodyPr>
        <a:lstStyle/>
        <a:p>
          <a:pPr marL="108000" lvl="0" algn="l" defTabSz="355600">
            <a:lnSpc>
              <a:spcPct val="100000"/>
            </a:lnSpc>
            <a:spcBef>
              <a:spcPct val="0"/>
            </a:spcBef>
            <a:spcAft>
              <a:spcPts val="300"/>
            </a:spcAft>
          </a:pPr>
          <a:r>
            <a:rPr lang="en-AU" sz="800" b="0" kern="1200">
              <a:solidFill>
                <a:schemeClr val="bg1"/>
              </a:solidFill>
              <a:latin typeface="Arial" pitchFamily="34" charset="0"/>
              <a:ea typeface="Verdana" pitchFamily="34" charset="0"/>
              <a:cs typeface="Arial" pitchFamily="34" charset="0"/>
            </a:rPr>
            <a:t>• 2,072 beds</a:t>
          </a:r>
        </a:p>
        <a:p>
          <a:pPr marL="108000" lvl="0" algn="l" defTabSz="355600">
            <a:lnSpc>
              <a:spcPct val="100000"/>
            </a:lnSpc>
            <a:spcBef>
              <a:spcPct val="0"/>
            </a:spcBef>
            <a:spcAft>
              <a:spcPts val="300"/>
            </a:spcAft>
          </a:pPr>
          <a:r>
            <a:rPr lang="en-AU" sz="800" b="0" kern="1200">
              <a:solidFill>
                <a:schemeClr val="bg1"/>
              </a:solidFill>
              <a:latin typeface="Arial" pitchFamily="34" charset="0"/>
              <a:ea typeface="Verdana" pitchFamily="34" charset="0"/>
              <a:cs typeface="Arial" pitchFamily="34" charset="0"/>
            </a:rPr>
            <a:t>• 708,794 patient days</a:t>
          </a:r>
        </a:p>
      </dsp:txBody>
      <dsp:txXfrm>
        <a:off x="4158340" y="1260714"/>
        <a:ext cx="1214181" cy="377351"/>
      </dsp:txXfrm>
    </dsp:sp>
    <dsp:sp modelId="{35DB7AAB-0492-42E6-AEF7-9228B4DFC16D}">
      <dsp:nvSpPr>
        <dsp:cNvPr id="0" name=""/>
        <dsp:cNvSpPr/>
      </dsp:nvSpPr>
      <dsp:spPr>
        <a:xfrm rot="3899010">
          <a:off x="941932" y="1997438"/>
          <a:ext cx="481111" cy="11865"/>
        </a:xfrm>
        <a:custGeom>
          <a:avLst/>
          <a:gdLst/>
          <a:ahLst/>
          <a:cxnLst/>
          <a:rect l="0" t="0" r="0" b="0"/>
          <a:pathLst>
            <a:path>
              <a:moveTo>
                <a:pt x="0" y="5932"/>
              </a:moveTo>
              <a:lnTo>
                <a:pt x="481111" y="5932"/>
              </a:lnTo>
            </a:path>
          </a:pathLst>
        </a:custGeom>
        <a:noFill/>
        <a:ln w="9525" cap="flat" cmpd="sng" algn="ctr">
          <a:solidFill>
            <a:srgbClr val="2F3490"/>
          </a:solidFill>
          <a:prstDash val="solid"/>
        </a:ln>
        <a:effectLst/>
      </dsp:spPr>
      <dsp:style>
        <a:lnRef idx="1">
          <a:schemeClr val="accent5"/>
        </a:lnRef>
        <a:fillRef idx="2">
          <a:schemeClr val="accent5"/>
        </a:fillRef>
        <a:effectRef idx="1">
          <a:schemeClr val="accent5"/>
        </a:effectRef>
        <a:fontRef idx="minor">
          <a:schemeClr val="dk1"/>
        </a:fontRef>
      </dsp:style>
      <dsp:txBody>
        <a:bodyPr spcFirstLastPara="0" vert="horz" wrap="square" lIns="12700" tIns="0" rIns="12700" bIns="0" numCol="1" spcCol="1270" anchor="ctr" anchorCtr="0">
          <a:noAutofit/>
        </a:bodyPr>
        <a:lstStyle/>
        <a:p>
          <a:pPr lvl="0" algn="ctr" defTabSz="355600">
            <a:lnSpc>
              <a:spcPct val="90000"/>
            </a:lnSpc>
            <a:spcBef>
              <a:spcPct val="0"/>
            </a:spcBef>
            <a:spcAft>
              <a:spcPts val="300"/>
            </a:spcAft>
          </a:pPr>
          <a:endParaRPr lang="en-AU" sz="800" b="0" kern="1200">
            <a:solidFill>
              <a:schemeClr val="bg1"/>
            </a:solidFill>
            <a:latin typeface="Arial" pitchFamily="34" charset="0"/>
            <a:ea typeface="Verdana" pitchFamily="34" charset="0"/>
            <a:cs typeface="Arial" pitchFamily="34" charset="0"/>
          </a:endParaRPr>
        </a:p>
      </dsp:txBody>
      <dsp:txXfrm>
        <a:off x="1170460" y="1991343"/>
        <a:ext cx="24055" cy="24055"/>
      </dsp:txXfrm>
    </dsp:sp>
    <dsp:sp modelId="{B905D01A-108D-4B7C-8891-211354F231AA}">
      <dsp:nvSpPr>
        <dsp:cNvPr id="0" name=""/>
        <dsp:cNvSpPr/>
      </dsp:nvSpPr>
      <dsp:spPr>
        <a:xfrm>
          <a:off x="1284214" y="1986737"/>
          <a:ext cx="1121476" cy="469243"/>
        </a:xfrm>
        <a:prstGeom prst="roundRect">
          <a:avLst>
            <a:gd name="adj" fmla="val 10000"/>
          </a:avLst>
        </a:prstGeom>
        <a:solidFill>
          <a:srgbClr val="004080"/>
        </a:solidFill>
        <a:ln w="9525" cap="flat" cmpd="sng" algn="ctr">
          <a:noFill/>
          <a:prstDash val="solid"/>
        </a:ln>
        <a:effectLst/>
      </dsp:spPr>
      <dsp:style>
        <a:lnRef idx="1">
          <a:schemeClr val="accent5"/>
        </a:lnRef>
        <a:fillRef idx="2">
          <a:schemeClr val="accent5"/>
        </a:fillRef>
        <a:effectRef idx="1">
          <a:schemeClr val="accent5"/>
        </a:effectRef>
        <a:fontRef idx="minor">
          <a:schemeClr val="dk1"/>
        </a:fontRef>
      </dsp:style>
      <dsp:txBody>
        <a:bodyPr spcFirstLastPara="0" vert="horz" wrap="square" lIns="5080" tIns="5080" rIns="5080" bIns="5080" numCol="1" spcCol="1270" anchor="ctr" anchorCtr="0">
          <a:noAutofit/>
        </a:bodyPr>
        <a:lstStyle/>
        <a:p>
          <a:pPr marL="72000" lvl="0" algn="l" defTabSz="355600">
            <a:lnSpc>
              <a:spcPct val="90000"/>
            </a:lnSpc>
            <a:spcBef>
              <a:spcPct val="0"/>
            </a:spcBef>
            <a:spcAft>
              <a:spcPts val="300"/>
            </a:spcAft>
          </a:pPr>
          <a:r>
            <a:rPr lang="en-AU" sz="800" b="0" kern="1200">
              <a:solidFill>
                <a:schemeClr val="bg1"/>
              </a:solidFill>
              <a:latin typeface="Arial" pitchFamily="34" charset="0"/>
              <a:ea typeface="Verdana" pitchFamily="34" charset="0"/>
              <a:cs typeface="Arial" pitchFamily="34" charset="0"/>
            </a:rPr>
            <a:t>Residential mental health services</a:t>
          </a:r>
        </a:p>
        <a:p>
          <a:pPr marL="72000" lvl="0" algn="l" defTabSz="355600">
            <a:lnSpc>
              <a:spcPct val="90000"/>
            </a:lnSpc>
            <a:spcBef>
              <a:spcPct val="0"/>
            </a:spcBef>
            <a:spcAft>
              <a:spcPts val="300"/>
            </a:spcAft>
          </a:pPr>
          <a:r>
            <a:rPr lang="en-AU" sz="800" b="0" kern="1200">
              <a:solidFill>
                <a:schemeClr val="bg1"/>
              </a:solidFill>
              <a:latin typeface="Arial" pitchFamily="34" charset="0"/>
              <a:ea typeface="Verdana" pitchFamily="34" charset="0"/>
              <a:cs typeface="Arial" pitchFamily="34" charset="0"/>
            </a:rPr>
            <a:t>  • 165 services</a:t>
          </a:r>
        </a:p>
      </dsp:txBody>
      <dsp:txXfrm>
        <a:off x="1297958" y="2000481"/>
        <a:ext cx="1093988" cy="441755"/>
      </dsp:txXfrm>
    </dsp:sp>
    <dsp:sp modelId="{09AFB397-455B-4B2D-A12A-627950796CE0}">
      <dsp:nvSpPr>
        <dsp:cNvPr id="0" name=""/>
        <dsp:cNvSpPr/>
      </dsp:nvSpPr>
      <dsp:spPr>
        <a:xfrm rot="18296855">
          <a:off x="2329218" y="2068688"/>
          <a:ext cx="358040" cy="11865"/>
        </a:xfrm>
        <a:custGeom>
          <a:avLst/>
          <a:gdLst/>
          <a:ahLst/>
          <a:cxnLst/>
          <a:rect l="0" t="0" r="0" b="0"/>
          <a:pathLst>
            <a:path>
              <a:moveTo>
                <a:pt x="0" y="5932"/>
              </a:moveTo>
              <a:lnTo>
                <a:pt x="358040" y="5932"/>
              </a:lnTo>
            </a:path>
          </a:pathLst>
        </a:custGeom>
        <a:noFill/>
        <a:ln w="9525" cap="flat" cmpd="sng" algn="ctr">
          <a:solidFill>
            <a:srgbClr val="2F3490"/>
          </a:solidFill>
          <a:prstDash val="solid"/>
        </a:ln>
        <a:effectLst/>
      </dsp:spPr>
      <dsp:style>
        <a:lnRef idx="1">
          <a:schemeClr val="accent5"/>
        </a:lnRef>
        <a:fillRef idx="2">
          <a:schemeClr val="accent5"/>
        </a:fillRef>
        <a:effectRef idx="1">
          <a:schemeClr val="accent5"/>
        </a:effectRef>
        <a:fontRef idx="minor">
          <a:schemeClr val="dk1"/>
        </a:fontRef>
      </dsp:style>
      <dsp:txBody>
        <a:bodyPr spcFirstLastPara="0" vert="horz" wrap="square" lIns="12700" tIns="0" rIns="12700" bIns="0" numCol="1" spcCol="1270" anchor="ctr" anchorCtr="0">
          <a:noAutofit/>
        </a:bodyPr>
        <a:lstStyle/>
        <a:p>
          <a:pPr lvl="0" algn="ctr" defTabSz="355600">
            <a:lnSpc>
              <a:spcPct val="90000"/>
            </a:lnSpc>
            <a:spcBef>
              <a:spcPct val="0"/>
            </a:spcBef>
            <a:spcAft>
              <a:spcPts val="300"/>
            </a:spcAft>
          </a:pPr>
          <a:endParaRPr lang="en-AU" sz="800" b="0" kern="1200">
            <a:solidFill>
              <a:schemeClr val="bg1"/>
            </a:solidFill>
            <a:latin typeface="Arial" pitchFamily="34" charset="0"/>
            <a:ea typeface="Verdana" pitchFamily="34" charset="0"/>
            <a:cs typeface="Arial" pitchFamily="34" charset="0"/>
          </a:endParaRPr>
        </a:p>
      </dsp:txBody>
      <dsp:txXfrm>
        <a:off x="2499287" y="2065669"/>
        <a:ext cx="17902" cy="17902"/>
      </dsp:txXfrm>
    </dsp:sp>
    <dsp:sp modelId="{9D88A422-6788-43EA-83D1-F7DC8056A0BC}">
      <dsp:nvSpPr>
        <dsp:cNvPr id="0" name=""/>
        <dsp:cNvSpPr/>
      </dsp:nvSpPr>
      <dsp:spPr>
        <a:xfrm>
          <a:off x="2610785" y="1665930"/>
          <a:ext cx="1260553" cy="523904"/>
        </a:xfrm>
        <a:prstGeom prst="roundRect">
          <a:avLst>
            <a:gd name="adj" fmla="val 10000"/>
          </a:avLst>
        </a:prstGeom>
        <a:solidFill>
          <a:srgbClr val="004080"/>
        </a:solidFill>
        <a:ln w="9525" cap="flat" cmpd="sng" algn="ctr">
          <a:noFill/>
          <a:prstDash val="solid"/>
        </a:ln>
        <a:effectLst/>
      </dsp:spPr>
      <dsp:style>
        <a:lnRef idx="1">
          <a:schemeClr val="accent5"/>
        </a:lnRef>
        <a:fillRef idx="2">
          <a:schemeClr val="accent5"/>
        </a:fillRef>
        <a:effectRef idx="1">
          <a:schemeClr val="accent5"/>
        </a:effectRef>
        <a:fontRef idx="minor">
          <a:schemeClr val="dk1"/>
        </a:fontRef>
      </dsp:style>
      <dsp:txBody>
        <a:bodyPr spcFirstLastPara="0" vert="horz" wrap="square" lIns="5080" tIns="5080" rIns="5080" bIns="5080" numCol="1" spcCol="1270" anchor="ctr" anchorCtr="0">
          <a:noAutofit/>
        </a:bodyPr>
        <a:lstStyle/>
        <a:p>
          <a:pPr marL="72000" lvl="0" algn="l" defTabSz="355600">
            <a:lnSpc>
              <a:spcPct val="90000"/>
            </a:lnSpc>
            <a:spcBef>
              <a:spcPct val="0"/>
            </a:spcBef>
            <a:spcAft>
              <a:spcPts val="300"/>
            </a:spcAft>
          </a:pPr>
          <a:r>
            <a:rPr lang="en-AU" sz="800" b="0" kern="1200">
              <a:solidFill>
                <a:schemeClr val="bg1"/>
              </a:solidFill>
              <a:latin typeface="Arial" pitchFamily="34" charset="0"/>
              <a:ea typeface="Verdana" pitchFamily="34" charset="0"/>
              <a:cs typeface="Arial" pitchFamily="34" charset="0"/>
            </a:rPr>
            <a:t>Government funded</a:t>
          </a:r>
        </a:p>
        <a:p>
          <a:pPr marL="72000" lvl="0" algn="l" defTabSz="355600">
            <a:lnSpc>
              <a:spcPct val="90000"/>
            </a:lnSpc>
            <a:spcBef>
              <a:spcPct val="0"/>
            </a:spcBef>
            <a:spcAft>
              <a:spcPts val="300"/>
            </a:spcAft>
          </a:pPr>
          <a:r>
            <a:rPr lang="en-AU" sz="800" b="0" kern="1200">
              <a:solidFill>
                <a:schemeClr val="bg1"/>
              </a:solidFill>
              <a:latin typeface="Arial" pitchFamily="34" charset="0"/>
              <a:ea typeface="Verdana" pitchFamily="34" charset="0"/>
              <a:cs typeface="Arial" pitchFamily="34" charset="0"/>
            </a:rPr>
            <a:t>  • 81 services</a:t>
          </a:r>
        </a:p>
      </dsp:txBody>
      <dsp:txXfrm>
        <a:off x="2626130" y="1681275"/>
        <a:ext cx="1229863" cy="493214"/>
      </dsp:txXfrm>
    </dsp:sp>
    <dsp:sp modelId="{7746BD6D-FDC8-43FE-89A5-9DFA4F81ABBC}">
      <dsp:nvSpPr>
        <dsp:cNvPr id="0" name=""/>
        <dsp:cNvSpPr/>
      </dsp:nvSpPr>
      <dsp:spPr>
        <a:xfrm rot="12546">
          <a:off x="3871338" y="1922451"/>
          <a:ext cx="275263" cy="11865"/>
        </a:xfrm>
        <a:custGeom>
          <a:avLst/>
          <a:gdLst/>
          <a:ahLst/>
          <a:cxnLst/>
          <a:rect l="0" t="0" r="0" b="0"/>
          <a:pathLst>
            <a:path>
              <a:moveTo>
                <a:pt x="0" y="5932"/>
              </a:moveTo>
              <a:lnTo>
                <a:pt x="275263" y="5932"/>
              </a:lnTo>
            </a:path>
          </a:pathLst>
        </a:custGeom>
        <a:noFill/>
        <a:ln w="9525" cap="flat" cmpd="sng" algn="ctr">
          <a:solidFill>
            <a:srgbClr val="2F3490"/>
          </a:solidFill>
          <a:prstDash val="solid"/>
        </a:ln>
        <a:effectLst/>
      </dsp:spPr>
      <dsp:style>
        <a:lnRef idx="1">
          <a:schemeClr val="accent5"/>
        </a:lnRef>
        <a:fillRef idx="2">
          <a:schemeClr val="accent5"/>
        </a:fillRef>
        <a:effectRef idx="1">
          <a:schemeClr val="accent5"/>
        </a:effectRef>
        <a:fontRef idx="minor">
          <a:schemeClr val="dk1"/>
        </a:fontRef>
      </dsp:style>
      <dsp:txBody>
        <a:bodyPr spcFirstLastPara="0" vert="horz" wrap="square" lIns="12700" tIns="0" rIns="12700" bIns="0" numCol="1" spcCol="1270" anchor="ctr" anchorCtr="0">
          <a:noAutofit/>
        </a:bodyPr>
        <a:lstStyle/>
        <a:p>
          <a:pPr lvl="0" algn="ctr" defTabSz="355600">
            <a:lnSpc>
              <a:spcPct val="90000"/>
            </a:lnSpc>
            <a:spcBef>
              <a:spcPct val="0"/>
            </a:spcBef>
            <a:spcAft>
              <a:spcPts val="300"/>
            </a:spcAft>
          </a:pPr>
          <a:endParaRPr lang="en-AU" sz="800" b="0" kern="1200">
            <a:solidFill>
              <a:schemeClr val="bg1"/>
            </a:solidFill>
            <a:latin typeface="Arial" pitchFamily="34" charset="0"/>
            <a:ea typeface="Verdana" pitchFamily="34" charset="0"/>
            <a:cs typeface="Arial" pitchFamily="34" charset="0"/>
          </a:endParaRPr>
        </a:p>
      </dsp:txBody>
      <dsp:txXfrm>
        <a:off x="4002088" y="1921502"/>
        <a:ext cx="13763" cy="13763"/>
      </dsp:txXfrm>
    </dsp:sp>
    <dsp:sp modelId="{524D9286-9A83-4A78-BB2D-4447F8AB778E}">
      <dsp:nvSpPr>
        <dsp:cNvPr id="0" name=""/>
        <dsp:cNvSpPr/>
      </dsp:nvSpPr>
      <dsp:spPr>
        <a:xfrm>
          <a:off x="4146600" y="1728470"/>
          <a:ext cx="1236749" cy="400831"/>
        </a:xfrm>
        <a:prstGeom prst="roundRect">
          <a:avLst>
            <a:gd name="adj" fmla="val 10000"/>
          </a:avLst>
        </a:prstGeom>
        <a:solidFill>
          <a:srgbClr val="004080"/>
        </a:solidFill>
        <a:ln w="9525" cap="flat" cmpd="sng" algn="ctr">
          <a:noFill/>
          <a:prstDash val="solid"/>
        </a:ln>
        <a:effectLst/>
      </dsp:spPr>
      <dsp:style>
        <a:lnRef idx="1">
          <a:schemeClr val="accent5"/>
        </a:lnRef>
        <a:fillRef idx="2">
          <a:schemeClr val="accent5"/>
        </a:fillRef>
        <a:effectRef idx="1">
          <a:schemeClr val="accent5"/>
        </a:effectRef>
        <a:fontRef idx="minor">
          <a:schemeClr val="dk1"/>
        </a:fontRef>
      </dsp:style>
      <dsp:txBody>
        <a:bodyPr spcFirstLastPara="0" vert="horz" wrap="square" lIns="5080" tIns="5080" rIns="5080" bIns="5080" numCol="1" spcCol="1270" anchor="ctr" anchorCtr="0">
          <a:noAutofit/>
        </a:bodyPr>
        <a:lstStyle/>
        <a:p>
          <a:pPr marL="108000" lvl="0" algn="l" defTabSz="355600">
            <a:lnSpc>
              <a:spcPct val="100000"/>
            </a:lnSpc>
            <a:spcBef>
              <a:spcPct val="0"/>
            </a:spcBef>
            <a:spcAft>
              <a:spcPts val="300"/>
            </a:spcAft>
          </a:pPr>
          <a:r>
            <a:rPr lang="en-AU" sz="800" b="0" kern="1200">
              <a:solidFill>
                <a:schemeClr val="bg1"/>
              </a:solidFill>
              <a:latin typeface="Arial" pitchFamily="34" charset="0"/>
              <a:ea typeface="Verdana" pitchFamily="34" charset="0"/>
              <a:cs typeface="Arial" pitchFamily="34" charset="0"/>
            </a:rPr>
            <a:t>• 1,439 beds</a:t>
          </a:r>
        </a:p>
        <a:p>
          <a:pPr marL="108000" lvl="0" algn="l" defTabSz="355600">
            <a:lnSpc>
              <a:spcPct val="100000"/>
            </a:lnSpc>
            <a:spcBef>
              <a:spcPct val="0"/>
            </a:spcBef>
            <a:spcAft>
              <a:spcPts val="300"/>
            </a:spcAft>
          </a:pPr>
          <a:r>
            <a:rPr lang="en-AU" sz="800" b="0" kern="1200">
              <a:solidFill>
                <a:schemeClr val="bg1"/>
              </a:solidFill>
              <a:latin typeface="Arial" pitchFamily="34" charset="0"/>
              <a:ea typeface="Verdana" pitchFamily="34" charset="0"/>
              <a:cs typeface="Arial" pitchFamily="34" charset="0"/>
            </a:rPr>
            <a:t>• 457,952 patient days</a:t>
          </a:r>
        </a:p>
      </dsp:txBody>
      <dsp:txXfrm>
        <a:off x="4158340" y="1740210"/>
        <a:ext cx="1213269" cy="377351"/>
      </dsp:txXfrm>
    </dsp:sp>
    <dsp:sp modelId="{23AA6F6F-4451-4B9E-94BE-4DA0A67FB001}">
      <dsp:nvSpPr>
        <dsp:cNvPr id="0" name=""/>
        <dsp:cNvSpPr/>
      </dsp:nvSpPr>
      <dsp:spPr>
        <a:xfrm rot="3116452">
          <a:off x="2341893" y="2346402"/>
          <a:ext cx="332690" cy="11865"/>
        </a:xfrm>
        <a:custGeom>
          <a:avLst/>
          <a:gdLst/>
          <a:ahLst/>
          <a:cxnLst/>
          <a:rect l="0" t="0" r="0" b="0"/>
          <a:pathLst>
            <a:path>
              <a:moveTo>
                <a:pt x="0" y="5932"/>
              </a:moveTo>
              <a:lnTo>
                <a:pt x="332690" y="5932"/>
              </a:lnTo>
            </a:path>
          </a:pathLst>
        </a:custGeom>
        <a:noFill/>
        <a:ln w="9525" cap="flat" cmpd="sng" algn="ctr">
          <a:solidFill>
            <a:srgbClr val="2F3490"/>
          </a:solidFill>
          <a:prstDash val="solid"/>
        </a:ln>
        <a:effectLst/>
      </dsp:spPr>
      <dsp:style>
        <a:lnRef idx="1">
          <a:schemeClr val="accent5"/>
        </a:lnRef>
        <a:fillRef idx="2">
          <a:schemeClr val="accent5"/>
        </a:fillRef>
        <a:effectRef idx="1">
          <a:schemeClr val="accent5"/>
        </a:effectRef>
        <a:fontRef idx="minor">
          <a:schemeClr val="dk1"/>
        </a:fontRef>
      </dsp:style>
      <dsp:txBody>
        <a:bodyPr spcFirstLastPara="0" vert="horz" wrap="square" lIns="12700" tIns="0" rIns="12700" bIns="0" numCol="1" spcCol="1270" anchor="ctr" anchorCtr="0">
          <a:noAutofit/>
        </a:bodyPr>
        <a:lstStyle/>
        <a:p>
          <a:pPr lvl="0" algn="ctr" defTabSz="355600">
            <a:lnSpc>
              <a:spcPct val="90000"/>
            </a:lnSpc>
            <a:spcBef>
              <a:spcPct val="0"/>
            </a:spcBef>
            <a:spcAft>
              <a:spcPts val="300"/>
            </a:spcAft>
          </a:pPr>
          <a:endParaRPr lang="en-AU" sz="800" b="0" kern="1200">
            <a:solidFill>
              <a:schemeClr val="bg1"/>
            </a:solidFill>
            <a:latin typeface="Arial" pitchFamily="34" charset="0"/>
            <a:ea typeface="Verdana" pitchFamily="34" charset="0"/>
            <a:cs typeface="Arial" pitchFamily="34" charset="0"/>
          </a:endParaRPr>
        </a:p>
      </dsp:txBody>
      <dsp:txXfrm>
        <a:off x="2499920" y="2344018"/>
        <a:ext cx="16634" cy="16634"/>
      </dsp:txXfrm>
    </dsp:sp>
    <dsp:sp modelId="{22662A54-FAC4-4736-AE9D-D116AB33706F}">
      <dsp:nvSpPr>
        <dsp:cNvPr id="0" name=""/>
        <dsp:cNvSpPr/>
      </dsp:nvSpPr>
      <dsp:spPr>
        <a:xfrm>
          <a:off x="2610785" y="2221359"/>
          <a:ext cx="1260553" cy="523904"/>
        </a:xfrm>
        <a:prstGeom prst="roundRect">
          <a:avLst>
            <a:gd name="adj" fmla="val 10000"/>
          </a:avLst>
        </a:prstGeom>
        <a:solidFill>
          <a:srgbClr val="004080"/>
        </a:solidFill>
        <a:ln w="9525" cap="flat" cmpd="sng" algn="ctr">
          <a:noFill/>
          <a:prstDash val="solid"/>
        </a:ln>
        <a:effectLst/>
      </dsp:spPr>
      <dsp:style>
        <a:lnRef idx="1">
          <a:schemeClr val="accent5"/>
        </a:lnRef>
        <a:fillRef idx="2">
          <a:schemeClr val="accent5"/>
        </a:fillRef>
        <a:effectRef idx="1">
          <a:schemeClr val="accent5"/>
        </a:effectRef>
        <a:fontRef idx="minor">
          <a:schemeClr val="dk1"/>
        </a:fontRef>
      </dsp:style>
      <dsp:txBody>
        <a:bodyPr spcFirstLastPara="0" vert="horz" wrap="square" lIns="5080" tIns="5080" rIns="5080" bIns="5080" numCol="1" spcCol="1270" anchor="ctr" anchorCtr="0">
          <a:noAutofit/>
        </a:bodyPr>
        <a:lstStyle/>
        <a:p>
          <a:pPr marL="72000" lvl="0" algn="l" defTabSz="355600">
            <a:lnSpc>
              <a:spcPct val="90000"/>
            </a:lnSpc>
            <a:spcBef>
              <a:spcPct val="0"/>
            </a:spcBef>
            <a:spcAft>
              <a:spcPts val="300"/>
            </a:spcAft>
          </a:pPr>
          <a:r>
            <a:rPr lang="en-AU" sz="800" b="0" kern="1200">
              <a:solidFill>
                <a:schemeClr val="bg1"/>
              </a:solidFill>
              <a:latin typeface="Arial" pitchFamily="34" charset="0"/>
              <a:ea typeface="Verdana" pitchFamily="34" charset="0"/>
              <a:cs typeface="Arial" pitchFamily="34" charset="0"/>
            </a:rPr>
            <a:t>Non-government funded</a:t>
          </a:r>
        </a:p>
        <a:p>
          <a:pPr marL="72000" lvl="0" algn="l" defTabSz="355600">
            <a:lnSpc>
              <a:spcPct val="90000"/>
            </a:lnSpc>
            <a:spcBef>
              <a:spcPct val="0"/>
            </a:spcBef>
            <a:spcAft>
              <a:spcPts val="300"/>
            </a:spcAft>
          </a:pPr>
          <a:r>
            <a:rPr lang="en-AU" sz="800" b="0" kern="1200">
              <a:solidFill>
                <a:schemeClr val="bg1"/>
              </a:solidFill>
              <a:latin typeface="Arial" pitchFamily="34" charset="0"/>
              <a:ea typeface="Verdana" pitchFamily="34" charset="0"/>
              <a:cs typeface="Arial" pitchFamily="34" charset="0"/>
            </a:rPr>
            <a:t>  • 84 services</a:t>
          </a:r>
        </a:p>
      </dsp:txBody>
      <dsp:txXfrm>
        <a:off x="2626130" y="2236704"/>
        <a:ext cx="1229863" cy="493214"/>
      </dsp:txXfrm>
    </dsp:sp>
    <dsp:sp modelId="{DCDCF289-2711-4D20-B5FF-2F87E2CF8D92}">
      <dsp:nvSpPr>
        <dsp:cNvPr id="0" name=""/>
        <dsp:cNvSpPr/>
      </dsp:nvSpPr>
      <dsp:spPr>
        <a:xfrm rot="12546">
          <a:off x="3871338" y="2477881"/>
          <a:ext cx="275263" cy="11865"/>
        </a:xfrm>
        <a:custGeom>
          <a:avLst/>
          <a:gdLst/>
          <a:ahLst/>
          <a:cxnLst/>
          <a:rect l="0" t="0" r="0" b="0"/>
          <a:pathLst>
            <a:path>
              <a:moveTo>
                <a:pt x="0" y="5932"/>
              </a:moveTo>
              <a:lnTo>
                <a:pt x="275263" y="5932"/>
              </a:lnTo>
            </a:path>
          </a:pathLst>
        </a:custGeom>
        <a:noFill/>
        <a:ln w="9525" cap="flat" cmpd="sng" algn="ctr">
          <a:solidFill>
            <a:srgbClr val="2F3490"/>
          </a:solidFill>
          <a:prstDash val="solid"/>
        </a:ln>
        <a:effectLst/>
      </dsp:spPr>
      <dsp:style>
        <a:lnRef idx="1">
          <a:schemeClr val="accent5"/>
        </a:lnRef>
        <a:fillRef idx="2">
          <a:schemeClr val="accent5"/>
        </a:fillRef>
        <a:effectRef idx="1">
          <a:schemeClr val="accent5"/>
        </a:effectRef>
        <a:fontRef idx="minor">
          <a:schemeClr val="dk1"/>
        </a:fontRef>
      </dsp:style>
      <dsp:txBody>
        <a:bodyPr spcFirstLastPara="0" vert="horz" wrap="square" lIns="12700" tIns="0" rIns="12700" bIns="0" numCol="1" spcCol="1270" anchor="ctr" anchorCtr="0">
          <a:noAutofit/>
        </a:bodyPr>
        <a:lstStyle/>
        <a:p>
          <a:pPr lvl="0" algn="ctr" defTabSz="355600">
            <a:lnSpc>
              <a:spcPct val="90000"/>
            </a:lnSpc>
            <a:spcBef>
              <a:spcPct val="0"/>
            </a:spcBef>
            <a:spcAft>
              <a:spcPts val="300"/>
            </a:spcAft>
          </a:pPr>
          <a:endParaRPr lang="en-AU" sz="800" b="0" kern="1200">
            <a:solidFill>
              <a:schemeClr val="bg1"/>
            </a:solidFill>
            <a:latin typeface="Arial" pitchFamily="34" charset="0"/>
            <a:ea typeface="Verdana" pitchFamily="34" charset="0"/>
            <a:cs typeface="Arial" pitchFamily="34" charset="0"/>
          </a:endParaRPr>
        </a:p>
      </dsp:txBody>
      <dsp:txXfrm>
        <a:off x="4002088" y="2476932"/>
        <a:ext cx="13763" cy="13763"/>
      </dsp:txXfrm>
    </dsp:sp>
    <dsp:sp modelId="{F87DB56E-EC04-4DBE-AB89-9E1954052CC2}">
      <dsp:nvSpPr>
        <dsp:cNvPr id="0" name=""/>
        <dsp:cNvSpPr/>
      </dsp:nvSpPr>
      <dsp:spPr>
        <a:xfrm>
          <a:off x="4146600" y="2283900"/>
          <a:ext cx="1237661" cy="400831"/>
        </a:xfrm>
        <a:prstGeom prst="roundRect">
          <a:avLst>
            <a:gd name="adj" fmla="val 10000"/>
          </a:avLst>
        </a:prstGeom>
        <a:solidFill>
          <a:srgbClr val="004080"/>
        </a:solidFill>
        <a:ln w="9525" cap="flat" cmpd="sng" algn="ctr">
          <a:noFill/>
          <a:prstDash val="solid"/>
        </a:ln>
        <a:effectLst/>
      </dsp:spPr>
      <dsp:style>
        <a:lnRef idx="1">
          <a:schemeClr val="accent5"/>
        </a:lnRef>
        <a:fillRef idx="2">
          <a:schemeClr val="accent5"/>
        </a:fillRef>
        <a:effectRef idx="1">
          <a:schemeClr val="accent5"/>
        </a:effectRef>
        <a:fontRef idx="minor">
          <a:schemeClr val="dk1"/>
        </a:fontRef>
      </dsp:style>
      <dsp:txBody>
        <a:bodyPr spcFirstLastPara="0" vert="horz" wrap="square" lIns="5080" tIns="5080" rIns="5080" bIns="5080" numCol="1" spcCol="1270" anchor="ctr" anchorCtr="0">
          <a:noAutofit/>
        </a:bodyPr>
        <a:lstStyle/>
        <a:p>
          <a:pPr marL="108000" lvl="0" algn="l" defTabSz="355600">
            <a:lnSpc>
              <a:spcPct val="100000"/>
            </a:lnSpc>
            <a:spcBef>
              <a:spcPct val="0"/>
            </a:spcBef>
            <a:spcAft>
              <a:spcPts val="300"/>
            </a:spcAft>
          </a:pPr>
          <a:r>
            <a:rPr lang="en-AU" sz="800" b="0" kern="1200">
              <a:solidFill>
                <a:schemeClr val="bg1"/>
              </a:solidFill>
              <a:latin typeface="Arial" pitchFamily="34" charset="0"/>
              <a:ea typeface="Verdana" pitchFamily="34" charset="0"/>
              <a:cs typeface="Arial" pitchFamily="34" charset="0"/>
            </a:rPr>
            <a:t>• 913 beds</a:t>
          </a:r>
        </a:p>
        <a:p>
          <a:pPr marL="108000" lvl="0" algn="l" defTabSz="355600">
            <a:lnSpc>
              <a:spcPct val="100000"/>
            </a:lnSpc>
            <a:spcBef>
              <a:spcPct val="0"/>
            </a:spcBef>
            <a:spcAft>
              <a:spcPts val="300"/>
            </a:spcAft>
          </a:pPr>
          <a:r>
            <a:rPr lang="en-AU" sz="800" b="0" kern="1200">
              <a:solidFill>
                <a:schemeClr val="bg1"/>
              </a:solidFill>
              <a:latin typeface="Arial" pitchFamily="34" charset="0"/>
              <a:ea typeface="Verdana" pitchFamily="34" charset="0"/>
              <a:cs typeface="Arial" pitchFamily="34" charset="0"/>
            </a:rPr>
            <a:t>• 293,977 patient days</a:t>
          </a:r>
        </a:p>
      </dsp:txBody>
      <dsp:txXfrm>
        <a:off x="4158340" y="2295640"/>
        <a:ext cx="1214181" cy="377351"/>
      </dsp:txXfrm>
    </dsp:sp>
    <dsp:sp modelId="{A363D5E1-F287-4726-9BC7-3B607F977D62}">
      <dsp:nvSpPr>
        <dsp:cNvPr id="0" name=""/>
        <dsp:cNvSpPr/>
      </dsp:nvSpPr>
      <dsp:spPr>
        <a:xfrm rot="4807297">
          <a:off x="589532" y="2363615"/>
          <a:ext cx="1185912" cy="11865"/>
        </a:xfrm>
        <a:custGeom>
          <a:avLst/>
          <a:gdLst/>
          <a:ahLst/>
          <a:cxnLst/>
          <a:rect l="0" t="0" r="0" b="0"/>
          <a:pathLst>
            <a:path>
              <a:moveTo>
                <a:pt x="0" y="5932"/>
              </a:moveTo>
              <a:lnTo>
                <a:pt x="1185912" y="5932"/>
              </a:lnTo>
            </a:path>
          </a:pathLst>
        </a:custGeom>
        <a:noFill/>
        <a:ln w="9525" cap="flat" cmpd="sng" algn="ctr">
          <a:solidFill>
            <a:srgbClr val="2F3490"/>
          </a:solidFill>
          <a:prstDash val="solid"/>
        </a:ln>
        <a:effectLst/>
      </dsp:spPr>
      <dsp:style>
        <a:lnRef idx="1">
          <a:schemeClr val="accent5"/>
        </a:lnRef>
        <a:fillRef idx="2">
          <a:schemeClr val="accent5"/>
        </a:fillRef>
        <a:effectRef idx="1">
          <a:schemeClr val="accent5"/>
        </a:effectRef>
        <a:fontRef idx="minor">
          <a:schemeClr val="dk1"/>
        </a:fontRef>
      </dsp:style>
      <dsp:txBody>
        <a:bodyPr spcFirstLastPara="0" vert="horz" wrap="square" lIns="12700" tIns="0" rIns="12700" bIns="0" numCol="1" spcCol="1270" anchor="ctr" anchorCtr="0">
          <a:noAutofit/>
        </a:bodyPr>
        <a:lstStyle/>
        <a:p>
          <a:pPr lvl="0" algn="ctr" defTabSz="355600">
            <a:lnSpc>
              <a:spcPct val="90000"/>
            </a:lnSpc>
            <a:spcBef>
              <a:spcPct val="0"/>
            </a:spcBef>
            <a:spcAft>
              <a:spcPts val="300"/>
            </a:spcAft>
          </a:pPr>
          <a:endParaRPr lang="en-AU" sz="800" b="0" kern="1200">
            <a:solidFill>
              <a:schemeClr val="bg1"/>
            </a:solidFill>
            <a:latin typeface="Arial" pitchFamily="34" charset="0"/>
            <a:ea typeface="Verdana" pitchFamily="34" charset="0"/>
            <a:cs typeface="Arial" pitchFamily="34" charset="0"/>
          </a:endParaRPr>
        </a:p>
      </dsp:txBody>
      <dsp:txXfrm>
        <a:off x="1152840" y="2339900"/>
        <a:ext cx="59295" cy="59295"/>
      </dsp:txXfrm>
    </dsp:sp>
    <dsp:sp modelId="{FA83D0FC-A047-4B60-95A0-650D3BDF1EDC}">
      <dsp:nvSpPr>
        <dsp:cNvPr id="0" name=""/>
        <dsp:cNvSpPr/>
      </dsp:nvSpPr>
      <dsp:spPr>
        <a:xfrm>
          <a:off x="1284214" y="2719091"/>
          <a:ext cx="1121476" cy="469243"/>
        </a:xfrm>
        <a:prstGeom prst="roundRect">
          <a:avLst>
            <a:gd name="adj" fmla="val 10000"/>
          </a:avLst>
        </a:prstGeom>
        <a:solidFill>
          <a:srgbClr val="004080"/>
        </a:solidFill>
        <a:ln w="9525" cap="flat" cmpd="sng" algn="ctr">
          <a:noFill/>
          <a:prstDash val="solid"/>
        </a:ln>
        <a:effectLst/>
      </dsp:spPr>
      <dsp:style>
        <a:lnRef idx="1">
          <a:schemeClr val="accent5"/>
        </a:lnRef>
        <a:fillRef idx="2">
          <a:schemeClr val="accent5"/>
        </a:fillRef>
        <a:effectRef idx="1">
          <a:schemeClr val="accent5"/>
        </a:effectRef>
        <a:fontRef idx="minor">
          <a:schemeClr val="dk1"/>
        </a:fontRef>
      </dsp:style>
      <dsp:txBody>
        <a:bodyPr spcFirstLastPara="0" vert="horz" wrap="square" lIns="5080" tIns="5080" rIns="5080" bIns="5080" numCol="1" spcCol="1270" anchor="ctr" anchorCtr="0">
          <a:noAutofit/>
        </a:bodyPr>
        <a:lstStyle/>
        <a:p>
          <a:pPr marL="72000" lvl="0" algn="l" defTabSz="355600">
            <a:lnSpc>
              <a:spcPct val="90000"/>
            </a:lnSpc>
            <a:spcBef>
              <a:spcPct val="0"/>
            </a:spcBef>
            <a:spcAft>
              <a:spcPts val="300"/>
            </a:spcAft>
          </a:pPr>
          <a:r>
            <a:rPr lang="en-AU" sz="800" b="0" kern="1200">
              <a:solidFill>
                <a:schemeClr val="bg1"/>
              </a:solidFill>
              <a:latin typeface="Arial" pitchFamily="34" charset="0"/>
              <a:ea typeface="Verdana" pitchFamily="34" charset="0"/>
              <a:cs typeface="Arial" pitchFamily="34" charset="0"/>
            </a:rPr>
            <a:t>Community mental health care services</a:t>
          </a:r>
        </a:p>
        <a:p>
          <a:pPr marL="72000" lvl="0" algn="l" defTabSz="355600">
            <a:lnSpc>
              <a:spcPct val="90000"/>
            </a:lnSpc>
            <a:spcBef>
              <a:spcPct val="0"/>
            </a:spcBef>
            <a:spcAft>
              <a:spcPts val="300"/>
            </a:spcAft>
          </a:pPr>
          <a:r>
            <a:rPr lang="en-AU" sz="800" b="0" kern="1200">
              <a:solidFill>
                <a:schemeClr val="bg1"/>
              </a:solidFill>
              <a:latin typeface="Arial" pitchFamily="34" charset="0"/>
              <a:ea typeface="Verdana" pitchFamily="34" charset="0"/>
              <a:cs typeface="Arial" pitchFamily="34" charset="0"/>
            </a:rPr>
            <a:t>  • 1,133 services</a:t>
          </a:r>
        </a:p>
      </dsp:txBody>
      <dsp:txXfrm>
        <a:off x="1297958" y="2732835"/>
        <a:ext cx="1093988" cy="441755"/>
      </dsp:txXfrm>
    </dsp:sp>
    <dsp:sp modelId="{5AB38B4A-BC37-44E3-96B5-5E8B9EF0EDE6}">
      <dsp:nvSpPr>
        <dsp:cNvPr id="0" name=""/>
        <dsp:cNvSpPr/>
      </dsp:nvSpPr>
      <dsp:spPr>
        <a:xfrm rot="21598017">
          <a:off x="2405690" y="2947278"/>
          <a:ext cx="1740910" cy="11865"/>
        </a:xfrm>
        <a:custGeom>
          <a:avLst/>
          <a:gdLst/>
          <a:ahLst/>
          <a:cxnLst/>
          <a:rect l="0" t="0" r="0" b="0"/>
          <a:pathLst>
            <a:path>
              <a:moveTo>
                <a:pt x="0" y="5932"/>
              </a:moveTo>
              <a:lnTo>
                <a:pt x="1740910" y="5932"/>
              </a:lnTo>
            </a:path>
          </a:pathLst>
        </a:custGeom>
        <a:noFill/>
        <a:ln w="9525" cap="flat" cmpd="sng" algn="ctr">
          <a:solidFill>
            <a:srgbClr val="2F3490"/>
          </a:solidFill>
          <a:prstDash val="solid"/>
        </a:ln>
        <a:effectLst/>
      </dsp:spPr>
      <dsp:style>
        <a:lnRef idx="1">
          <a:schemeClr val="accent5"/>
        </a:lnRef>
        <a:fillRef idx="2">
          <a:schemeClr val="accent5"/>
        </a:fillRef>
        <a:effectRef idx="1">
          <a:schemeClr val="accent5"/>
        </a:effectRef>
        <a:fontRef idx="minor">
          <a:schemeClr val="dk1"/>
        </a:fontRef>
      </dsp:style>
      <dsp:txBody>
        <a:bodyPr spcFirstLastPara="0" vert="horz" wrap="square" lIns="12700" tIns="0" rIns="12700" bIns="0" numCol="1" spcCol="1270" anchor="ctr" anchorCtr="0">
          <a:noAutofit/>
        </a:bodyPr>
        <a:lstStyle/>
        <a:p>
          <a:pPr lvl="0" algn="ctr" defTabSz="355600">
            <a:lnSpc>
              <a:spcPct val="90000"/>
            </a:lnSpc>
            <a:spcBef>
              <a:spcPct val="0"/>
            </a:spcBef>
            <a:spcAft>
              <a:spcPts val="300"/>
            </a:spcAft>
          </a:pPr>
          <a:endParaRPr lang="en-AU" sz="800" b="0" kern="1200">
            <a:solidFill>
              <a:schemeClr val="bg1"/>
            </a:solidFill>
            <a:latin typeface="Arial" pitchFamily="34" charset="0"/>
            <a:ea typeface="Verdana" pitchFamily="34" charset="0"/>
            <a:cs typeface="Arial" pitchFamily="34" charset="0"/>
          </a:endParaRPr>
        </a:p>
      </dsp:txBody>
      <dsp:txXfrm>
        <a:off x="3232623" y="2909688"/>
        <a:ext cx="87045" cy="87045"/>
      </dsp:txXfrm>
    </dsp:sp>
    <dsp:sp modelId="{CA0C6CAD-AD6D-455C-9D60-B3CB46DB4932}">
      <dsp:nvSpPr>
        <dsp:cNvPr id="0" name=""/>
        <dsp:cNvSpPr/>
      </dsp:nvSpPr>
      <dsp:spPr>
        <a:xfrm>
          <a:off x="4146600" y="2779701"/>
          <a:ext cx="1233323" cy="346015"/>
        </a:xfrm>
        <a:prstGeom prst="roundRect">
          <a:avLst>
            <a:gd name="adj" fmla="val 10000"/>
          </a:avLst>
        </a:prstGeom>
        <a:solidFill>
          <a:srgbClr val="004080"/>
        </a:solidFill>
        <a:ln w="9525" cap="flat" cmpd="sng" algn="ctr">
          <a:noFill/>
          <a:prstDash val="solid"/>
        </a:ln>
        <a:effectLst/>
      </dsp:spPr>
      <dsp:style>
        <a:lnRef idx="1">
          <a:schemeClr val="accent5"/>
        </a:lnRef>
        <a:fillRef idx="2">
          <a:schemeClr val="accent5"/>
        </a:fillRef>
        <a:effectRef idx="1">
          <a:schemeClr val="accent5"/>
        </a:effectRef>
        <a:fontRef idx="minor">
          <a:schemeClr val="dk1"/>
        </a:fontRef>
      </dsp:style>
      <dsp:txBody>
        <a:bodyPr spcFirstLastPara="0" vert="horz" wrap="square" lIns="5080" tIns="5080" rIns="5080" bIns="5080" numCol="1" spcCol="1270" anchor="ctr" anchorCtr="0">
          <a:noAutofit/>
        </a:bodyPr>
        <a:lstStyle/>
        <a:p>
          <a:pPr marL="108000" lvl="0" algn="l" defTabSz="355600">
            <a:lnSpc>
              <a:spcPct val="100000"/>
            </a:lnSpc>
            <a:spcBef>
              <a:spcPct val="0"/>
            </a:spcBef>
            <a:spcAft>
              <a:spcPts val="300"/>
            </a:spcAft>
          </a:pPr>
          <a:r>
            <a:rPr lang="en-AU" sz="800" b="0" kern="1200">
              <a:solidFill>
                <a:schemeClr val="bg1"/>
              </a:solidFill>
              <a:latin typeface="Arial" pitchFamily="34" charset="0"/>
              <a:ea typeface="Verdana" pitchFamily="34" charset="0"/>
              <a:cs typeface="Arial" pitchFamily="34" charset="0"/>
            </a:rPr>
            <a:t>• 5.5 million patient contacts</a:t>
          </a:r>
        </a:p>
      </dsp:txBody>
      <dsp:txXfrm>
        <a:off x="4156734" y="2789835"/>
        <a:ext cx="1213055" cy="325747"/>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5">
  <dgm:title val=""/>
  <dgm:desc val=""/>
  <dgm:catLst>
    <dgm:cat type="hierarchy" pri="6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resOf/>
    <dgm:shape xmlns:r="http://schemas.openxmlformats.org/officeDocument/2006/relationships" r:blip="">
      <dgm:adjLst/>
    </dgm:shape>
    <dgm:choose name="Name0">
      <dgm:if name="Name1" axis="ch" ptType="node" func="cnt" op="gte" val="2">
        <dgm:choose name="Name2">
          <dgm:if name="Name3" func="var" arg="dir" op="equ" val="norm">
            <dgm:constrLst>
              <dgm:constr type="l" for="ch" forName="hierFlow"/>
              <dgm:constr type="t" for="ch" forName="hierFlow" refType="h" fact="0.3"/>
              <dgm:constr type="r" for="ch" forName="hierFlow" refType="w" fact="0.98"/>
              <dgm:constr type="b" for="ch" forName="hierFlow" refType="h" fact="0.96"/>
              <dgm:constr type="l" for="ch" forName="bgShapesFlow"/>
              <dgm:constr type="t" for="ch" forName="bgShapesFlow"/>
              <dgm:constr type="r" for="ch" forName="bgShapesFlow" refType="w"/>
              <dgm:constr type="b" for="ch" forName="bgShapesFlow" refType="h"/>
              <dgm:constr type="h" for="des" forName="level1Shape" refType="h"/>
              <dgm:constr type="w" for="des" forName="level1Shape" refType="h" refFor="des" refForName="level1Shape" fact="2"/>
              <dgm:constr type="w" for="des" forName="level2Shape" refType="w" refFor="des" refForName="level1Shape" op="equ"/>
              <dgm:constr type="h" for="des" forName="level2Shape" refType="h" refFor="des" refForName="level1Shape" op="equ"/>
              <dgm:constr type="sp" for="des" refType="w" refFor="des" refForName="level1Shape" op="equ" fact="0.4"/>
              <dgm:constr type="sibSp" for="des" forName="hierChild1" refType="h" refFor="des" refForName="level1Shape" op="equ" fact="0.15"/>
              <dgm:constr type="sibSp" for="des" forName="hierChild2" refType="sibSp" refFor="des" refForName="hierChild1" op="equ"/>
              <dgm:constr type="sibSp" for="des" forName="hierChild3" refType="sibSp" refFor="des" refForName="hierChild1" op="equ"/>
              <dgm:constr type="userA" for="des" refType="w" refFor="des" refForName="level1Shape" op="equ"/>
              <dgm:constr type="userB" for="des" refType="sp" refFor="des" op="equ"/>
              <dgm:constr type="w" for="des" forName="firstBuf" refType="w" refFor="des" refForName="level1Shape" fact="0.1"/>
            </dgm:constrLst>
          </dgm:if>
          <dgm:else name="Name4">
            <dgm:constrLst>
              <dgm:constr type="l" for="ch" forName="hierFlow" refType="w" fact="0.02"/>
              <dgm:constr type="t" for="ch" forName="hierFlow" refType="h" fact="0.3"/>
              <dgm:constr type="r" for="ch" forName="hierFlow" refType="w"/>
              <dgm:constr type="b" for="ch" forName="hierFlow" refType="h" fact="0.96"/>
              <dgm:constr type="l" for="ch" forName="bgShapesFlow"/>
              <dgm:constr type="t" for="ch" forName="bgShapesFlow"/>
              <dgm:constr type="r" for="ch" forName="bgShapesFlow" refType="w"/>
              <dgm:constr type="b" for="ch" forName="bgShapesFlow" refType="h"/>
              <dgm:constr type="h" for="des" forName="level1Shape" refType="h"/>
              <dgm:constr type="w" for="des" forName="level1Shape" refType="h" refFor="des" refForName="level1Shape" fact="2"/>
              <dgm:constr type="w" for="des" forName="level2Shape" refType="w" refFor="des" refForName="level1Shape" op="equ"/>
              <dgm:constr type="h" for="des" forName="level2Shape" refType="h" refFor="des" refForName="level1Shape" op="equ"/>
              <dgm:constr type="sp" for="des" refType="w" refFor="des" refForName="level1Shape" op="equ" fact="0.4"/>
              <dgm:constr type="sibSp" for="des" forName="hierChild1" refType="h" refFor="des" refForName="level1Shape" op="equ" fact="0.15"/>
              <dgm:constr type="sibSp" for="des" forName="hierChild2" refType="sibSp" refFor="des" refForName="hierChild1" op="equ"/>
              <dgm:constr type="sibSp" for="des" forName="hierChild3" refType="sibSp" refFor="des" refForName="hierChild1" op="equ"/>
              <dgm:constr type="userA" for="des" refType="w" refFor="des" refForName="level1Shape" op="equ"/>
              <dgm:constr type="userB" for="des" refType="sp" refFor="des" op="equ"/>
              <dgm:constr type="w" for="des" forName="firstBuf" refType="w"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h" for="des" forName="level1Shape" refType="h"/>
          <dgm:constr type="w" for="des" forName="level1Shape" refType="h" refFor="des" refForName="level1Shape" fact="2"/>
          <dgm:constr type="w" for="des" forName="level2Shape" refType="w" refFor="des" refForName="level1Shape" op="equ"/>
          <dgm:constr type="h" for="des" forName="level2Shape" refType="h" refFor="des" refForName="level1Shape" op="equ"/>
          <dgm:constr type="sp" for="des" refType="w" refFor="des" refForName="level1Shape" op="equ" fact="0.4"/>
          <dgm:constr type="sibSp" for="des" forName="hierChild1" refType="h" refFor="des" refForName="level1Shape" op="equ" fact="0.15"/>
          <dgm:constr type="sibSp" for="des" forName="hierChild2" refType="sibSp" refFor="des" refForName="hierChild1" op="equ"/>
          <dgm:constr type="sibSp" for="des" forName="hierChild3" refType="sibSp" refFor="des" refForName="hierChild1" op="equ"/>
          <dgm:constr type="userA" for="des" refType="w" refFor="des" refForName="level1Shape" op="equ"/>
          <dgm:constr type="userB" for="des" refType="sp" refFor="des" op="equ"/>
          <dgm:constr type="w" for="des" forName="firstBuf" refType="w" refFor="des" refForName="level1Shape" fact="0.1"/>
        </dgm:constrLst>
      </dgm:else>
    </dgm:choose>
    <dgm:ruleLst/>
    <dgm:layoutNode name="hierFlow">
      <dgm:choose name="Name6">
        <dgm:if name="Name7" func="var" arg="dir" op="equ" val="norm">
          <dgm:alg type="lin">
            <dgm:param type="linDir" val="fromL"/>
            <dgm:param type="nodeVertAlign" val="mid"/>
            <dgm:param type="vertAlign" val="mid"/>
            <dgm:param type="nodeHorzAlign" val="l"/>
            <dgm:param type="horzAlign" val="l"/>
            <dgm:param type="fallback" val="2D"/>
          </dgm:alg>
        </dgm:if>
        <dgm:else name="Name8">
          <dgm:alg type="lin">
            <dgm:param type="linDir" val="fromR"/>
            <dgm:param type="nodeVertAlign" val="mid"/>
            <dgm:param type="vertAlign" val="mid"/>
            <dgm:param type="nodeHorzAlign" val="r"/>
            <dgm:param type="horzAlign" val="r"/>
            <dgm:param type="fallback" val="2D"/>
          </dgm:alg>
        </dgm:else>
      </dgm:choose>
      <dgm:shape xmlns:r="http://schemas.openxmlformats.org/officeDocument/2006/relationships" r:blip="">
        <dgm:adjLst/>
      </dgm:shape>
      <dgm:presOf/>
      <dgm:constrLst>
        <dgm:constr type="primFontSz" for="des" ptType="node" op="equ" val="65"/>
        <dgm:constr type="primFontSz" for="des" forName="connTx" op="equ" val="55"/>
        <dgm:constr type="primFontSz" for="des" forName="connTx" refType="primFontSz" refFor="des" refPtType="node" op="lte" fact="0.8"/>
      </dgm:constrLst>
      <dgm:ruleLst/>
      <dgm:choose name="Name9">
        <dgm:if name="Name10" axis="ch" ptType="node" func="cnt" op="gte" val="2">
          <dgm:layoutNode name="firstBuf">
            <dgm:alg type="sp"/>
            <dgm:shape xmlns:r="http://schemas.openxmlformats.org/officeDocument/2006/relationships" r:blip="">
              <dgm:adjLst/>
            </dgm:shape>
            <dgm:presOf/>
            <dgm:constrLst/>
            <dgm:ruleLst/>
          </dgm:layoutNode>
        </dgm:if>
        <dgm:else name="Name11"/>
      </dgm:choose>
      <dgm:layoutNode name="hierChild1">
        <dgm:varLst>
          <dgm:chPref val="1"/>
          <dgm:animOne val="branch"/>
          <dgm:animLvl val="lvl"/>
        </dgm:varLst>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constrLst/>
        <dgm:ruleLst/>
        <dgm:forEach name="Name15" axis="ch" cnt="3">
          <dgm:forEach name="Name16" axis="self" ptType="node">
            <dgm:layoutNode name="Name17">
              <dgm:choose name="Name18">
                <dgm:if name="Name19" func="var" arg="dir" op="equ" val="norm">
                  <dgm:alg type="hierRoot">
                    <dgm:param type="hierAlign" val="lCtrCh"/>
                  </dgm:alg>
                </dgm:if>
                <dgm:else name="Name20">
                  <dgm:alg type="hierRoot">
                    <dgm:param type="hierAlign" val="rCtrCh"/>
                  </dgm:alg>
                </dgm:else>
              </dgm:choose>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hierChild2">
                <dgm:choose name="Name21">
                  <dgm:if name="Name22" func="var" arg="dir" op="equ" val="norm">
                    <dgm:alg type="hierChild">
                      <dgm:param type="linDir" val="fromT"/>
                      <dgm:param type="chAlign" val="l"/>
                    </dgm:alg>
                  </dgm:if>
                  <dgm:else name="Name23">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24" axis="self" ptType="parTrans" cnt="1">
                    <dgm:layoutNode name="Name25">
                      <dgm:choose name="Name26">
                        <dgm:if name="Name27" func="var" arg="dir" op="equ" val="norm">
                          <dgm:alg type="conn">
                            <dgm:param type="dim" val="1D"/>
                            <dgm:param type="begPts" val="midR"/>
                            <dgm:param type="endPts" val="midL"/>
                            <dgm:param type="endSty" val="noArr"/>
                          </dgm:alg>
                        </dgm:if>
                        <dgm:else name="Name28">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29" axis="self" ptType="node">
                    <dgm:layoutNode name="Name30">
                      <dgm:choose name="Name31">
                        <dgm:if name="Name32" func="var" arg="dir" op="equ" val="norm">
                          <dgm:alg type="hierRoot">
                            <dgm:param type="hierAlign" val="lCtrCh"/>
                          </dgm:alg>
                        </dgm:if>
                        <dgm:else name="Name33">
                          <dgm:alg type="hierRoot">
                            <dgm:param type="hierAlign" val="rCtrCh"/>
                          </dgm:alg>
                        </dgm:else>
                      </dgm:choose>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hierChild3">
                        <dgm:choose name="Name34">
                          <dgm:if name="Name35" func="var" arg="dir" op="equ" val="norm">
                            <dgm:alg type="hierChild">
                              <dgm:param type="linDir" val="fromT"/>
                              <dgm:param type="chAlign" val="l"/>
                            </dgm:alg>
                          </dgm:if>
                          <dgm:else name="Name36">
                            <dgm:alg type="hierChild">
                              <dgm:param type="linDir" val="fromT"/>
                              <dgm:param type="chAlign" val="r"/>
                            </dgm:alg>
                          </dgm:else>
                        </dgm:choose>
                        <dgm:shape xmlns:r="http://schemas.openxmlformats.org/officeDocument/2006/relationships" r:blip="">
                          <dgm:adjLst/>
                        </dgm:shape>
                        <dgm:presOf/>
                        <dgm:constrLst/>
                        <dgm:ruleLst/>
                        <dgm:forEach name="Name37" ref="repeat"/>
                      </dgm:layoutNode>
                    </dgm:layoutNode>
                  </dgm:forEach>
                </dgm:forEach>
              </dgm:layoutNode>
            </dgm:layoutNode>
          </dgm:forEach>
        </dgm:forEach>
      </dgm:layoutNode>
    </dgm:layoutNode>
    <dgm:layoutNode name="bgShapesFlow">
      <dgm:choose name="Name38">
        <dgm:if name="Name39" func="var" arg="dir" op="equ" val="norm">
          <dgm:alg type="lin">
            <dgm:param type="linDir" val="fromL"/>
            <dgm:param type="nodeVertAlign" val="mid"/>
            <dgm:param type="vertAlign" val="mid"/>
            <dgm:param type="nodeHorzAlign" val="l"/>
            <dgm:param type="horzAlign" val="l"/>
          </dgm:alg>
        </dgm:if>
        <dgm:else name="Name40">
          <dgm:alg type="lin">
            <dgm:param type="linDir" val="fromR"/>
            <dgm:param type="nodeVertAlign" val="mid"/>
            <dgm:param type="vertAlign" val="mid"/>
            <dgm:param type="nodeHorzAlign" val="r"/>
            <dgm:param type="horzAlign" val="r"/>
          </dgm:alg>
        </dgm:else>
      </dgm:choose>
      <dgm:shape xmlns:r="http://schemas.openxmlformats.org/officeDocument/2006/relationships" r:blip="">
        <dgm:adjLst/>
      </dgm:shape>
      <dgm:presOf/>
      <dgm:constrLst>
        <dgm:constr type="w" for="ch" forName="rectComp" refType="w"/>
        <dgm:constr type="h" for="ch" forName="rectComp" refType="h"/>
        <dgm:constr type="h" for="des" forName="bgRect" refType="h"/>
        <dgm:constr type="primFontSz" for="des" forName="bgRectTx" op="equ" val="65"/>
      </dgm:constrLst>
      <dgm:ruleLst/>
      <dgm:forEach name="Name41" axis="ch" ptType="node" st="2">
        <dgm:layoutNode name="rectComp">
          <dgm:alg type="composite"/>
          <dgm:shape xmlns:r="http://schemas.openxmlformats.org/officeDocument/2006/relationships" r:blip="">
            <dgm:adjLst/>
          </dgm:shape>
          <dgm:presOf/>
          <dgm:constrLst>
            <dgm:constr type="userA"/>
            <dgm:constr type="l" for="ch" forName="bgRect"/>
            <dgm:constr type="t" for="ch" forName="bgRect"/>
            <dgm:constr type="w" for="ch" forName="bgRect" refType="userA" fact="1.2"/>
            <dgm:constr type="l" for="ch" forName="bgRectTx"/>
            <dgm:constr type="t" for="ch" forName="bgRectTx"/>
            <dgm:constr type="h" for="ch" forName="bgRectTx" refType="h" refFor="ch" refForName="bgRect" fact="0.3"/>
            <dgm:constr type="w" for="ch" forName="bgRectTx" refType="w" refFor="ch" refForName="bgRect" op="equ"/>
          </dgm:constrLst>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shape xmlns:r="http://schemas.openxmlformats.org/officeDocument/2006/relationships" type="rect" r:blip="" zOrderOff="-999" hideGeom="1">
              <dgm:adjLst/>
            </dgm:shape>
            <dgm:presOf axis="desOrSelf" ptType="node"/>
            <dgm:constrLst/>
            <dgm:ruleLst>
              <dgm:rule type="primFontSz" val="5" fact="NaN" max="NaN"/>
            </dgm:ruleLst>
          </dgm:layoutNode>
        </dgm:layoutNode>
        <dgm:choose name="Name42">
          <dgm:if name="Name43" axis="self" ptType="node" func="revPos" op="gte" val="2">
            <dgm:layoutNode name="spComp">
              <dgm:alg type="composite"/>
              <dgm:shape xmlns:r="http://schemas.openxmlformats.org/officeDocument/2006/relationships" r:blip="">
                <dgm:adjLst/>
              </dgm:shape>
              <dgm:presOf/>
              <dgm:constrLst>
                <dgm:constr type="userA"/>
                <dgm:constr type="userB"/>
                <dgm:constr type="l" for="ch" forName="hSp"/>
                <dgm:constr type="t" for="ch" forName="hSp"/>
                <dgm:constr type="w" for="ch" forName="hSp" refType="userB"/>
                <dgm:constr type="wOff" for="ch" forName="hSp" refType="userA" fact="-0.2"/>
              </dgm:constrLst>
              <dgm:ruleLst/>
              <dgm:layoutNode name="hSp">
                <dgm:alg type="sp"/>
                <dgm:shape xmlns:r="http://schemas.openxmlformats.org/officeDocument/2006/relationships" r:blip="">
                  <dgm:adjLst/>
                </dgm:shape>
                <dgm:presOf/>
                <dgm:constrLst/>
                <dgm:ruleLst/>
              </dgm:layoutNode>
            </dgm:layoutNode>
          </dgm:if>
          <dgm:else name="Name44"/>
        </dgm:choos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rawings/drawing1.xml><?xml version="1.0" encoding="utf-8"?>
<c:userShapes xmlns:c="http://schemas.openxmlformats.org/drawingml/2006/chart">
  <cdr:relSizeAnchor xmlns:cdr="http://schemas.openxmlformats.org/drawingml/2006/chartDrawing">
    <cdr:from>
      <cdr:x>0.01504</cdr:x>
      <cdr:y>0.84821</cdr:y>
    </cdr:from>
    <cdr:to>
      <cdr:x>0.98647</cdr:x>
      <cdr:y>0.99405</cdr:y>
    </cdr:to>
    <cdr:sp macro="" textlink="">
      <cdr:nvSpPr>
        <cdr:cNvPr id="2" name="TextBox 1"/>
        <cdr:cNvSpPr txBox="1"/>
      </cdr:nvSpPr>
      <cdr:spPr>
        <a:xfrm xmlns:a="http://schemas.openxmlformats.org/drawingml/2006/main">
          <a:off x="95250" y="2714625"/>
          <a:ext cx="6153150" cy="46672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en-AU" sz="1050" b="1"/>
        </a:p>
      </cdr:txBody>
    </cdr:sp>
  </cdr:relSizeAnchor>
</c:userShapes>
</file>

<file path=word/drawings/drawing10.xml><?xml version="1.0" encoding="utf-8"?>
<c:userShapes xmlns:c="http://schemas.openxmlformats.org/drawingml/2006/chart">
  <cdr:relSizeAnchor xmlns:cdr="http://schemas.openxmlformats.org/drawingml/2006/chartDrawing">
    <cdr:from>
      <cdr:x>0.01504</cdr:x>
      <cdr:y>0.84821</cdr:y>
    </cdr:from>
    <cdr:to>
      <cdr:x>0.98647</cdr:x>
      <cdr:y>0.99405</cdr:y>
    </cdr:to>
    <cdr:sp macro="" textlink="">
      <cdr:nvSpPr>
        <cdr:cNvPr id="2" name="TextBox 1"/>
        <cdr:cNvSpPr txBox="1"/>
      </cdr:nvSpPr>
      <cdr:spPr>
        <a:xfrm xmlns:a="http://schemas.openxmlformats.org/drawingml/2006/main">
          <a:off x="95250" y="2714625"/>
          <a:ext cx="6153150" cy="46672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en-AU" sz="1050" b="1"/>
        </a:p>
      </cdr:txBody>
    </cdr:sp>
  </cdr:relSizeAnchor>
</c:userShapes>
</file>

<file path=word/drawings/drawing11.xml><?xml version="1.0" encoding="utf-8"?>
<c:userShapes xmlns:c="http://schemas.openxmlformats.org/drawingml/2006/chart">
  <cdr:relSizeAnchor xmlns:cdr="http://schemas.openxmlformats.org/drawingml/2006/chartDrawing">
    <cdr:from>
      <cdr:x>0.01504</cdr:x>
      <cdr:y>0.84821</cdr:y>
    </cdr:from>
    <cdr:to>
      <cdr:x>0.98647</cdr:x>
      <cdr:y>0.99405</cdr:y>
    </cdr:to>
    <cdr:sp macro="" textlink="">
      <cdr:nvSpPr>
        <cdr:cNvPr id="2" name="TextBox 1"/>
        <cdr:cNvSpPr txBox="1"/>
      </cdr:nvSpPr>
      <cdr:spPr>
        <a:xfrm xmlns:a="http://schemas.openxmlformats.org/drawingml/2006/main">
          <a:off x="95250" y="2714625"/>
          <a:ext cx="6153150" cy="46672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en-AU" sz="1050" b="1"/>
        </a:p>
      </cdr:txBody>
    </cdr:sp>
  </cdr:relSizeAnchor>
  <cdr:relSizeAnchor xmlns:cdr="http://schemas.openxmlformats.org/drawingml/2006/chartDrawing">
    <cdr:from>
      <cdr:x>0.01504</cdr:x>
      <cdr:y>0.84821</cdr:y>
    </cdr:from>
    <cdr:to>
      <cdr:x>0.98647</cdr:x>
      <cdr:y>0.99405</cdr:y>
    </cdr:to>
    <cdr:sp macro="" textlink="">
      <cdr:nvSpPr>
        <cdr:cNvPr id="3" name="TextBox 1"/>
        <cdr:cNvSpPr txBox="1"/>
      </cdr:nvSpPr>
      <cdr:spPr>
        <a:xfrm xmlns:a="http://schemas.openxmlformats.org/drawingml/2006/main">
          <a:off x="95250" y="2714625"/>
          <a:ext cx="6153150" cy="46672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en-AU" sz="1050" b="1"/>
        </a:p>
      </cdr:txBody>
    </cdr:sp>
  </cdr:relSizeAnchor>
</c:userShapes>
</file>

<file path=word/drawings/drawing2.xml><?xml version="1.0" encoding="utf-8"?>
<c:userShapes xmlns:c="http://schemas.openxmlformats.org/drawingml/2006/chart">
  <cdr:relSizeAnchor xmlns:cdr="http://schemas.openxmlformats.org/drawingml/2006/chartDrawing">
    <cdr:from>
      <cdr:x>0.01504</cdr:x>
      <cdr:y>0.84821</cdr:y>
    </cdr:from>
    <cdr:to>
      <cdr:x>0.98647</cdr:x>
      <cdr:y>0.99405</cdr:y>
    </cdr:to>
    <cdr:sp macro="" textlink="">
      <cdr:nvSpPr>
        <cdr:cNvPr id="2" name="TextBox 1"/>
        <cdr:cNvSpPr txBox="1"/>
      </cdr:nvSpPr>
      <cdr:spPr>
        <a:xfrm xmlns:a="http://schemas.openxmlformats.org/drawingml/2006/main">
          <a:off x="95250" y="2714625"/>
          <a:ext cx="6153150" cy="46672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en-AU"/>
        </a:p>
      </cdr:txBody>
    </cdr:sp>
  </cdr:relSizeAnchor>
  <cdr:relSizeAnchor xmlns:cdr="http://schemas.openxmlformats.org/drawingml/2006/chartDrawing">
    <cdr:from>
      <cdr:x>0.01504</cdr:x>
      <cdr:y>0.84821</cdr:y>
    </cdr:from>
    <cdr:to>
      <cdr:x>0.98647</cdr:x>
      <cdr:y>0.99405</cdr:y>
    </cdr:to>
    <cdr:sp macro="" textlink="">
      <cdr:nvSpPr>
        <cdr:cNvPr id="3" name="TextBox 1"/>
        <cdr:cNvSpPr txBox="1"/>
      </cdr:nvSpPr>
      <cdr:spPr>
        <a:xfrm xmlns:a="http://schemas.openxmlformats.org/drawingml/2006/main">
          <a:off x="95250" y="2714625"/>
          <a:ext cx="6153150" cy="46672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en-AU" sz="1050" b="1"/>
        </a:p>
      </cdr:txBody>
    </cdr:sp>
  </cdr:relSizeAnchor>
</c:userShapes>
</file>

<file path=word/drawings/drawing3.xml><?xml version="1.0" encoding="utf-8"?>
<c:userShapes xmlns:c="http://schemas.openxmlformats.org/drawingml/2006/chart">
  <cdr:relSizeAnchor xmlns:cdr="http://schemas.openxmlformats.org/drawingml/2006/chartDrawing">
    <cdr:from>
      <cdr:x>0.00555</cdr:x>
      <cdr:y>0.86202</cdr:y>
    </cdr:from>
    <cdr:to>
      <cdr:x>1</cdr:x>
      <cdr:y>1</cdr:y>
    </cdr:to>
    <cdr:sp macro="" textlink="">
      <cdr:nvSpPr>
        <cdr:cNvPr id="2" name="TextBox 1"/>
        <cdr:cNvSpPr txBox="1"/>
      </cdr:nvSpPr>
      <cdr:spPr>
        <a:xfrm xmlns:a="http://schemas.openxmlformats.org/drawingml/2006/main">
          <a:off x="30686" y="2630714"/>
          <a:ext cx="5498259" cy="421096"/>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AU" sz="800" b="0">
              <a:effectLst/>
              <a:latin typeface="Calibri"/>
              <a:ea typeface="+mn-ea"/>
              <a:cs typeface="Calibri"/>
            </a:rPr>
            <a:t>Source:</a:t>
          </a:r>
          <a:r>
            <a:rPr lang="en-AU" sz="800" b="0" baseline="0">
              <a:effectLst/>
              <a:latin typeface="Calibri"/>
              <a:ea typeface="+mn-ea"/>
              <a:cs typeface="Calibri"/>
            </a:rPr>
            <a:t> </a:t>
          </a:r>
          <a:r>
            <a:rPr lang="en-AU" sz="800" b="0">
              <a:effectLst/>
              <a:latin typeface="Calibri"/>
              <a:ea typeface="+mn-ea"/>
              <a:cs typeface="Calibri"/>
            </a:rPr>
            <a:t>MHS KPI</a:t>
          </a:r>
          <a:r>
            <a:rPr lang="en-AU" sz="800" b="0" baseline="0">
              <a:effectLst/>
              <a:latin typeface="Calibri"/>
              <a:ea typeface="+mn-ea"/>
              <a:cs typeface="Calibri"/>
            </a:rPr>
            <a:t> 2</a:t>
          </a:r>
          <a:endParaRPr lang="en-AU" sz="800" b="0">
            <a:latin typeface="Calibri"/>
            <a:cs typeface="Calibri"/>
          </a:endParaRPr>
        </a:p>
      </cdr:txBody>
    </cdr:sp>
  </cdr:relSizeAnchor>
</c:userShapes>
</file>

<file path=word/drawings/drawing4.xml><?xml version="1.0" encoding="utf-8"?>
<c:userShapes xmlns:c="http://schemas.openxmlformats.org/drawingml/2006/chart">
  <cdr:relSizeAnchor xmlns:cdr="http://schemas.openxmlformats.org/drawingml/2006/chartDrawing">
    <cdr:from>
      <cdr:x>0.00975</cdr:x>
      <cdr:y>0.83103</cdr:y>
    </cdr:from>
    <cdr:to>
      <cdr:x>1</cdr:x>
      <cdr:y>1</cdr:y>
    </cdr:to>
    <cdr:sp macro="" textlink="">
      <cdr:nvSpPr>
        <cdr:cNvPr id="2" name="TextBox 1"/>
        <cdr:cNvSpPr txBox="1"/>
      </cdr:nvSpPr>
      <cdr:spPr>
        <a:xfrm xmlns:a="http://schemas.openxmlformats.org/drawingml/2006/main">
          <a:off x="53412" y="3046227"/>
          <a:ext cx="5424733" cy="619324"/>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AU" sz="800" b="0">
              <a:effectLst/>
              <a:latin typeface="Calibri"/>
              <a:ea typeface="+mn-ea"/>
              <a:cs typeface="Calibri"/>
            </a:rPr>
            <a:t>Source:</a:t>
          </a:r>
          <a:r>
            <a:rPr lang="en-AU" sz="800" b="0" baseline="0">
              <a:effectLst/>
              <a:latin typeface="Calibri"/>
              <a:ea typeface="+mn-ea"/>
              <a:cs typeface="Calibri"/>
            </a:rPr>
            <a:t> </a:t>
          </a:r>
          <a:r>
            <a:rPr lang="en-AU" sz="800" b="0">
              <a:effectLst/>
              <a:latin typeface="Calibri"/>
              <a:ea typeface="+mn-ea"/>
              <a:cs typeface="Calibri"/>
            </a:rPr>
            <a:t>MHS KPI 12</a:t>
          </a:r>
        </a:p>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endParaRPr lang="en-AU" sz="800" b="0">
            <a:effectLst/>
            <a:latin typeface="Calibri"/>
            <a:ea typeface="+mn-ea"/>
            <a:cs typeface="Calibri"/>
          </a:endParaRPr>
        </a:p>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AU" sz="800" b="0">
              <a:effectLst/>
              <a:latin typeface="Calibri"/>
              <a:ea typeface="+mn-ea"/>
              <a:cs typeface="Calibri"/>
            </a:rPr>
            <a:t>Note:</a:t>
          </a:r>
          <a:r>
            <a:rPr lang="en-AU" sz="800" b="0" baseline="0">
              <a:effectLst/>
              <a:latin typeface="Calibri"/>
              <a:ea typeface="+mn-ea"/>
              <a:cs typeface="Calibri"/>
            </a:rPr>
            <a:t> Data are not available for Victoria in 2011–12 due to service level gaps resulting from protected industrial action.</a:t>
          </a:r>
          <a:endParaRPr lang="en-AU" sz="800" b="0">
            <a:latin typeface="Calibri"/>
            <a:cs typeface="Calibri"/>
          </a:endParaRPr>
        </a:p>
      </cdr:txBody>
    </cdr:sp>
  </cdr:relSizeAnchor>
</c:userShapes>
</file>

<file path=word/drawings/drawing5.xml><?xml version="1.0" encoding="utf-8"?>
<c:userShapes xmlns:c="http://schemas.openxmlformats.org/drawingml/2006/chart">
  <cdr:relSizeAnchor xmlns:cdr="http://schemas.openxmlformats.org/drawingml/2006/chartDrawing">
    <cdr:from>
      <cdr:x>0.01504</cdr:x>
      <cdr:y>0.84821</cdr:y>
    </cdr:from>
    <cdr:to>
      <cdr:x>0.98647</cdr:x>
      <cdr:y>0.99405</cdr:y>
    </cdr:to>
    <cdr:sp macro="" textlink="">
      <cdr:nvSpPr>
        <cdr:cNvPr id="2" name="TextBox 1"/>
        <cdr:cNvSpPr txBox="1"/>
      </cdr:nvSpPr>
      <cdr:spPr>
        <a:xfrm xmlns:a="http://schemas.openxmlformats.org/drawingml/2006/main">
          <a:off x="95250" y="2714625"/>
          <a:ext cx="6153150" cy="46672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en-AU" sz="1050" b="1"/>
        </a:p>
      </cdr:txBody>
    </cdr:sp>
  </cdr:relSizeAnchor>
</c:userShapes>
</file>

<file path=word/drawings/drawing6.xml><?xml version="1.0" encoding="utf-8"?>
<c:userShapes xmlns:c="http://schemas.openxmlformats.org/drawingml/2006/chart">
  <cdr:relSizeAnchor xmlns:cdr="http://schemas.openxmlformats.org/drawingml/2006/chartDrawing">
    <cdr:from>
      <cdr:x>0.01587</cdr:x>
      <cdr:y>0.84821</cdr:y>
    </cdr:from>
    <cdr:to>
      <cdr:x>0.98647</cdr:x>
      <cdr:y>0.97897</cdr:y>
    </cdr:to>
    <cdr:sp macro="" textlink="">
      <cdr:nvSpPr>
        <cdr:cNvPr id="2" name="TextBox 1"/>
        <cdr:cNvSpPr txBox="1"/>
      </cdr:nvSpPr>
      <cdr:spPr>
        <a:xfrm xmlns:a="http://schemas.openxmlformats.org/drawingml/2006/main">
          <a:off x="86628" y="2777090"/>
          <a:ext cx="5296726" cy="428123"/>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en-AU" sz="1050" b="1"/>
        </a:p>
      </cdr:txBody>
    </cdr:sp>
  </cdr:relSizeAnchor>
</c:userShapes>
</file>

<file path=word/drawings/drawing7.xml><?xml version="1.0" encoding="utf-8"?>
<c:userShapes xmlns:c="http://schemas.openxmlformats.org/drawingml/2006/chart">
  <cdr:relSizeAnchor xmlns:cdr="http://schemas.openxmlformats.org/drawingml/2006/chartDrawing">
    <cdr:from>
      <cdr:x>0.01504</cdr:x>
      <cdr:y>0.84821</cdr:y>
    </cdr:from>
    <cdr:to>
      <cdr:x>0.98647</cdr:x>
      <cdr:y>0.99405</cdr:y>
    </cdr:to>
    <cdr:sp macro="" textlink="">
      <cdr:nvSpPr>
        <cdr:cNvPr id="2" name="TextBox 1"/>
        <cdr:cNvSpPr txBox="1"/>
      </cdr:nvSpPr>
      <cdr:spPr>
        <a:xfrm xmlns:a="http://schemas.openxmlformats.org/drawingml/2006/main">
          <a:off x="95250" y="2714625"/>
          <a:ext cx="6153150" cy="46672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en-AU" sz="1050" b="1"/>
        </a:p>
      </cdr:txBody>
    </cdr:sp>
  </cdr:relSizeAnchor>
</c:userShapes>
</file>

<file path=word/drawings/drawing8.xml><?xml version="1.0" encoding="utf-8"?>
<c:userShapes xmlns:c="http://schemas.openxmlformats.org/drawingml/2006/chart">
  <cdr:relSizeAnchor xmlns:cdr="http://schemas.openxmlformats.org/drawingml/2006/chartDrawing">
    <cdr:from>
      <cdr:x>0.01504</cdr:x>
      <cdr:y>0.84821</cdr:y>
    </cdr:from>
    <cdr:to>
      <cdr:x>0.98647</cdr:x>
      <cdr:y>0.99405</cdr:y>
    </cdr:to>
    <cdr:sp macro="" textlink="">
      <cdr:nvSpPr>
        <cdr:cNvPr id="2" name="TextBox 1"/>
        <cdr:cNvSpPr txBox="1"/>
      </cdr:nvSpPr>
      <cdr:spPr>
        <a:xfrm xmlns:a="http://schemas.openxmlformats.org/drawingml/2006/main">
          <a:off x="95250" y="2714625"/>
          <a:ext cx="6153150" cy="46672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en-AU" sz="1050" b="1"/>
        </a:p>
      </cdr:txBody>
    </cdr:sp>
  </cdr:relSizeAnchor>
</c:userShapes>
</file>

<file path=word/drawings/drawing9.xml><?xml version="1.0" encoding="utf-8"?>
<c:userShapes xmlns:c="http://schemas.openxmlformats.org/drawingml/2006/chart">
  <cdr:relSizeAnchor xmlns:cdr="http://schemas.openxmlformats.org/drawingml/2006/chartDrawing">
    <cdr:from>
      <cdr:x>0.01504</cdr:x>
      <cdr:y>0.84821</cdr:y>
    </cdr:from>
    <cdr:to>
      <cdr:x>0.98647</cdr:x>
      <cdr:y>0.99405</cdr:y>
    </cdr:to>
    <cdr:sp macro="" textlink="">
      <cdr:nvSpPr>
        <cdr:cNvPr id="2" name="TextBox 1"/>
        <cdr:cNvSpPr txBox="1"/>
      </cdr:nvSpPr>
      <cdr:spPr>
        <a:xfrm xmlns:a="http://schemas.openxmlformats.org/drawingml/2006/main">
          <a:off x="95250" y="2714625"/>
          <a:ext cx="6153150" cy="46672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en-AU" sz="1050" b="1"/>
        </a:p>
      </cdr:txBody>
    </cdr:sp>
  </cdr:relSizeAnchor>
  <cdr:relSizeAnchor xmlns:cdr="http://schemas.openxmlformats.org/drawingml/2006/chartDrawing">
    <cdr:from>
      <cdr:x>0.06516</cdr:x>
      <cdr:y>0.80498</cdr:y>
    </cdr:from>
    <cdr:to>
      <cdr:x>0.13032</cdr:x>
      <cdr:y>0.88944</cdr:y>
    </cdr:to>
    <cdr:sp macro="" textlink="">
      <cdr:nvSpPr>
        <cdr:cNvPr id="3" name="Text Box 2"/>
        <cdr:cNvSpPr txBox="1"/>
      </cdr:nvSpPr>
      <cdr:spPr>
        <a:xfrm xmlns:a="http://schemas.openxmlformats.org/drawingml/2006/main">
          <a:off x="371192" y="2761306"/>
          <a:ext cx="371192" cy="289711"/>
        </a:xfrm>
        <a:prstGeom xmlns:a="http://schemas.openxmlformats.org/drawingml/2006/main" prst="rect">
          <a:avLst/>
        </a:prstGeom>
        <a:solidFill xmlns:a="http://schemas.openxmlformats.org/drawingml/2006/main">
          <a:schemeClr val="bg1"/>
        </a:solidFill>
        <a:ln xmlns:a="http://schemas.openxmlformats.org/drawingml/2006/main">
          <a:solidFill>
            <a:schemeClr val="bg1"/>
          </a:solidFill>
        </a:ln>
        <a:extLst xmlns:a="http://schemas.openxmlformats.org/drawingml/2006/main">
          <a:ext uri="{C572A759-6A51-4108-AA02-DFA0A04FC94B}">
            <ma14:wrappingTextBoxFlag xmlns="" xmlns:ma14="http://schemas.microsoft.com/office/mac/drawingml/2011/main"/>
          </a:ext>
        </a:extLst>
      </cdr:spPr>
      <cdr:style>
        <a:lnRef xmlns:a="http://schemas.openxmlformats.org/drawingml/2006/main" idx="2">
          <a:schemeClr val="accent1"/>
        </a:lnRef>
        <a:fillRef xmlns:a="http://schemas.openxmlformats.org/drawingml/2006/main" idx="1">
          <a:schemeClr val="lt1"/>
        </a:fillRef>
        <a:effectRef xmlns:a="http://schemas.openxmlformats.org/drawingml/2006/main" idx="0">
          <a:schemeClr val="accent1"/>
        </a:effectRef>
        <a:fontRef xmlns:a="http://schemas.openxmlformats.org/drawingml/2006/main" idx="minor">
          <a:schemeClr val="dk1"/>
        </a:fontRef>
      </cdr:style>
      <cdr:txBody>
        <a:bodyPr xmlns:a="http://schemas.openxmlformats.org/drawingml/2006/main" rot="0" spcFirstLastPara="0" vertOverflow="clip" horzOverflow="overflow" vert="horz" wrap="square" lIns="108000" tIns="45720" rIns="91440" bIns="45720" numCol="1" spcCol="0" rtlCol="0" fromWordArt="0" anchor="ctr" anchorCtr="0" forceAA="0" compatLnSpc="1">
          <a:prstTxWarp prst="textNoShape">
            <a:avLst/>
          </a:prstTxWarp>
          <a:noAutofit/>
        </a:bodyPr>
        <a:lstStyle xmlns:a="http://schemas.openxmlformats.org/drawingml/2006/main"/>
        <a:p xmlns:a="http://schemas.openxmlformats.org/drawingml/2006/main">
          <a:endParaRPr lang="en-AU" sz="1100"/>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TotalTime>4</TotalTime>
  <Pages>16</Pages>
  <Words>2324</Words>
  <Characters>13922</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Dept Health And Ageing</Company>
  <LinksUpToDate>false</LinksUpToDate>
  <CharactersWithSpaces>16214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Abbott</dc:creator>
  <cp:lastModifiedBy>Howse David</cp:lastModifiedBy>
  <cp:revision>4</cp:revision>
  <cp:lastPrinted>2015-03-16T04:23:00Z</cp:lastPrinted>
  <dcterms:created xsi:type="dcterms:W3CDTF">2015-03-25T06:36:00Z</dcterms:created>
  <dcterms:modified xsi:type="dcterms:W3CDTF">2015-03-26T02:47:00Z</dcterms:modified>
</cp:coreProperties>
</file>