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4A39" w14:textId="479D79A7" w:rsidR="006C2369" w:rsidRPr="00D80974" w:rsidRDefault="00D80974" w:rsidP="00BF6D29">
      <w:pPr>
        <w:pStyle w:val="Heading1"/>
        <w:spacing w:after="0"/>
        <w:rPr>
          <w:sz w:val="72"/>
          <w:szCs w:val="72"/>
        </w:rPr>
      </w:pPr>
      <w:bookmarkStart w:id="0" w:name="_Toc214456743"/>
      <w:bookmarkStart w:id="1" w:name="_Toc214464809"/>
      <w:bookmarkStart w:id="2" w:name="_Toc214889308"/>
      <w:r w:rsidRPr="00D80974">
        <w:rPr>
          <w:noProof/>
          <w:sz w:val="72"/>
          <w:szCs w:val="72"/>
          <w14:ligatures w14:val="standardContextual"/>
        </w:rPr>
        <w:drawing>
          <wp:anchor distT="0" distB="0" distL="114300" distR="114300" simplePos="0" relativeHeight="251658240" behindDoc="1" locked="0" layoutInCell="1" allowOverlap="1" wp14:anchorId="7F50D1FB" wp14:editId="5A6BE4CD">
            <wp:simplePos x="0" y="0"/>
            <wp:positionH relativeFrom="column">
              <wp:posOffset>-930032</wp:posOffset>
            </wp:positionH>
            <wp:positionV relativeFrom="page">
              <wp:posOffset>-15631</wp:posOffset>
            </wp:positionV>
            <wp:extent cx="7588739" cy="10726472"/>
            <wp:effectExtent l="0" t="0" r="6350" b="5080"/>
            <wp:wrapNone/>
            <wp:docPr id="452459597" name="Picture 6" descr="A white logo on a bei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59597" name="Picture 6" descr="A white logo on a beig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4682" cy="10777277"/>
                    </a:xfrm>
                    <a:prstGeom prst="rect">
                      <a:avLst/>
                    </a:prstGeom>
                  </pic:spPr>
                </pic:pic>
              </a:graphicData>
            </a:graphic>
            <wp14:sizeRelH relativeFrom="page">
              <wp14:pctWidth>0</wp14:pctWidth>
            </wp14:sizeRelH>
            <wp14:sizeRelV relativeFrom="page">
              <wp14:pctHeight>0</wp14:pctHeight>
            </wp14:sizeRelV>
          </wp:anchor>
        </w:drawing>
      </w:r>
      <w:r w:rsidR="006C2369" w:rsidRPr="00D80974">
        <w:rPr>
          <w:sz w:val="72"/>
          <w:szCs w:val="72"/>
        </w:rPr>
        <w:t>National Suicide Prevention Outcomes Framework</w:t>
      </w:r>
      <w:bookmarkEnd w:id="0"/>
      <w:bookmarkEnd w:id="1"/>
      <w:bookmarkEnd w:id="2"/>
    </w:p>
    <w:p w14:paraId="48CF4C17" w14:textId="62CFE128" w:rsidR="006C2369" w:rsidRPr="00D80974" w:rsidRDefault="006C2369" w:rsidP="00BF6D29">
      <w:pPr>
        <w:pStyle w:val="Heading1"/>
        <w:spacing w:before="0"/>
        <w:rPr>
          <w:b w:val="0"/>
          <w:bCs w:val="0"/>
          <w:sz w:val="72"/>
          <w:szCs w:val="72"/>
        </w:rPr>
      </w:pPr>
      <w:bookmarkStart w:id="3" w:name="_Toc214456744"/>
      <w:bookmarkStart w:id="4" w:name="_Toc214464810"/>
      <w:bookmarkStart w:id="5" w:name="_Toc214889309"/>
      <w:r w:rsidRPr="00D80974">
        <w:rPr>
          <w:b w:val="0"/>
          <w:bCs w:val="0"/>
          <w:sz w:val="72"/>
          <w:szCs w:val="72"/>
        </w:rPr>
        <w:t>O</w:t>
      </w:r>
      <w:bookmarkEnd w:id="3"/>
      <w:r w:rsidR="00D83BF2" w:rsidRPr="00D80974">
        <w:rPr>
          <w:b w:val="0"/>
          <w:bCs w:val="0"/>
          <w:sz w:val="72"/>
          <w:szCs w:val="72"/>
        </w:rPr>
        <w:t>utcomes and Indicators</w:t>
      </w:r>
      <w:bookmarkEnd w:id="4"/>
      <w:bookmarkEnd w:id="5"/>
    </w:p>
    <w:p w14:paraId="4FAC6A36" w14:textId="77B4F226" w:rsidR="000E5508" w:rsidRPr="000E5508" w:rsidRDefault="00567E51" w:rsidP="000E5508">
      <w:pPr>
        <w:pStyle w:val="Heading2"/>
      </w:pPr>
      <w:r w:rsidRPr="00D80974">
        <w:br w:type="page"/>
      </w:r>
      <w:bookmarkStart w:id="6" w:name="_Toc214456747"/>
      <w:bookmarkStart w:id="7" w:name="_Toc214464811"/>
      <w:bookmarkStart w:id="8" w:name="_Toc214889310"/>
      <w:r w:rsidR="006C20A6" w:rsidRPr="00D80974">
        <w:lastRenderedPageBreak/>
        <w:t>Contents</w:t>
      </w:r>
      <w:bookmarkEnd w:id="6"/>
      <w:bookmarkEnd w:id="7"/>
      <w:bookmarkEnd w:id="8"/>
      <w:r w:rsidR="006C20A6" w:rsidRPr="00D80974">
        <w:rPr>
          <w:rFonts w:eastAsiaTheme="minorHAnsi"/>
          <w:noProof/>
          <w:kern w:val="2"/>
          <w:szCs w:val="21"/>
          <w:lang w:eastAsia="en-US"/>
          <w14:ligatures w14:val="standardContextual"/>
        </w:rPr>
        <w:fldChar w:fldCharType="begin"/>
      </w:r>
      <w:r w:rsidR="006C20A6" w:rsidRPr="00D80974">
        <w:instrText xml:space="preserve"> TOC \o "1-2" \h \z \u </w:instrText>
      </w:r>
      <w:r w:rsidR="006C20A6" w:rsidRPr="00D80974">
        <w:rPr>
          <w:rFonts w:eastAsiaTheme="minorHAnsi"/>
          <w:noProof/>
          <w:kern w:val="2"/>
          <w:szCs w:val="21"/>
          <w:lang w:eastAsia="en-US"/>
          <w14:ligatures w14:val="standardContextual"/>
        </w:rPr>
        <w:fldChar w:fldCharType="separate"/>
      </w:r>
    </w:p>
    <w:p w14:paraId="2473745B" w14:textId="40ED61AD" w:rsidR="000E5508" w:rsidRDefault="000E5508" w:rsidP="000E5508">
      <w:pPr>
        <w:pStyle w:val="TOC2"/>
        <w:tabs>
          <w:tab w:val="right" w:leader="dot" w:pos="9016"/>
        </w:tabs>
        <w:ind w:left="0"/>
        <w:rPr>
          <w:rFonts w:asciiTheme="minorHAnsi" w:eastAsiaTheme="minorEastAsia" w:hAnsiTheme="minorHAnsi"/>
          <w:noProof/>
          <w:sz w:val="24"/>
          <w:lang w:eastAsia="en-GB"/>
        </w:rPr>
      </w:pPr>
      <w:hyperlink w:anchor="_Toc214889311" w:history="1">
        <w:r w:rsidRPr="00051D44">
          <w:rPr>
            <w:rStyle w:val="Hyperlink"/>
            <w:noProof/>
          </w:rPr>
          <w:t>Suicide Prevention Goals and Outcomes</w:t>
        </w:r>
        <w:r>
          <w:rPr>
            <w:noProof/>
            <w:webHidden/>
          </w:rPr>
          <w:tab/>
        </w:r>
        <w:r>
          <w:rPr>
            <w:noProof/>
            <w:webHidden/>
          </w:rPr>
          <w:fldChar w:fldCharType="begin"/>
        </w:r>
        <w:r>
          <w:rPr>
            <w:noProof/>
            <w:webHidden/>
          </w:rPr>
          <w:instrText xml:space="preserve"> PAGEREF _Toc214889311 \h </w:instrText>
        </w:r>
        <w:r>
          <w:rPr>
            <w:noProof/>
            <w:webHidden/>
          </w:rPr>
        </w:r>
        <w:r>
          <w:rPr>
            <w:noProof/>
            <w:webHidden/>
          </w:rPr>
          <w:fldChar w:fldCharType="separate"/>
        </w:r>
        <w:r>
          <w:rPr>
            <w:noProof/>
            <w:webHidden/>
          </w:rPr>
          <w:t>3</w:t>
        </w:r>
        <w:r>
          <w:rPr>
            <w:noProof/>
            <w:webHidden/>
          </w:rPr>
          <w:fldChar w:fldCharType="end"/>
        </w:r>
      </w:hyperlink>
    </w:p>
    <w:p w14:paraId="7C439F9F" w14:textId="509D0245" w:rsidR="000E5508" w:rsidRDefault="000E5508" w:rsidP="000E5508">
      <w:pPr>
        <w:pStyle w:val="TOC2"/>
        <w:tabs>
          <w:tab w:val="right" w:leader="dot" w:pos="9016"/>
        </w:tabs>
        <w:ind w:left="0"/>
        <w:rPr>
          <w:rFonts w:asciiTheme="minorHAnsi" w:eastAsiaTheme="minorEastAsia" w:hAnsiTheme="minorHAnsi"/>
          <w:noProof/>
          <w:sz w:val="24"/>
          <w:lang w:eastAsia="en-GB"/>
        </w:rPr>
      </w:pPr>
      <w:hyperlink w:anchor="_Toc214889312" w:history="1">
        <w:r w:rsidRPr="00051D44">
          <w:rPr>
            <w:rStyle w:val="Hyperlink"/>
            <w:noProof/>
          </w:rPr>
          <w:t>Suicide Prevention Goals</w:t>
        </w:r>
        <w:r>
          <w:rPr>
            <w:noProof/>
            <w:webHidden/>
          </w:rPr>
          <w:tab/>
        </w:r>
        <w:r>
          <w:rPr>
            <w:noProof/>
            <w:webHidden/>
          </w:rPr>
          <w:fldChar w:fldCharType="begin"/>
        </w:r>
        <w:r>
          <w:rPr>
            <w:noProof/>
            <w:webHidden/>
          </w:rPr>
          <w:instrText xml:space="preserve"> PAGEREF _Toc214889312 \h </w:instrText>
        </w:r>
        <w:r>
          <w:rPr>
            <w:noProof/>
            <w:webHidden/>
          </w:rPr>
        </w:r>
        <w:r>
          <w:rPr>
            <w:noProof/>
            <w:webHidden/>
          </w:rPr>
          <w:fldChar w:fldCharType="separate"/>
        </w:r>
        <w:r>
          <w:rPr>
            <w:noProof/>
            <w:webHidden/>
          </w:rPr>
          <w:t>5</w:t>
        </w:r>
        <w:r>
          <w:rPr>
            <w:noProof/>
            <w:webHidden/>
          </w:rPr>
          <w:fldChar w:fldCharType="end"/>
        </w:r>
      </w:hyperlink>
    </w:p>
    <w:p w14:paraId="494F8B6D" w14:textId="1A9BB401" w:rsidR="000E5508" w:rsidRDefault="000E5508" w:rsidP="000E5508">
      <w:pPr>
        <w:pStyle w:val="TOC2"/>
        <w:tabs>
          <w:tab w:val="right" w:leader="dot" w:pos="9016"/>
        </w:tabs>
        <w:ind w:left="0"/>
        <w:rPr>
          <w:rFonts w:asciiTheme="minorHAnsi" w:eastAsiaTheme="minorEastAsia" w:hAnsiTheme="minorHAnsi"/>
          <w:noProof/>
          <w:sz w:val="24"/>
          <w:lang w:eastAsia="en-GB"/>
        </w:rPr>
      </w:pPr>
      <w:hyperlink w:anchor="_Toc214889313" w:history="1">
        <w:r w:rsidRPr="00051D44">
          <w:rPr>
            <w:rStyle w:val="Hyperlink"/>
            <w:noProof/>
          </w:rPr>
          <w:t>Suicide Prevention Goals and Indicators</w:t>
        </w:r>
        <w:r>
          <w:rPr>
            <w:noProof/>
            <w:webHidden/>
          </w:rPr>
          <w:tab/>
        </w:r>
        <w:r>
          <w:rPr>
            <w:noProof/>
            <w:webHidden/>
          </w:rPr>
          <w:fldChar w:fldCharType="begin"/>
        </w:r>
        <w:r>
          <w:rPr>
            <w:noProof/>
            <w:webHidden/>
          </w:rPr>
          <w:instrText xml:space="preserve"> PAGEREF _Toc214889313 \h </w:instrText>
        </w:r>
        <w:r>
          <w:rPr>
            <w:noProof/>
            <w:webHidden/>
          </w:rPr>
        </w:r>
        <w:r>
          <w:rPr>
            <w:noProof/>
            <w:webHidden/>
          </w:rPr>
          <w:fldChar w:fldCharType="separate"/>
        </w:r>
        <w:r>
          <w:rPr>
            <w:noProof/>
            <w:webHidden/>
          </w:rPr>
          <w:t>5</w:t>
        </w:r>
        <w:r>
          <w:rPr>
            <w:noProof/>
            <w:webHidden/>
          </w:rPr>
          <w:fldChar w:fldCharType="end"/>
        </w:r>
      </w:hyperlink>
    </w:p>
    <w:p w14:paraId="0BA4A766" w14:textId="7BEA2A7F" w:rsidR="000E5508" w:rsidRDefault="000E5508" w:rsidP="000E5508">
      <w:pPr>
        <w:pStyle w:val="TOC2"/>
        <w:tabs>
          <w:tab w:val="right" w:leader="dot" w:pos="9016"/>
        </w:tabs>
        <w:ind w:left="0"/>
        <w:rPr>
          <w:rFonts w:asciiTheme="minorHAnsi" w:eastAsiaTheme="minorEastAsia" w:hAnsiTheme="minorHAnsi"/>
          <w:noProof/>
          <w:sz w:val="24"/>
          <w:lang w:eastAsia="en-GB"/>
        </w:rPr>
      </w:pPr>
      <w:hyperlink w:anchor="_Toc214889314" w:history="1">
        <w:r w:rsidRPr="00051D44">
          <w:rPr>
            <w:rStyle w:val="Hyperlink"/>
            <w:noProof/>
          </w:rPr>
          <w:t>Prevention Outcomes</w:t>
        </w:r>
        <w:r>
          <w:rPr>
            <w:noProof/>
            <w:webHidden/>
          </w:rPr>
          <w:tab/>
        </w:r>
        <w:r>
          <w:rPr>
            <w:noProof/>
            <w:webHidden/>
          </w:rPr>
          <w:fldChar w:fldCharType="begin"/>
        </w:r>
        <w:r>
          <w:rPr>
            <w:noProof/>
            <w:webHidden/>
          </w:rPr>
          <w:instrText xml:space="preserve"> PAGEREF _Toc214889314 \h </w:instrText>
        </w:r>
        <w:r>
          <w:rPr>
            <w:noProof/>
            <w:webHidden/>
          </w:rPr>
        </w:r>
        <w:r>
          <w:rPr>
            <w:noProof/>
            <w:webHidden/>
          </w:rPr>
          <w:fldChar w:fldCharType="separate"/>
        </w:r>
        <w:r>
          <w:rPr>
            <w:noProof/>
            <w:webHidden/>
          </w:rPr>
          <w:t>7</w:t>
        </w:r>
        <w:r>
          <w:rPr>
            <w:noProof/>
            <w:webHidden/>
          </w:rPr>
          <w:fldChar w:fldCharType="end"/>
        </w:r>
      </w:hyperlink>
    </w:p>
    <w:p w14:paraId="46B69C84" w14:textId="397075DA" w:rsidR="000E5508" w:rsidRDefault="000E5508" w:rsidP="000E5508">
      <w:pPr>
        <w:pStyle w:val="TOC2"/>
        <w:tabs>
          <w:tab w:val="right" w:leader="dot" w:pos="9016"/>
        </w:tabs>
        <w:ind w:left="0"/>
        <w:rPr>
          <w:rFonts w:asciiTheme="minorHAnsi" w:eastAsiaTheme="minorEastAsia" w:hAnsiTheme="minorHAnsi"/>
          <w:noProof/>
          <w:sz w:val="24"/>
          <w:lang w:eastAsia="en-GB"/>
        </w:rPr>
      </w:pPr>
      <w:hyperlink w:anchor="_Toc214889315" w:history="1">
        <w:r w:rsidRPr="00051D44">
          <w:rPr>
            <w:rStyle w:val="Hyperlink"/>
            <w:noProof/>
          </w:rPr>
          <w:t>Support Outcomes</w:t>
        </w:r>
        <w:r>
          <w:rPr>
            <w:noProof/>
            <w:webHidden/>
          </w:rPr>
          <w:tab/>
        </w:r>
        <w:r>
          <w:rPr>
            <w:noProof/>
            <w:webHidden/>
          </w:rPr>
          <w:fldChar w:fldCharType="begin"/>
        </w:r>
        <w:r>
          <w:rPr>
            <w:noProof/>
            <w:webHidden/>
          </w:rPr>
          <w:instrText xml:space="preserve"> PAGEREF _Toc214889315 \h </w:instrText>
        </w:r>
        <w:r>
          <w:rPr>
            <w:noProof/>
            <w:webHidden/>
          </w:rPr>
        </w:r>
        <w:r>
          <w:rPr>
            <w:noProof/>
            <w:webHidden/>
          </w:rPr>
          <w:fldChar w:fldCharType="separate"/>
        </w:r>
        <w:r>
          <w:rPr>
            <w:noProof/>
            <w:webHidden/>
          </w:rPr>
          <w:t>11</w:t>
        </w:r>
        <w:r>
          <w:rPr>
            <w:noProof/>
            <w:webHidden/>
          </w:rPr>
          <w:fldChar w:fldCharType="end"/>
        </w:r>
      </w:hyperlink>
    </w:p>
    <w:p w14:paraId="669F5116" w14:textId="26A93CF4" w:rsidR="000E5508" w:rsidRDefault="000E5508" w:rsidP="000E5508">
      <w:pPr>
        <w:pStyle w:val="TOC2"/>
        <w:tabs>
          <w:tab w:val="right" w:leader="dot" w:pos="9016"/>
        </w:tabs>
        <w:ind w:left="0"/>
        <w:rPr>
          <w:rFonts w:asciiTheme="minorHAnsi" w:eastAsiaTheme="minorEastAsia" w:hAnsiTheme="minorHAnsi"/>
          <w:noProof/>
          <w:sz w:val="24"/>
          <w:lang w:eastAsia="en-GB"/>
        </w:rPr>
      </w:pPr>
      <w:hyperlink w:anchor="_Toc214889316" w:history="1">
        <w:r w:rsidRPr="00051D44">
          <w:rPr>
            <w:rStyle w:val="Hyperlink"/>
            <w:noProof/>
          </w:rPr>
          <w:t>Critical enablers Outcomes</w:t>
        </w:r>
        <w:r>
          <w:rPr>
            <w:noProof/>
            <w:webHidden/>
          </w:rPr>
          <w:tab/>
        </w:r>
        <w:r>
          <w:rPr>
            <w:noProof/>
            <w:webHidden/>
          </w:rPr>
          <w:fldChar w:fldCharType="begin"/>
        </w:r>
        <w:r>
          <w:rPr>
            <w:noProof/>
            <w:webHidden/>
          </w:rPr>
          <w:instrText xml:space="preserve"> PAGEREF _Toc214889316 \h </w:instrText>
        </w:r>
        <w:r>
          <w:rPr>
            <w:noProof/>
            <w:webHidden/>
          </w:rPr>
        </w:r>
        <w:r>
          <w:rPr>
            <w:noProof/>
            <w:webHidden/>
          </w:rPr>
          <w:fldChar w:fldCharType="separate"/>
        </w:r>
        <w:r>
          <w:rPr>
            <w:noProof/>
            <w:webHidden/>
          </w:rPr>
          <w:t>15</w:t>
        </w:r>
        <w:r>
          <w:rPr>
            <w:noProof/>
            <w:webHidden/>
          </w:rPr>
          <w:fldChar w:fldCharType="end"/>
        </w:r>
      </w:hyperlink>
    </w:p>
    <w:p w14:paraId="33298A38" w14:textId="08F6B0BB" w:rsidR="006C20A6" w:rsidRPr="00D80974" w:rsidRDefault="006C20A6" w:rsidP="006C20A6">
      <w:pPr>
        <w:pStyle w:val="BodyText"/>
      </w:pPr>
      <w:r w:rsidRPr="00D80974">
        <w:fldChar w:fldCharType="end"/>
      </w:r>
      <w:r w:rsidRPr="00D80974">
        <w:br w:type="page"/>
      </w:r>
    </w:p>
    <w:p w14:paraId="640C3A74" w14:textId="697973D6" w:rsidR="00D83BF2" w:rsidRPr="00D80974" w:rsidRDefault="00D83BF2" w:rsidP="00821307">
      <w:pPr>
        <w:pStyle w:val="Heading2"/>
      </w:pPr>
      <w:bookmarkStart w:id="9" w:name="_Toc214889311"/>
      <w:r w:rsidRPr="00D80974">
        <w:lastRenderedPageBreak/>
        <w:t>Suicide Prevention Goals and Outcomes</w:t>
      </w:r>
      <w:bookmarkEnd w:id="9"/>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785"/>
        <w:gridCol w:w="1785"/>
        <w:gridCol w:w="1785"/>
        <w:gridCol w:w="1785"/>
        <w:gridCol w:w="1786"/>
      </w:tblGrid>
      <w:tr w:rsidR="00821307" w:rsidRPr="00D80974" w14:paraId="1CD66029" w14:textId="77777777" w:rsidTr="00020DC5">
        <w:tc>
          <w:tcPr>
            <w:tcW w:w="8926" w:type="dxa"/>
            <w:gridSpan w:val="5"/>
            <w:shd w:val="clear" w:color="auto" w:fill="F2F2F2" w:themeFill="background1" w:themeFillShade="F2"/>
          </w:tcPr>
          <w:p w14:paraId="2BEF77DF" w14:textId="4F2C0282" w:rsidR="00821307" w:rsidRPr="00D80974" w:rsidRDefault="00821307" w:rsidP="00821307">
            <w:pPr>
              <w:pStyle w:val="Heading3"/>
              <w:spacing w:before="120"/>
            </w:pPr>
            <w:r w:rsidRPr="00D80974">
              <w:t>Goals</w:t>
            </w:r>
          </w:p>
        </w:tc>
      </w:tr>
      <w:tr w:rsidR="00821307" w:rsidRPr="00D80974" w14:paraId="638A2D7C" w14:textId="77777777" w:rsidTr="00821307">
        <w:tc>
          <w:tcPr>
            <w:tcW w:w="1785" w:type="dxa"/>
            <w:shd w:val="clear" w:color="auto" w:fill="EDE7D8"/>
          </w:tcPr>
          <w:p w14:paraId="27CF1F19" w14:textId="7E21409E" w:rsidR="00821307" w:rsidRPr="00D80974" w:rsidRDefault="00821307" w:rsidP="00821307">
            <w:pPr>
              <w:pStyle w:val="BodyText"/>
            </w:pPr>
            <w:r w:rsidRPr="00D80974">
              <w:t>More people experience protective wellbeing</w:t>
            </w:r>
          </w:p>
        </w:tc>
        <w:tc>
          <w:tcPr>
            <w:tcW w:w="1785" w:type="dxa"/>
            <w:shd w:val="clear" w:color="auto" w:fill="EDE7D8"/>
          </w:tcPr>
          <w:p w14:paraId="4FE8CF1C" w14:textId="5CB8E2F6" w:rsidR="00821307" w:rsidRPr="00D80974" w:rsidRDefault="00821307" w:rsidP="00821307">
            <w:pPr>
              <w:pStyle w:val="BodyText"/>
            </w:pPr>
            <w:r w:rsidRPr="00D80974">
              <w:t>Fewer people experience suicidal distress</w:t>
            </w:r>
          </w:p>
        </w:tc>
        <w:tc>
          <w:tcPr>
            <w:tcW w:w="1785" w:type="dxa"/>
            <w:shd w:val="clear" w:color="auto" w:fill="EDE7D8"/>
          </w:tcPr>
          <w:p w14:paraId="315E3486" w14:textId="3BE7D10F" w:rsidR="00821307" w:rsidRPr="00D80974" w:rsidRDefault="00821307" w:rsidP="00821307">
            <w:pPr>
              <w:pStyle w:val="BodyText"/>
            </w:pPr>
            <w:r w:rsidRPr="00D80974">
              <w:t>Fewer people attempt suicide</w:t>
            </w:r>
          </w:p>
        </w:tc>
        <w:tc>
          <w:tcPr>
            <w:tcW w:w="1785" w:type="dxa"/>
            <w:shd w:val="clear" w:color="auto" w:fill="EDE7D8"/>
          </w:tcPr>
          <w:p w14:paraId="0611B9DF" w14:textId="474BF02F" w:rsidR="00821307" w:rsidRPr="00D80974" w:rsidRDefault="00821307" w:rsidP="00821307">
            <w:pPr>
              <w:pStyle w:val="BodyText"/>
            </w:pPr>
            <w:r w:rsidRPr="00D80974">
              <w:t>Fewer people lose their lives to suicide</w:t>
            </w:r>
          </w:p>
        </w:tc>
        <w:tc>
          <w:tcPr>
            <w:tcW w:w="1786" w:type="dxa"/>
            <w:shd w:val="clear" w:color="auto" w:fill="EDE7D8"/>
          </w:tcPr>
          <w:p w14:paraId="71145489" w14:textId="474A1CB5" w:rsidR="00821307" w:rsidRPr="00D80974" w:rsidRDefault="00821307" w:rsidP="00821307">
            <w:pPr>
              <w:pStyle w:val="BodyText"/>
            </w:pPr>
            <w:r w:rsidRPr="00D80974">
              <w:t>Fewer people are impacted by suicide</w:t>
            </w:r>
          </w:p>
        </w:tc>
      </w:tr>
    </w:tbl>
    <w:p w14:paraId="10C3E0DC" w14:textId="6EC396D7" w:rsidR="00821307" w:rsidRPr="00D80974" w:rsidRDefault="00821307" w:rsidP="00EF24B0">
      <w:pPr>
        <w:pStyle w:val="BodyText"/>
        <w:spacing w:after="0"/>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47"/>
        <w:gridCol w:w="5979"/>
      </w:tblGrid>
      <w:tr w:rsidR="00821307" w:rsidRPr="00D80974" w14:paraId="5A4D4A48" w14:textId="06F6A844" w:rsidTr="006C20A6">
        <w:trPr>
          <w:tblHeader/>
        </w:trPr>
        <w:tc>
          <w:tcPr>
            <w:tcW w:w="2947" w:type="dxa"/>
            <w:shd w:val="clear" w:color="auto" w:fill="F2F2F2" w:themeFill="background1" w:themeFillShade="F2"/>
          </w:tcPr>
          <w:p w14:paraId="0744DB61" w14:textId="13AADB5E" w:rsidR="00821307" w:rsidRPr="00D80974" w:rsidRDefault="00821307" w:rsidP="00821307">
            <w:pPr>
              <w:pStyle w:val="Heading3"/>
              <w:spacing w:before="120"/>
            </w:pPr>
            <w:r w:rsidRPr="00D80974">
              <w:t>Domains</w:t>
            </w:r>
          </w:p>
        </w:tc>
        <w:tc>
          <w:tcPr>
            <w:tcW w:w="5979" w:type="dxa"/>
            <w:shd w:val="clear" w:color="auto" w:fill="F2F2F2" w:themeFill="background1" w:themeFillShade="F2"/>
          </w:tcPr>
          <w:p w14:paraId="77A0DDC5" w14:textId="2D51E04D" w:rsidR="00821307" w:rsidRPr="00D80974" w:rsidRDefault="00821307" w:rsidP="00821307">
            <w:pPr>
              <w:pStyle w:val="Heading3"/>
              <w:spacing w:before="120"/>
            </w:pPr>
            <w:r w:rsidRPr="00D80974">
              <w:t>Domain aims</w:t>
            </w:r>
          </w:p>
        </w:tc>
      </w:tr>
      <w:tr w:rsidR="00821307" w:rsidRPr="00D80974" w14:paraId="1294A9EA" w14:textId="5604E81D" w:rsidTr="006C20A6">
        <w:tc>
          <w:tcPr>
            <w:tcW w:w="2947" w:type="dxa"/>
            <w:shd w:val="clear" w:color="auto" w:fill="FAA629"/>
          </w:tcPr>
          <w:p w14:paraId="62278EFC" w14:textId="19AD1CB9" w:rsidR="00821307" w:rsidRPr="00D80974" w:rsidRDefault="00821307" w:rsidP="00821307">
            <w:pPr>
              <w:pStyle w:val="BodyText"/>
              <w:rPr>
                <w:b/>
                <w:bCs/>
              </w:rPr>
            </w:pPr>
            <w:r w:rsidRPr="00D80974">
              <w:rPr>
                <w:b/>
                <w:bCs/>
              </w:rPr>
              <w:t>Prevention of suicidal distress</w:t>
            </w:r>
          </w:p>
        </w:tc>
        <w:tc>
          <w:tcPr>
            <w:tcW w:w="5979" w:type="dxa"/>
            <w:shd w:val="clear" w:color="auto" w:fill="FEF2DF"/>
          </w:tcPr>
          <w:p w14:paraId="22A549CB" w14:textId="08372174" w:rsidR="00821307" w:rsidRPr="00D80974" w:rsidRDefault="00821307" w:rsidP="00D83BF2">
            <w:pPr>
              <w:pStyle w:val="BodyText"/>
            </w:pPr>
            <w:r w:rsidRPr="00821307">
              <w:t>People are protected from experiencing suicidal distress</w:t>
            </w:r>
          </w:p>
        </w:tc>
      </w:tr>
      <w:tr w:rsidR="00821307" w:rsidRPr="00D80974" w14:paraId="2CE0F3E3" w14:textId="0DB1CC19" w:rsidTr="006C20A6">
        <w:tc>
          <w:tcPr>
            <w:tcW w:w="2947" w:type="dxa"/>
            <w:shd w:val="clear" w:color="auto" w:fill="1EAF59"/>
          </w:tcPr>
          <w:p w14:paraId="0AD18502" w14:textId="79A0BF3A" w:rsidR="00821307" w:rsidRPr="00D80974" w:rsidRDefault="00821307" w:rsidP="00D83BF2">
            <w:pPr>
              <w:pStyle w:val="BodyText"/>
              <w:rPr>
                <w:b/>
                <w:bCs/>
              </w:rPr>
            </w:pPr>
            <w:r w:rsidRPr="00821307">
              <w:rPr>
                <w:b/>
                <w:bCs/>
              </w:rPr>
              <w:t>Support for people</w:t>
            </w:r>
            <w:r w:rsidR="00057176">
              <w:rPr>
                <w:b/>
                <w:bCs/>
              </w:rPr>
              <w:t xml:space="preserve"> </w:t>
            </w:r>
            <w:r w:rsidRPr="00821307">
              <w:rPr>
                <w:b/>
                <w:bCs/>
              </w:rPr>
              <w:t>experiencing suicidal thoughts and behaviours and people who care for them</w:t>
            </w:r>
          </w:p>
        </w:tc>
        <w:tc>
          <w:tcPr>
            <w:tcW w:w="5979" w:type="dxa"/>
            <w:shd w:val="clear" w:color="auto" w:fill="DDF3E6"/>
          </w:tcPr>
          <w:p w14:paraId="22E84AE9" w14:textId="4DE9A343" w:rsidR="00821307" w:rsidRPr="00D80974" w:rsidRDefault="00821307" w:rsidP="00D83BF2">
            <w:pPr>
              <w:pStyle w:val="BodyText"/>
            </w:pPr>
            <w:r w:rsidRPr="00821307">
              <w:t>People who experience suicidal distress are supported effectively</w:t>
            </w:r>
          </w:p>
        </w:tc>
      </w:tr>
      <w:tr w:rsidR="00821307" w:rsidRPr="00D80974" w14:paraId="2309D821" w14:textId="77777777" w:rsidTr="006C20A6">
        <w:tc>
          <w:tcPr>
            <w:tcW w:w="2947" w:type="dxa"/>
            <w:shd w:val="clear" w:color="auto" w:fill="DC80B0"/>
          </w:tcPr>
          <w:p w14:paraId="331C25A9" w14:textId="5B35A001" w:rsidR="00821307" w:rsidRPr="00D80974" w:rsidRDefault="00821307" w:rsidP="00821307">
            <w:pPr>
              <w:pStyle w:val="BodyText"/>
              <w:rPr>
                <w:b/>
                <w:bCs/>
              </w:rPr>
            </w:pPr>
            <w:r w:rsidRPr="00D80974">
              <w:rPr>
                <w:b/>
                <w:bCs/>
                <w:shd w:val="clear" w:color="auto" w:fill="DC80B0"/>
              </w:rPr>
              <w:t>Critical enablers for a whole of governments</w:t>
            </w:r>
            <w:r w:rsidRPr="00D80974">
              <w:rPr>
                <w:b/>
                <w:bCs/>
              </w:rPr>
              <w:t xml:space="preserve"> suicide prevention approach</w:t>
            </w:r>
          </w:p>
        </w:tc>
        <w:tc>
          <w:tcPr>
            <w:tcW w:w="5979" w:type="dxa"/>
            <w:shd w:val="clear" w:color="auto" w:fill="FAECF3"/>
          </w:tcPr>
          <w:p w14:paraId="59DD8A27" w14:textId="7A1FE9AE" w:rsidR="00821307" w:rsidRPr="00D80974" w:rsidRDefault="00821307" w:rsidP="00D83BF2">
            <w:pPr>
              <w:pStyle w:val="BodyText"/>
            </w:pPr>
            <w:r w:rsidRPr="00D80974">
              <w:t>Everyone works together to prevent suicide</w:t>
            </w:r>
          </w:p>
        </w:tc>
      </w:tr>
    </w:tbl>
    <w:p w14:paraId="47D16217" w14:textId="77777777" w:rsidR="00D83BF2" w:rsidRPr="00D80974" w:rsidRDefault="00D83BF2" w:rsidP="00EF24B0">
      <w:pPr>
        <w:pStyle w:val="BodyText"/>
        <w:spacing w:after="0"/>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72"/>
        <w:gridCol w:w="5954"/>
      </w:tblGrid>
      <w:tr w:rsidR="00821307" w:rsidRPr="00D80974" w14:paraId="6686DCD3" w14:textId="77777777" w:rsidTr="00020DC5">
        <w:trPr>
          <w:tblHeader/>
        </w:trPr>
        <w:tc>
          <w:tcPr>
            <w:tcW w:w="2972" w:type="dxa"/>
            <w:shd w:val="clear" w:color="auto" w:fill="F2F2F2" w:themeFill="background1" w:themeFillShade="F2"/>
          </w:tcPr>
          <w:p w14:paraId="4C7E13BD" w14:textId="77777777" w:rsidR="00821307" w:rsidRPr="00D80974" w:rsidRDefault="00821307" w:rsidP="00020DC5">
            <w:pPr>
              <w:pStyle w:val="Heading3"/>
              <w:spacing w:before="120"/>
            </w:pPr>
            <w:r w:rsidRPr="00D80974">
              <w:t>Key objectives</w:t>
            </w:r>
          </w:p>
        </w:tc>
        <w:tc>
          <w:tcPr>
            <w:tcW w:w="5954" w:type="dxa"/>
            <w:shd w:val="clear" w:color="auto" w:fill="F2F2F2" w:themeFill="background1" w:themeFillShade="F2"/>
          </w:tcPr>
          <w:p w14:paraId="1BC8197F" w14:textId="77777777" w:rsidR="00821307" w:rsidRPr="00D80974" w:rsidRDefault="00821307" w:rsidP="00020DC5">
            <w:pPr>
              <w:pStyle w:val="Heading3"/>
              <w:spacing w:before="120"/>
            </w:pPr>
            <w:r w:rsidRPr="00D80974">
              <w:t>Outcomes</w:t>
            </w:r>
          </w:p>
        </w:tc>
      </w:tr>
      <w:tr w:rsidR="00821307" w:rsidRPr="00D80974" w14:paraId="0A30FC1B" w14:textId="77777777" w:rsidTr="00020DC5">
        <w:tc>
          <w:tcPr>
            <w:tcW w:w="2972" w:type="dxa"/>
            <w:shd w:val="clear" w:color="auto" w:fill="FAA629"/>
          </w:tcPr>
          <w:p w14:paraId="10C807B8" w14:textId="6C71C471" w:rsidR="00821307" w:rsidRPr="00D80974" w:rsidRDefault="00821307" w:rsidP="00904788">
            <w:pPr>
              <w:pStyle w:val="BodyText"/>
              <w:rPr>
                <w:b/>
                <w:bCs/>
              </w:rPr>
            </w:pPr>
            <w:r w:rsidRPr="00821307">
              <w:rPr>
                <w:b/>
                <w:bCs/>
              </w:rPr>
              <w:t>1. Safety and security</w:t>
            </w:r>
          </w:p>
        </w:tc>
        <w:tc>
          <w:tcPr>
            <w:tcW w:w="5954" w:type="dxa"/>
            <w:shd w:val="clear" w:color="auto" w:fill="FEF2DF"/>
          </w:tcPr>
          <w:p w14:paraId="64DCEB05" w14:textId="118E4182" w:rsidR="00821307" w:rsidRPr="00D80974" w:rsidRDefault="00821307" w:rsidP="00904788">
            <w:pPr>
              <w:pStyle w:val="BodyText"/>
            </w:pPr>
            <w:r w:rsidRPr="00821307">
              <w:t>People are safe and have a sense of security and stability in their lives</w:t>
            </w:r>
          </w:p>
        </w:tc>
      </w:tr>
      <w:tr w:rsidR="00821307" w:rsidRPr="00D80974" w14:paraId="6FDD8E3B" w14:textId="77777777" w:rsidTr="00020DC5">
        <w:tc>
          <w:tcPr>
            <w:tcW w:w="2972" w:type="dxa"/>
            <w:shd w:val="clear" w:color="auto" w:fill="FAA629"/>
          </w:tcPr>
          <w:p w14:paraId="3593C036" w14:textId="2C70F48E" w:rsidR="00821307" w:rsidRPr="00D80974" w:rsidRDefault="00020DC5" w:rsidP="00904788">
            <w:pPr>
              <w:pStyle w:val="BodyText"/>
              <w:rPr>
                <w:b/>
                <w:bCs/>
              </w:rPr>
            </w:pPr>
            <w:r w:rsidRPr="00020DC5">
              <w:rPr>
                <w:b/>
                <w:bCs/>
              </w:rPr>
              <w:t>2. Good health</w:t>
            </w:r>
          </w:p>
        </w:tc>
        <w:tc>
          <w:tcPr>
            <w:tcW w:w="5954" w:type="dxa"/>
            <w:shd w:val="clear" w:color="auto" w:fill="FEF2DF"/>
          </w:tcPr>
          <w:p w14:paraId="00419AD5" w14:textId="3B1F8836" w:rsidR="00821307" w:rsidRPr="00D80974" w:rsidRDefault="00020DC5" w:rsidP="00904788">
            <w:pPr>
              <w:pStyle w:val="BodyText"/>
            </w:pPr>
            <w:r w:rsidRPr="00020DC5">
              <w:t>People experience good health enabling them to live their life with choice, purpose, meaning and satisfaction</w:t>
            </w:r>
          </w:p>
        </w:tc>
      </w:tr>
      <w:tr w:rsidR="00020DC5" w:rsidRPr="00D80974" w14:paraId="423108C1" w14:textId="77777777" w:rsidTr="00020DC5">
        <w:tc>
          <w:tcPr>
            <w:tcW w:w="2972" w:type="dxa"/>
            <w:shd w:val="clear" w:color="auto" w:fill="FAA629"/>
          </w:tcPr>
          <w:p w14:paraId="56D25F19" w14:textId="47F460D5" w:rsidR="00020DC5" w:rsidRPr="00D80974" w:rsidRDefault="00020DC5" w:rsidP="00904788">
            <w:pPr>
              <w:pStyle w:val="BodyText"/>
              <w:rPr>
                <w:b/>
                <w:bCs/>
              </w:rPr>
            </w:pPr>
            <w:r w:rsidRPr="00020DC5">
              <w:rPr>
                <w:b/>
                <w:bCs/>
              </w:rPr>
              <w:t>3. Economic security</w:t>
            </w:r>
          </w:p>
        </w:tc>
        <w:tc>
          <w:tcPr>
            <w:tcW w:w="5954" w:type="dxa"/>
            <w:shd w:val="clear" w:color="auto" w:fill="FEF2DF"/>
          </w:tcPr>
          <w:p w14:paraId="5F9715ED" w14:textId="470AE0F3" w:rsidR="00020DC5" w:rsidRPr="00D80974" w:rsidRDefault="00020DC5" w:rsidP="00904788">
            <w:pPr>
              <w:pStyle w:val="BodyText"/>
            </w:pPr>
            <w:r w:rsidRPr="00020DC5">
              <w:t>People have the financial and economic security to participate in activities that are meaningful to them</w:t>
            </w:r>
          </w:p>
        </w:tc>
      </w:tr>
      <w:tr w:rsidR="00020DC5" w:rsidRPr="00D80974" w14:paraId="76D4A27B" w14:textId="77777777" w:rsidTr="00020DC5">
        <w:tc>
          <w:tcPr>
            <w:tcW w:w="2972" w:type="dxa"/>
            <w:shd w:val="clear" w:color="auto" w:fill="FAA629"/>
          </w:tcPr>
          <w:p w14:paraId="2A864E6B" w14:textId="4F58B26B" w:rsidR="00020DC5" w:rsidRPr="00D80974" w:rsidRDefault="00020DC5" w:rsidP="00904788">
            <w:pPr>
              <w:pStyle w:val="BodyText"/>
              <w:rPr>
                <w:b/>
                <w:bCs/>
              </w:rPr>
            </w:pPr>
            <w:r w:rsidRPr="00020DC5">
              <w:rPr>
                <w:b/>
                <w:bCs/>
              </w:rPr>
              <w:t>4. Social inclusion</w:t>
            </w:r>
          </w:p>
        </w:tc>
        <w:tc>
          <w:tcPr>
            <w:tcW w:w="5954" w:type="dxa"/>
            <w:shd w:val="clear" w:color="auto" w:fill="FEF2DF"/>
          </w:tcPr>
          <w:p w14:paraId="7D7B1B56" w14:textId="69B171B9" w:rsidR="00020DC5" w:rsidRPr="00D80974" w:rsidRDefault="00020DC5" w:rsidP="00904788">
            <w:pPr>
              <w:pStyle w:val="BodyText"/>
            </w:pPr>
            <w:r w:rsidRPr="00020DC5">
              <w:t>People are respected and valued for who they are and have a sense of belonging from their connections with other people</w:t>
            </w:r>
          </w:p>
        </w:tc>
      </w:tr>
      <w:tr w:rsidR="00020DC5" w:rsidRPr="00D80974" w14:paraId="74DD1E92" w14:textId="77777777" w:rsidTr="00020DC5">
        <w:tc>
          <w:tcPr>
            <w:tcW w:w="2972" w:type="dxa"/>
            <w:shd w:val="clear" w:color="auto" w:fill="FAA629"/>
          </w:tcPr>
          <w:p w14:paraId="70626BD9" w14:textId="4CFAC795" w:rsidR="00020DC5" w:rsidRPr="00D80974" w:rsidRDefault="00020DC5" w:rsidP="00904788">
            <w:pPr>
              <w:pStyle w:val="BodyText"/>
              <w:rPr>
                <w:b/>
                <w:bCs/>
              </w:rPr>
            </w:pPr>
            <w:r w:rsidRPr="00020DC5">
              <w:rPr>
                <w:b/>
                <w:bCs/>
              </w:rPr>
              <w:t>5. Navigating life transitions</w:t>
            </w:r>
          </w:p>
        </w:tc>
        <w:tc>
          <w:tcPr>
            <w:tcW w:w="5954" w:type="dxa"/>
            <w:shd w:val="clear" w:color="auto" w:fill="FEF2DF"/>
          </w:tcPr>
          <w:p w14:paraId="0AD051C1" w14:textId="45BBBD69" w:rsidR="00020DC5" w:rsidRPr="00D80974" w:rsidRDefault="00020DC5" w:rsidP="00904788">
            <w:pPr>
              <w:pStyle w:val="BodyText"/>
            </w:pPr>
            <w:r w:rsidRPr="00020DC5">
              <w:t>People can navigate life transitions with agency and hope for their future</w:t>
            </w:r>
          </w:p>
        </w:tc>
      </w:tr>
      <w:tr w:rsidR="00020DC5" w:rsidRPr="00D80974" w14:paraId="6135BBFB" w14:textId="77777777" w:rsidTr="00020DC5">
        <w:tc>
          <w:tcPr>
            <w:tcW w:w="2972" w:type="dxa"/>
            <w:shd w:val="clear" w:color="auto" w:fill="FAA629"/>
          </w:tcPr>
          <w:p w14:paraId="452804A5" w14:textId="099DF92C" w:rsidR="00020DC5" w:rsidRPr="00D80974" w:rsidRDefault="00020DC5" w:rsidP="00020DC5">
            <w:pPr>
              <w:pStyle w:val="BodyText"/>
              <w:rPr>
                <w:b/>
                <w:bCs/>
              </w:rPr>
            </w:pPr>
            <w:r w:rsidRPr="00D80974">
              <w:rPr>
                <w:b/>
                <w:bCs/>
              </w:rPr>
              <w:t>Communities</w:t>
            </w:r>
          </w:p>
        </w:tc>
        <w:tc>
          <w:tcPr>
            <w:tcW w:w="5954" w:type="dxa"/>
            <w:shd w:val="clear" w:color="auto" w:fill="FEF2DF"/>
          </w:tcPr>
          <w:p w14:paraId="2B471678" w14:textId="0DB0FF07" w:rsidR="00020DC5" w:rsidRPr="00D80974" w:rsidRDefault="00020DC5" w:rsidP="00904788">
            <w:pPr>
              <w:pStyle w:val="BodyText"/>
            </w:pPr>
            <w:r w:rsidRPr="00020DC5">
              <w:t xml:space="preserve">Communities have the capacity to address the social determinants </w:t>
            </w:r>
            <w:r w:rsidRPr="00020DC5">
              <w:br/>
              <w:t>of suicide and protect against suicide</w:t>
            </w:r>
          </w:p>
        </w:tc>
      </w:tr>
      <w:tr w:rsidR="00020DC5" w:rsidRPr="00D80974" w14:paraId="772109EE" w14:textId="77777777" w:rsidTr="00020DC5">
        <w:tc>
          <w:tcPr>
            <w:tcW w:w="2972" w:type="dxa"/>
            <w:shd w:val="clear" w:color="auto" w:fill="1EAF59"/>
          </w:tcPr>
          <w:p w14:paraId="5ADA2496" w14:textId="092D55E6" w:rsidR="00020DC5" w:rsidRPr="00D80974" w:rsidRDefault="00020DC5" w:rsidP="00020DC5">
            <w:pPr>
              <w:pStyle w:val="BodyText"/>
              <w:rPr>
                <w:b/>
                <w:bCs/>
              </w:rPr>
            </w:pPr>
            <w:r w:rsidRPr="00020DC5">
              <w:rPr>
                <w:b/>
                <w:bCs/>
              </w:rPr>
              <w:lastRenderedPageBreak/>
              <w:t xml:space="preserve">6. Culture </w:t>
            </w:r>
            <w:r w:rsidRPr="00020DC5">
              <w:rPr>
                <w:b/>
                <w:bCs/>
                <w:shd w:val="clear" w:color="auto" w:fill="1EAF59"/>
              </w:rPr>
              <w:t>of Compassion</w:t>
            </w:r>
          </w:p>
        </w:tc>
        <w:tc>
          <w:tcPr>
            <w:tcW w:w="5954" w:type="dxa"/>
            <w:shd w:val="clear" w:color="auto" w:fill="DDF3E6"/>
          </w:tcPr>
          <w:p w14:paraId="7DBA822E" w14:textId="60BF7B3A" w:rsidR="00020DC5" w:rsidRPr="00D80974" w:rsidRDefault="00020DC5" w:rsidP="00904788">
            <w:pPr>
              <w:pStyle w:val="BodyText"/>
            </w:pPr>
            <w:r w:rsidRPr="00020DC5">
              <w:t>People are supported with compassion and respect and experience support networks that partner with them in making decisions</w:t>
            </w:r>
          </w:p>
        </w:tc>
      </w:tr>
      <w:tr w:rsidR="00020DC5" w:rsidRPr="00D80974" w14:paraId="4083F772" w14:textId="77777777" w:rsidTr="00020DC5">
        <w:tc>
          <w:tcPr>
            <w:tcW w:w="2972" w:type="dxa"/>
            <w:shd w:val="clear" w:color="auto" w:fill="1EAF59"/>
          </w:tcPr>
          <w:p w14:paraId="55DF6240" w14:textId="77A076B3" w:rsidR="00020DC5" w:rsidRPr="00D80974" w:rsidRDefault="00020DC5" w:rsidP="00020DC5">
            <w:pPr>
              <w:pStyle w:val="BodyText"/>
              <w:rPr>
                <w:b/>
                <w:bCs/>
              </w:rPr>
            </w:pPr>
            <w:r w:rsidRPr="00020DC5">
              <w:rPr>
                <w:b/>
                <w:bCs/>
              </w:rPr>
              <w:t>7. Accessibility</w:t>
            </w:r>
          </w:p>
        </w:tc>
        <w:tc>
          <w:tcPr>
            <w:tcW w:w="5954" w:type="dxa"/>
            <w:shd w:val="clear" w:color="auto" w:fill="DDF3E6"/>
          </w:tcPr>
          <w:p w14:paraId="75C92456" w14:textId="3A5880F9" w:rsidR="00020DC5" w:rsidRPr="00D80974" w:rsidRDefault="00020DC5" w:rsidP="00904788">
            <w:pPr>
              <w:pStyle w:val="BodyText"/>
            </w:pPr>
            <w:r w:rsidRPr="00020DC5">
              <w:t>People can access appropriate supports when and how they need to</w:t>
            </w:r>
          </w:p>
        </w:tc>
      </w:tr>
      <w:tr w:rsidR="00020DC5" w:rsidRPr="00D80974" w14:paraId="6F1FCE87" w14:textId="77777777" w:rsidTr="00020DC5">
        <w:tc>
          <w:tcPr>
            <w:tcW w:w="2972" w:type="dxa"/>
            <w:shd w:val="clear" w:color="auto" w:fill="1EAF59"/>
          </w:tcPr>
          <w:p w14:paraId="410D20F3" w14:textId="154528DB" w:rsidR="00020DC5" w:rsidRPr="00D80974" w:rsidRDefault="00020DC5" w:rsidP="00020DC5">
            <w:pPr>
              <w:pStyle w:val="BodyText"/>
              <w:rPr>
                <w:b/>
                <w:bCs/>
              </w:rPr>
            </w:pPr>
            <w:r w:rsidRPr="00020DC5">
              <w:rPr>
                <w:b/>
                <w:bCs/>
              </w:rPr>
              <w:t>8. System-level coordination</w:t>
            </w:r>
          </w:p>
        </w:tc>
        <w:tc>
          <w:tcPr>
            <w:tcW w:w="5954" w:type="dxa"/>
            <w:shd w:val="clear" w:color="auto" w:fill="DDF3E6"/>
          </w:tcPr>
          <w:p w14:paraId="2FB5DE59" w14:textId="6F7C8204" w:rsidR="00020DC5" w:rsidRPr="00D80974" w:rsidRDefault="00020DC5" w:rsidP="00904788">
            <w:pPr>
              <w:pStyle w:val="BodyText"/>
            </w:pPr>
            <w:r w:rsidRPr="00020DC5">
              <w:t>People experience support networks that work together seamlessly to keep them well</w:t>
            </w:r>
          </w:p>
        </w:tc>
      </w:tr>
      <w:tr w:rsidR="00722641" w:rsidRPr="00D80974" w14:paraId="73BF50DC" w14:textId="77777777" w:rsidTr="00020DC5">
        <w:tc>
          <w:tcPr>
            <w:tcW w:w="2972" w:type="dxa"/>
            <w:shd w:val="clear" w:color="auto" w:fill="1EAF59"/>
          </w:tcPr>
          <w:p w14:paraId="5B557116" w14:textId="142BA79F" w:rsidR="00722641" w:rsidRPr="00D80974" w:rsidRDefault="00722641" w:rsidP="00020DC5">
            <w:pPr>
              <w:pStyle w:val="BodyText"/>
              <w:rPr>
                <w:b/>
                <w:bCs/>
              </w:rPr>
            </w:pPr>
            <w:r w:rsidRPr="00722641">
              <w:rPr>
                <w:b/>
                <w:bCs/>
              </w:rPr>
              <w:t>9. Holistic approaches</w:t>
            </w:r>
          </w:p>
        </w:tc>
        <w:tc>
          <w:tcPr>
            <w:tcW w:w="5954" w:type="dxa"/>
            <w:shd w:val="clear" w:color="auto" w:fill="DDF3E6"/>
          </w:tcPr>
          <w:p w14:paraId="77E05239" w14:textId="4D88C570" w:rsidR="00722641" w:rsidRPr="00D80974" w:rsidRDefault="00722641" w:rsidP="00904788">
            <w:pPr>
              <w:pStyle w:val="BodyText"/>
            </w:pPr>
            <w:r w:rsidRPr="00722641">
              <w:t>People experience supports that work with them to address the reasons for their distress</w:t>
            </w:r>
          </w:p>
        </w:tc>
      </w:tr>
      <w:tr w:rsidR="00722641" w:rsidRPr="00D80974" w14:paraId="2A66838E" w14:textId="77777777" w:rsidTr="00020DC5">
        <w:tc>
          <w:tcPr>
            <w:tcW w:w="2972" w:type="dxa"/>
            <w:shd w:val="clear" w:color="auto" w:fill="1EAF59"/>
          </w:tcPr>
          <w:p w14:paraId="56E7C559" w14:textId="4F2FD8B7" w:rsidR="00722641" w:rsidRPr="00D80974" w:rsidRDefault="00722641" w:rsidP="00020DC5">
            <w:pPr>
              <w:pStyle w:val="BodyText"/>
              <w:rPr>
                <w:b/>
                <w:bCs/>
              </w:rPr>
            </w:pPr>
            <w:r w:rsidRPr="00722641">
              <w:rPr>
                <w:b/>
                <w:bCs/>
              </w:rPr>
              <w:t>10. Increased connection</w:t>
            </w:r>
          </w:p>
        </w:tc>
        <w:tc>
          <w:tcPr>
            <w:tcW w:w="5954" w:type="dxa"/>
            <w:shd w:val="clear" w:color="auto" w:fill="DDF3E6"/>
          </w:tcPr>
          <w:p w14:paraId="148AC2F9" w14:textId="41A868B3" w:rsidR="00722641" w:rsidRPr="00D80974" w:rsidRDefault="00722641" w:rsidP="00904788">
            <w:pPr>
              <w:pStyle w:val="BodyText"/>
            </w:pPr>
            <w:r w:rsidRPr="00722641">
              <w:t>People are supported to connect with people who matter to them and who are integral to their wellbeing</w:t>
            </w:r>
          </w:p>
        </w:tc>
      </w:tr>
      <w:tr w:rsidR="00722641" w:rsidRPr="00D80974" w14:paraId="0CA29937" w14:textId="77777777" w:rsidTr="00020DC5">
        <w:tc>
          <w:tcPr>
            <w:tcW w:w="2972" w:type="dxa"/>
            <w:shd w:val="clear" w:color="auto" w:fill="1EAF59"/>
          </w:tcPr>
          <w:p w14:paraId="7EB6D49E" w14:textId="32620741" w:rsidR="00722641" w:rsidRPr="00D80974" w:rsidRDefault="00722641" w:rsidP="00020DC5">
            <w:pPr>
              <w:pStyle w:val="BodyText"/>
              <w:rPr>
                <w:b/>
                <w:bCs/>
              </w:rPr>
            </w:pPr>
            <w:r w:rsidRPr="00D80974">
              <w:rPr>
                <w:b/>
                <w:bCs/>
              </w:rPr>
              <w:t>Families, carers and kin</w:t>
            </w:r>
          </w:p>
        </w:tc>
        <w:tc>
          <w:tcPr>
            <w:tcW w:w="5954" w:type="dxa"/>
            <w:shd w:val="clear" w:color="auto" w:fill="DDF3E6"/>
          </w:tcPr>
          <w:p w14:paraId="4707ADC7" w14:textId="4647C3FF" w:rsidR="00722641" w:rsidRPr="00D80974" w:rsidRDefault="00722641" w:rsidP="00904788">
            <w:pPr>
              <w:pStyle w:val="BodyText"/>
            </w:pPr>
            <w:r w:rsidRPr="00722641">
              <w:t xml:space="preserve">Families, carers and kin experience </w:t>
            </w:r>
            <w:proofErr w:type="gramStart"/>
            <w:r w:rsidRPr="00722641">
              <w:t>supports</w:t>
            </w:r>
            <w:proofErr w:type="gramEnd"/>
            <w:r w:rsidRPr="00722641">
              <w:t xml:space="preserve"> that address their needs and empower them to care for people experiencing suicidal distress</w:t>
            </w:r>
          </w:p>
        </w:tc>
      </w:tr>
      <w:tr w:rsidR="00722641" w:rsidRPr="00D80974" w14:paraId="47D6BEA6" w14:textId="77777777" w:rsidTr="00722641">
        <w:tc>
          <w:tcPr>
            <w:tcW w:w="2972" w:type="dxa"/>
            <w:shd w:val="clear" w:color="auto" w:fill="DC80B0"/>
          </w:tcPr>
          <w:p w14:paraId="4AA3C183" w14:textId="277691B4" w:rsidR="00722641" w:rsidRPr="00D80974" w:rsidRDefault="00722641" w:rsidP="00020DC5">
            <w:pPr>
              <w:pStyle w:val="BodyText"/>
              <w:rPr>
                <w:b/>
                <w:bCs/>
              </w:rPr>
            </w:pPr>
            <w:r w:rsidRPr="00722641">
              <w:rPr>
                <w:b/>
                <w:bCs/>
              </w:rPr>
              <w:t>11. Improved governance</w:t>
            </w:r>
          </w:p>
        </w:tc>
        <w:tc>
          <w:tcPr>
            <w:tcW w:w="5954" w:type="dxa"/>
            <w:shd w:val="clear" w:color="auto" w:fill="FAECF3"/>
          </w:tcPr>
          <w:p w14:paraId="07439C7B" w14:textId="06C1C229" w:rsidR="00722641" w:rsidRPr="00D80974" w:rsidRDefault="00722641" w:rsidP="00904788">
            <w:pPr>
              <w:pStyle w:val="BodyText"/>
            </w:pPr>
            <w:r w:rsidRPr="00722641">
              <w:t>Governments fulfil their responsibilities in preventing suicide and demonstrate accountability and collaboration</w:t>
            </w:r>
          </w:p>
        </w:tc>
      </w:tr>
      <w:tr w:rsidR="00722641" w:rsidRPr="00D80974" w14:paraId="0672100D" w14:textId="77777777" w:rsidTr="00722641">
        <w:tc>
          <w:tcPr>
            <w:tcW w:w="2972" w:type="dxa"/>
            <w:shd w:val="clear" w:color="auto" w:fill="DC80B0"/>
          </w:tcPr>
          <w:p w14:paraId="6DD7224D" w14:textId="0548ABD5" w:rsidR="00722641" w:rsidRPr="00D80974" w:rsidRDefault="00722641" w:rsidP="00020DC5">
            <w:pPr>
              <w:pStyle w:val="BodyText"/>
              <w:rPr>
                <w:b/>
                <w:bCs/>
              </w:rPr>
            </w:pPr>
            <w:r w:rsidRPr="00722641">
              <w:rPr>
                <w:b/>
                <w:bCs/>
              </w:rPr>
              <w:t>12. Embedded lived experience</w:t>
            </w:r>
          </w:p>
        </w:tc>
        <w:tc>
          <w:tcPr>
            <w:tcW w:w="5954" w:type="dxa"/>
            <w:shd w:val="clear" w:color="auto" w:fill="FAECF3"/>
          </w:tcPr>
          <w:p w14:paraId="714BDD34" w14:textId="6F2B6B3E" w:rsidR="00722641" w:rsidRPr="00D80974" w:rsidRDefault="00722641" w:rsidP="00904788">
            <w:pPr>
              <w:pStyle w:val="BodyText"/>
            </w:pPr>
            <w:r w:rsidRPr="00722641">
              <w:t>People with lived and living experience of suicide are included as an integral part of the suicide prevention system and involved in shared decision making</w:t>
            </w:r>
          </w:p>
        </w:tc>
      </w:tr>
      <w:tr w:rsidR="00722641" w:rsidRPr="00D80974" w14:paraId="143FECFE" w14:textId="77777777" w:rsidTr="00722641">
        <w:tc>
          <w:tcPr>
            <w:tcW w:w="2972" w:type="dxa"/>
            <w:shd w:val="clear" w:color="auto" w:fill="DC80B0"/>
          </w:tcPr>
          <w:p w14:paraId="5A3DE8F8" w14:textId="18AAD870" w:rsidR="00722641" w:rsidRPr="00D80974" w:rsidRDefault="00722641" w:rsidP="00020DC5">
            <w:pPr>
              <w:pStyle w:val="BodyText"/>
              <w:rPr>
                <w:b/>
                <w:bCs/>
              </w:rPr>
            </w:pPr>
            <w:r w:rsidRPr="00722641">
              <w:rPr>
                <w:b/>
                <w:bCs/>
              </w:rPr>
              <w:t>13. Available and translated evidence</w:t>
            </w:r>
          </w:p>
        </w:tc>
        <w:tc>
          <w:tcPr>
            <w:tcW w:w="5954" w:type="dxa"/>
            <w:shd w:val="clear" w:color="auto" w:fill="FAECF3"/>
          </w:tcPr>
          <w:p w14:paraId="141F6A5B" w14:textId="756EC309" w:rsidR="00722641" w:rsidRPr="00D80974" w:rsidRDefault="00722641" w:rsidP="00904788">
            <w:pPr>
              <w:pStyle w:val="BodyText"/>
            </w:pPr>
            <w:r w:rsidRPr="00722641">
              <w:t>An evidence-based learning culture operates to continually improve the effectiveness of suicide prevention efforts</w:t>
            </w:r>
          </w:p>
        </w:tc>
      </w:tr>
      <w:tr w:rsidR="00722641" w:rsidRPr="00D80974" w14:paraId="4CE58387" w14:textId="77777777" w:rsidTr="00722641">
        <w:tc>
          <w:tcPr>
            <w:tcW w:w="2972" w:type="dxa"/>
            <w:shd w:val="clear" w:color="auto" w:fill="DC80B0"/>
          </w:tcPr>
          <w:p w14:paraId="574D4833" w14:textId="350399CE" w:rsidR="00722641" w:rsidRPr="00D80974" w:rsidRDefault="00722641" w:rsidP="00020DC5">
            <w:pPr>
              <w:pStyle w:val="BodyText"/>
              <w:rPr>
                <w:b/>
                <w:bCs/>
              </w:rPr>
            </w:pPr>
            <w:r w:rsidRPr="00722641">
              <w:rPr>
                <w:b/>
                <w:bCs/>
              </w:rPr>
              <w:t>14. Capable and integrated workforce</w:t>
            </w:r>
          </w:p>
        </w:tc>
        <w:tc>
          <w:tcPr>
            <w:tcW w:w="5954" w:type="dxa"/>
            <w:shd w:val="clear" w:color="auto" w:fill="FAECF3"/>
          </w:tcPr>
          <w:p w14:paraId="4AD79E6C" w14:textId="17C0885E" w:rsidR="00722641" w:rsidRPr="00D80974" w:rsidRDefault="00722641" w:rsidP="00904788">
            <w:pPr>
              <w:pStyle w:val="BodyText"/>
            </w:pPr>
            <w:r w:rsidRPr="00722641">
              <w:t>The suicide prevention workforce has the capability and capacity to prevent and respond to suicide</w:t>
            </w:r>
          </w:p>
        </w:tc>
      </w:tr>
    </w:tbl>
    <w:p w14:paraId="7AE281CB" w14:textId="00145661" w:rsidR="006C2369" w:rsidRPr="00D80974" w:rsidRDefault="006C2369" w:rsidP="006C2369">
      <w:pPr>
        <w:pStyle w:val="BodyText"/>
      </w:pPr>
      <w:r w:rsidRPr="00D80974">
        <w:br w:type="page"/>
      </w:r>
    </w:p>
    <w:p w14:paraId="0414BE96" w14:textId="77777777" w:rsidR="00722641" w:rsidRPr="00D80974" w:rsidRDefault="00722641" w:rsidP="00722641">
      <w:pPr>
        <w:pStyle w:val="Heading2"/>
      </w:pPr>
      <w:bookmarkStart w:id="10" w:name="_Toc214889312"/>
      <w:r w:rsidRPr="00D80974">
        <w:lastRenderedPageBreak/>
        <w:t>Suicide Prevention Goals</w:t>
      </w:r>
      <w:bookmarkEnd w:id="10"/>
    </w:p>
    <w:p w14:paraId="4F2713AF" w14:textId="77777777" w:rsidR="00722641" w:rsidRPr="00D80974" w:rsidRDefault="00722641" w:rsidP="006C20A6">
      <w:pPr>
        <w:pStyle w:val="Heading3"/>
        <w:numPr>
          <w:ilvl w:val="0"/>
          <w:numId w:val="22"/>
        </w:numPr>
        <w:rPr>
          <w:rFonts w:eastAsia="Calibri"/>
        </w:rPr>
      </w:pPr>
      <w:r w:rsidRPr="00D80974">
        <w:rPr>
          <w:rFonts w:eastAsia="Calibri"/>
        </w:rPr>
        <w:t>More people experience protective wellbeing</w:t>
      </w:r>
    </w:p>
    <w:p w14:paraId="394AFBBF" w14:textId="77777777" w:rsidR="00722641" w:rsidRPr="00D80974" w:rsidRDefault="00722641" w:rsidP="006C20A6">
      <w:pPr>
        <w:pStyle w:val="Heading3"/>
        <w:numPr>
          <w:ilvl w:val="0"/>
          <w:numId w:val="22"/>
        </w:numPr>
        <w:rPr>
          <w:rFonts w:eastAsia="Calibri"/>
        </w:rPr>
      </w:pPr>
      <w:r w:rsidRPr="00D80974">
        <w:rPr>
          <w:rFonts w:eastAsia="Calibri"/>
        </w:rPr>
        <w:t>Fewer people experience suicidal distress</w:t>
      </w:r>
    </w:p>
    <w:p w14:paraId="103DBE27" w14:textId="77777777" w:rsidR="00722641" w:rsidRPr="00D80974" w:rsidRDefault="00722641" w:rsidP="006C20A6">
      <w:pPr>
        <w:pStyle w:val="Heading3"/>
        <w:numPr>
          <w:ilvl w:val="0"/>
          <w:numId w:val="22"/>
        </w:numPr>
        <w:rPr>
          <w:rFonts w:eastAsia="Calibri"/>
        </w:rPr>
      </w:pPr>
      <w:r w:rsidRPr="00D80974">
        <w:rPr>
          <w:rFonts w:eastAsia="Calibri"/>
        </w:rPr>
        <w:t>Fewer people attempt suicide</w:t>
      </w:r>
    </w:p>
    <w:p w14:paraId="4282DB16" w14:textId="77777777" w:rsidR="00722641" w:rsidRPr="00D80974" w:rsidRDefault="00722641" w:rsidP="006C20A6">
      <w:pPr>
        <w:pStyle w:val="Heading3"/>
        <w:numPr>
          <w:ilvl w:val="0"/>
          <w:numId w:val="22"/>
        </w:numPr>
      </w:pPr>
      <w:r w:rsidRPr="00D80974">
        <w:rPr>
          <w:rFonts w:eastAsia="Calibri"/>
        </w:rPr>
        <w:t>Fewer people lose their lives to suicide</w:t>
      </w:r>
    </w:p>
    <w:p w14:paraId="329BA5AF" w14:textId="537185AA" w:rsidR="00F963FF" w:rsidRPr="00D80974" w:rsidRDefault="00722641" w:rsidP="00EF24B0">
      <w:pPr>
        <w:pStyle w:val="Heading3"/>
        <w:numPr>
          <w:ilvl w:val="0"/>
          <w:numId w:val="22"/>
        </w:numPr>
        <w:spacing w:after="600"/>
      </w:pPr>
      <w:r w:rsidRPr="00D80974">
        <w:rPr>
          <w:rFonts w:eastAsia="Calibri"/>
        </w:rPr>
        <w:t>Fewer people are impacted by suicide</w:t>
      </w:r>
    </w:p>
    <w:p w14:paraId="0199D10D" w14:textId="3B21598A" w:rsidR="00F963FF" w:rsidRPr="00D80974" w:rsidRDefault="00F963FF" w:rsidP="00F963FF">
      <w:pPr>
        <w:pStyle w:val="Heading2"/>
      </w:pPr>
      <w:bookmarkStart w:id="11" w:name="_Toc214889313"/>
      <w:r w:rsidRPr="00D80974">
        <w:t>Suicide Prevention Goals and Indicators</w:t>
      </w:r>
      <w:bookmarkEnd w:id="11"/>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813"/>
        <w:gridCol w:w="4478"/>
        <w:gridCol w:w="2675"/>
      </w:tblGrid>
      <w:tr w:rsidR="00F963FF" w:rsidRPr="00D80974" w14:paraId="77BA718D" w14:textId="1F858EB8" w:rsidTr="00F963FF">
        <w:trPr>
          <w:tblHeader/>
        </w:trPr>
        <w:tc>
          <w:tcPr>
            <w:tcW w:w="1813" w:type="dxa"/>
            <w:shd w:val="clear" w:color="auto" w:fill="F2F2F2" w:themeFill="background1" w:themeFillShade="F2"/>
          </w:tcPr>
          <w:p w14:paraId="19B42195" w14:textId="376DE8F8" w:rsidR="00F963FF" w:rsidRPr="00D80974" w:rsidRDefault="00F963FF" w:rsidP="00904788">
            <w:pPr>
              <w:pStyle w:val="Heading3"/>
              <w:spacing w:before="120"/>
            </w:pPr>
            <w:r w:rsidRPr="00F963FF">
              <w:t>Goal</w:t>
            </w:r>
          </w:p>
        </w:tc>
        <w:tc>
          <w:tcPr>
            <w:tcW w:w="4478" w:type="dxa"/>
            <w:shd w:val="clear" w:color="auto" w:fill="F2F2F2" w:themeFill="background1" w:themeFillShade="F2"/>
          </w:tcPr>
          <w:p w14:paraId="2E791F81" w14:textId="652138DA" w:rsidR="00F963FF" w:rsidRPr="00D80974" w:rsidRDefault="00F963FF" w:rsidP="00904788">
            <w:pPr>
              <w:pStyle w:val="Heading3"/>
              <w:spacing w:before="120"/>
            </w:pPr>
            <w:r w:rsidRPr="00F963FF">
              <w:t>Description</w:t>
            </w:r>
          </w:p>
        </w:tc>
        <w:tc>
          <w:tcPr>
            <w:tcW w:w="2675" w:type="dxa"/>
            <w:shd w:val="clear" w:color="auto" w:fill="F2F2F2" w:themeFill="background1" w:themeFillShade="F2"/>
          </w:tcPr>
          <w:p w14:paraId="61C0F3EC" w14:textId="03AB55C3" w:rsidR="00F963FF" w:rsidRPr="00D80974" w:rsidRDefault="00F963FF" w:rsidP="00904788">
            <w:pPr>
              <w:pStyle w:val="Heading3"/>
              <w:spacing w:before="120"/>
            </w:pPr>
            <w:r w:rsidRPr="00F963FF">
              <w:t>Indicators</w:t>
            </w:r>
          </w:p>
        </w:tc>
      </w:tr>
      <w:tr w:rsidR="00F963FF" w:rsidRPr="00D80974" w14:paraId="766973B5" w14:textId="698E4912" w:rsidTr="00F963FF">
        <w:tc>
          <w:tcPr>
            <w:tcW w:w="1813" w:type="dxa"/>
            <w:shd w:val="clear" w:color="auto" w:fill="EDE7D8"/>
          </w:tcPr>
          <w:p w14:paraId="46A31852" w14:textId="3B9D36FA" w:rsidR="00F963FF" w:rsidRPr="00D80974" w:rsidRDefault="00F963FF" w:rsidP="00904788">
            <w:pPr>
              <w:pStyle w:val="BodyText"/>
              <w:rPr>
                <w:b/>
                <w:bCs/>
              </w:rPr>
            </w:pPr>
            <w:r w:rsidRPr="00F963FF">
              <w:rPr>
                <w:b/>
                <w:bCs/>
              </w:rPr>
              <w:t>More people experience protective wellbeing</w:t>
            </w:r>
          </w:p>
        </w:tc>
        <w:tc>
          <w:tcPr>
            <w:tcW w:w="4478" w:type="dxa"/>
            <w:shd w:val="clear" w:color="auto" w:fill="F4F1E8"/>
          </w:tcPr>
          <w:p w14:paraId="164B122D" w14:textId="01D3B9ED" w:rsidR="00F963FF" w:rsidRPr="00D80974" w:rsidRDefault="00F963FF" w:rsidP="008321AA">
            <w:pPr>
              <w:pStyle w:val="Tablebody"/>
            </w:pPr>
            <w:r w:rsidRPr="00D80974">
              <w:t>This goal is about increasing the number of people who are protected against suicide through increasing the rate of wellbeing in the population.</w:t>
            </w:r>
          </w:p>
          <w:p w14:paraId="59050544" w14:textId="55D111A6" w:rsidR="00F963FF" w:rsidRPr="00D80974" w:rsidRDefault="00F963FF" w:rsidP="008321AA">
            <w:pPr>
              <w:pStyle w:val="Tablebody"/>
            </w:pPr>
            <w:r w:rsidRPr="00D80974">
              <w:t>It recognises that an effective suicide prevention system aligned to the National Suicide Prevention Strategy should focus on increasing wellbeing as a protective factor. Building wellbeing includes addressing the social determinants of suicide in the Prevention Domain and the positive outcomes of a more effective support system such as agency and hope.</w:t>
            </w:r>
          </w:p>
          <w:p w14:paraId="30A7E609" w14:textId="77777777" w:rsidR="00F963FF" w:rsidRPr="00D80974" w:rsidRDefault="00F963FF" w:rsidP="008321AA">
            <w:pPr>
              <w:pStyle w:val="Tablebody"/>
            </w:pPr>
            <w:r w:rsidRPr="00D80974">
              <w:t>People told us it was critical that suicide prevention in Australia evolves to recognise that prevention starts with building protective factors and intervening before people become distressed and think about suicide.</w:t>
            </w:r>
          </w:p>
          <w:p w14:paraId="79E8E36B" w14:textId="3430A310" w:rsidR="00F963FF" w:rsidRPr="00D80974" w:rsidRDefault="00F963FF" w:rsidP="008321AA">
            <w:pPr>
              <w:pStyle w:val="Tablebody"/>
            </w:pPr>
            <w:r w:rsidRPr="00D80974">
              <w:t>Measurement of this goal looks at whether more people are protected against suicide through enhanced wellbeing, especially for groups who are disproportionately impacted by suicide.</w:t>
            </w:r>
          </w:p>
        </w:tc>
        <w:tc>
          <w:tcPr>
            <w:tcW w:w="2675" w:type="dxa"/>
            <w:shd w:val="clear" w:color="auto" w:fill="FAF8F3"/>
          </w:tcPr>
          <w:p w14:paraId="3E2ECC14" w14:textId="77777777" w:rsidR="00F963FF" w:rsidRPr="00D80974" w:rsidRDefault="00F963FF" w:rsidP="008321AA">
            <w:pPr>
              <w:pStyle w:val="Tablebody"/>
              <w:numPr>
                <w:ilvl w:val="0"/>
                <w:numId w:val="28"/>
              </w:numPr>
              <w:ind w:left="360"/>
            </w:pPr>
            <w:r w:rsidRPr="00D80974">
              <w:t>Increased wellbeing, especially for groups that are disproportionately impacted by suicide</w:t>
            </w:r>
          </w:p>
          <w:p w14:paraId="12962CE1" w14:textId="7F68F652" w:rsidR="00F963FF" w:rsidRPr="00D80974" w:rsidRDefault="00F963FF" w:rsidP="008321AA">
            <w:pPr>
              <w:pStyle w:val="Tablebody"/>
              <w:numPr>
                <w:ilvl w:val="0"/>
                <w:numId w:val="28"/>
              </w:numPr>
              <w:ind w:left="360"/>
            </w:pPr>
            <w:r w:rsidRPr="00D80974">
              <w:t>Increased hope,</w:t>
            </w:r>
            <w:r w:rsidR="00057176">
              <w:t xml:space="preserve"> </w:t>
            </w:r>
            <w:r w:rsidRPr="00D80974">
              <w:t>especially for groups that are disproportionately impacted by suicide</w:t>
            </w:r>
          </w:p>
        </w:tc>
      </w:tr>
      <w:tr w:rsidR="00F963FF" w:rsidRPr="00D80974" w14:paraId="65C7C262" w14:textId="0A0954EA" w:rsidTr="006C20A6">
        <w:tc>
          <w:tcPr>
            <w:tcW w:w="1813" w:type="dxa"/>
            <w:shd w:val="clear" w:color="auto" w:fill="EDE7D8"/>
          </w:tcPr>
          <w:p w14:paraId="4688DFEA" w14:textId="5686F3B4" w:rsidR="00F963FF" w:rsidRPr="00D80974" w:rsidRDefault="006C20A6" w:rsidP="00904788">
            <w:pPr>
              <w:pStyle w:val="BodyText"/>
              <w:rPr>
                <w:b/>
                <w:bCs/>
              </w:rPr>
            </w:pPr>
            <w:r w:rsidRPr="006C20A6">
              <w:rPr>
                <w:b/>
                <w:bCs/>
              </w:rPr>
              <w:t>Fewer people experience suicidal distress</w:t>
            </w:r>
          </w:p>
        </w:tc>
        <w:tc>
          <w:tcPr>
            <w:tcW w:w="4478" w:type="dxa"/>
            <w:shd w:val="clear" w:color="auto" w:fill="F4F1E8"/>
          </w:tcPr>
          <w:p w14:paraId="2A98B724" w14:textId="77777777" w:rsidR="006C20A6" w:rsidRPr="00D80974" w:rsidRDefault="006C20A6" w:rsidP="008321AA">
            <w:pPr>
              <w:pStyle w:val="Tablebody"/>
            </w:pPr>
            <w:r w:rsidRPr="00D80974">
              <w:t>This goal is about reducing the rate of suicidal distress and thoughts in the Australian population.</w:t>
            </w:r>
          </w:p>
          <w:p w14:paraId="3FB6AE74" w14:textId="78BE99D4" w:rsidR="006C20A6" w:rsidRPr="00D80974" w:rsidRDefault="006C20A6" w:rsidP="008321AA">
            <w:pPr>
              <w:pStyle w:val="Tablebody"/>
            </w:pPr>
            <w:r w:rsidRPr="00D80974">
              <w:t>It recognises that a more effective suicide prevention system aligned with the National Suicide Prevention Strategy will ultimately result in fewer people experiencing suicidal distress.</w:t>
            </w:r>
          </w:p>
          <w:p w14:paraId="5E4F71D4" w14:textId="43204563" w:rsidR="006C20A6" w:rsidRPr="00D80974" w:rsidRDefault="006C20A6" w:rsidP="008321AA">
            <w:pPr>
              <w:pStyle w:val="Tablebody"/>
            </w:pPr>
            <w:r w:rsidRPr="00D80974">
              <w:t>People told us it was critical to look at suicidal distress, thoughts and planning, to improve understanding about drivers and facilitate opportunities for the suicide prevention system to intervene earlier.</w:t>
            </w:r>
          </w:p>
          <w:p w14:paraId="0C02E2E9" w14:textId="28CEBC1E" w:rsidR="00F963FF" w:rsidRPr="00D80974" w:rsidRDefault="006C20A6" w:rsidP="008321AA">
            <w:pPr>
              <w:pStyle w:val="Tablebody"/>
            </w:pPr>
            <w:r w:rsidRPr="00D80974">
              <w:lastRenderedPageBreak/>
              <w:t>Measurement of this goal looks at whether fewer people experience suicidal distress, especially for groups who are disproportionately impacted by suicide.</w:t>
            </w:r>
          </w:p>
        </w:tc>
        <w:tc>
          <w:tcPr>
            <w:tcW w:w="2675" w:type="dxa"/>
            <w:shd w:val="clear" w:color="auto" w:fill="FAF8F3"/>
          </w:tcPr>
          <w:p w14:paraId="2BE0475A" w14:textId="142A9D1D" w:rsidR="006C20A6" w:rsidRPr="00D80974" w:rsidRDefault="006C20A6" w:rsidP="008321AA">
            <w:pPr>
              <w:pStyle w:val="Tablebullets"/>
            </w:pPr>
            <w:r w:rsidRPr="00D80974">
              <w:lastRenderedPageBreak/>
              <w:t>Reduced rates of suicidal distress,</w:t>
            </w:r>
            <w:r w:rsidR="00057176">
              <w:t xml:space="preserve"> </w:t>
            </w:r>
            <w:r w:rsidRPr="00D80974">
              <w:t>thoughts of suicide and suicide planning, especially for groups that are disproportionately impacted by suicide</w:t>
            </w:r>
          </w:p>
          <w:p w14:paraId="230B4650" w14:textId="77777777" w:rsidR="00F963FF" w:rsidRPr="00D80974" w:rsidRDefault="00F963FF" w:rsidP="00904788">
            <w:pPr>
              <w:pStyle w:val="BodyText"/>
            </w:pPr>
          </w:p>
        </w:tc>
      </w:tr>
      <w:tr w:rsidR="00F963FF" w:rsidRPr="00D80974" w14:paraId="544FF7FC" w14:textId="04957026" w:rsidTr="006C20A6">
        <w:tc>
          <w:tcPr>
            <w:tcW w:w="1813" w:type="dxa"/>
            <w:shd w:val="clear" w:color="auto" w:fill="EDE7D8"/>
          </w:tcPr>
          <w:p w14:paraId="3B791D37" w14:textId="2E1FDD74" w:rsidR="00F963FF" w:rsidRPr="00D80974" w:rsidRDefault="006C20A6" w:rsidP="00904788">
            <w:pPr>
              <w:pStyle w:val="BodyText"/>
              <w:rPr>
                <w:b/>
                <w:bCs/>
              </w:rPr>
            </w:pPr>
            <w:r w:rsidRPr="006C20A6">
              <w:rPr>
                <w:b/>
                <w:bCs/>
              </w:rPr>
              <w:t>Fewer people attempt suicide</w:t>
            </w:r>
          </w:p>
        </w:tc>
        <w:tc>
          <w:tcPr>
            <w:tcW w:w="4478" w:type="dxa"/>
            <w:shd w:val="clear" w:color="auto" w:fill="F4F1E8"/>
          </w:tcPr>
          <w:p w14:paraId="55C08597" w14:textId="41DA1037" w:rsidR="006C20A6" w:rsidRPr="00D80974" w:rsidRDefault="006C20A6" w:rsidP="008321AA">
            <w:pPr>
              <w:pStyle w:val="Tablebody"/>
            </w:pPr>
            <w:r w:rsidRPr="00D80974">
              <w:t>This goal is about reducing the rate of suicide attempts and self-harm in the Australian population.</w:t>
            </w:r>
          </w:p>
          <w:p w14:paraId="55D1CBEB" w14:textId="77777777" w:rsidR="006C20A6" w:rsidRPr="00D80974" w:rsidRDefault="006C20A6" w:rsidP="008321AA">
            <w:pPr>
              <w:pStyle w:val="Tablebody"/>
            </w:pPr>
            <w:r w:rsidRPr="00D80974">
              <w:t>It recognises that a more effective suicide prevention system aligned with the National Suicide Prevention Strategy will ultimately result in fewer people attempting suicide and self-harming.</w:t>
            </w:r>
          </w:p>
          <w:p w14:paraId="6C88DCF2" w14:textId="65ACEE09" w:rsidR="006C20A6" w:rsidRPr="00D80974" w:rsidRDefault="006C20A6" w:rsidP="008321AA">
            <w:pPr>
              <w:pStyle w:val="Tablebody"/>
            </w:pPr>
            <w:r w:rsidRPr="00D80974">
              <w:t>People told us it was critical to look at suicide attempts and self-harm to improve understanding and facilitate opportunities for the suicide prevention system to intervene earlier.</w:t>
            </w:r>
          </w:p>
          <w:p w14:paraId="3062AB3C" w14:textId="3BA36076" w:rsidR="00F963FF" w:rsidRPr="00D80974" w:rsidRDefault="006C20A6" w:rsidP="008321AA">
            <w:pPr>
              <w:pStyle w:val="Tablebody"/>
            </w:pPr>
            <w:r w:rsidRPr="00D80974">
              <w:t>Measurement of this goal looks at whether fewer people attempt suicide, especially for groups who are disproportionately impacted by suicide.</w:t>
            </w:r>
          </w:p>
        </w:tc>
        <w:tc>
          <w:tcPr>
            <w:tcW w:w="2675" w:type="dxa"/>
            <w:shd w:val="clear" w:color="auto" w:fill="FAF8F3"/>
          </w:tcPr>
          <w:p w14:paraId="73FC113B" w14:textId="48FE34F9" w:rsidR="006C20A6" w:rsidRPr="00D80974" w:rsidRDefault="006C20A6" w:rsidP="008321AA">
            <w:pPr>
              <w:pStyle w:val="Tablebullets"/>
            </w:pPr>
            <w:r w:rsidRPr="00D80974">
              <w:t>Reduced rates of self-harm and suicide attempts, especially for groups that are disproportionately impacted by suicide</w:t>
            </w:r>
          </w:p>
        </w:tc>
      </w:tr>
      <w:tr w:rsidR="006C20A6" w:rsidRPr="00D80974" w14:paraId="1DC4815C" w14:textId="77777777" w:rsidTr="006C20A6">
        <w:tc>
          <w:tcPr>
            <w:tcW w:w="1813" w:type="dxa"/>
            <w:shd w:val="clear" w:color="auto" w:fill="EDE7D8"/>
          </w:tcPr>
          <w:p w14:paraId="7D27ACD5" w14:textId="701CDF95" w:rsidR="006C20A6" w:rsidRPr="00D80974" w:rsidRDefault="006C20A6" w:rsidP="00904788">
            <w:pPr>
              <w:pStyle w:val="BodyText"/>
              <w:rPr>
                <w:b/>
                <w:bCs/>
              </w:rPr>
            </w:pPr>
            <w:r w:rsidRPr="006C20A6">
              <w:rPr>
                <w:b/>
                <w:bCs/>
              </w:rPr>
              <w:t>Fewer people lose their lives to suicide</w:t>
            </w:r>
          </w:p>
        </w:tc>
        <w:tc>
          <w:tcPr>
            <w:tcW w:w="4478" w:type="dxa"/>
            <w:shd w:val="clear" w:color="auto" w:fill="F4F1E8"/>
          </w:tcPr>
          <w:p w14:paraId="13F70E35" w14:textId="77777777" w:rsidR="006C20A6" w:rsidRPr="00D80974" w:rsidRDefault="006C20A6" w:rsidP="008321AA">
            <w:pPr>
              <w:pStyle w:val="Tablebody"/>
            </w:pPr>
            <w:r w:rsidRPr="00D80974">
              <w:t>This goal is about reducing the rate of suicide in the Australian population.</w:t>
            </w:r>
          </w:p>
          <w:p w14:paraId="07E8D389" w14:textId="77777777" w:rsidR="006C20A6" w:rsidRPr="00D80974" w:rsidRDefault="006C20A6" w:rsidP="008321AA">
            <w:pPr>
              <w:pStyle w:val="Tablebody"/>
            </w:pPr>
            <w:r w:rsidRPr="00D80974">
              <w:t>It recognises that a more effective suicide prevention system aligned with the National Suicide Prevention Strategy will ultimately result in fewer people losing their lives to suicide.</w:t>
            </w:r>
          </w:p>
          <w:p w14:paraId="0A07DECD" w14:textId="77777777" w:rsidR="006C20A6" w:rsidRPr="00D80974" w:rsidRDefault="006C20A6" w:rsidP="008321AA">
            <w:pPr>
              <w:pStyle w:val="Tablebody"/>
            </w:pPr>
            <w:r w:rsidRPr="00D80974">
              <w:t>People told us that it was critical to continue to look at rates of death by suicide, as ultimately this was what suicide prevention is all about. People also said that death by suicide needs to be considered along with other suicidal behaviours.</w:t>
            </w:r>
          </w:p>
          <w:p w14:paraId="761E669B" w14:textId="6AFB2281" w:rsidR="006C20A6" w:rsidRPr="00D80974" w:rsidRDefault="006C20A6" w:rsidP="008321AA">
            <w:pPr>
              <w:pStyle w:val="Tablebody"/>
            </w:pPr>
            <w:r w:rsidRPr="00D80974">
              <w:t>Measurement of this goal looks at whether fewer people lose their lives to suicide, especially for groups who are disproportionately impacted by suicide.</w:t>
            </w:r>
          </w:p>
        </w:tc>
        <w:tc>
          <w:tcPr>
            <w:tcW w:w="2675" w:type="dxa"/>
            <w:shd w:val="clear" w:color="auto" w:fill="FAF8F3"/>
          </w:tcPr>
          <w:p w14:paraId="0753327C" w14:textId="0479603F" w:rsidR="006C20A6" w:rsidRPr="00D80974" w:rsidRDefault="006C20A6" w:rsidP="008321AA">
            <w:pPr>
              <w:pStyle w:val="Tablebullets"/>
            </w:pPr>
            <w:r w:rsidRPr="00D80974">
              <w:t>Reduced rates of self-harm and suicide attempts, especially for groups that are disproportionately impacted by suicide</w:t>
            </w:r>
          </w:p>
        </w:tc>
      </w:tr>
      <w:tr w:rsidR="006C20A6" w:rsidRPr="00D80974" w14:paraId="378B34C9" w14:textId="77777777" w:rsidTr="006C20A6">
        <w:tc>
          <w:tcPr>
            <w:tcW w:w="1813" w:type="dxa"/>
            <w:shd w:val="clear" w:color="auto" w:fill="EDE7D8"/>
          </w:tcPr>
          <w:p w14:paraId="40308E81" w14:textId="1A3AE7B8" w:rsidR="006C20A6" w:rsidRPr="00D80974" w:rsidRDefault="006C20A6" w:rsidP="00904788">
            <w:pPr>
              <w:pStyle w:val="BodyText"/>
              <w:rPr>
                <w:b/>
                <w:bCs/>
              </w:rPr>
            </w:pPr>
            <w:r w:rsidRPr="006C20A6">
              <w:rPr>
                <w:b/>
                <w:bCs/>
              </w:rPr>
              <w:t>Fewer people are impacted by suicide </w:t>
            </w:r>
          </w:p>
        </w:tc>
        <w:tc>
          <w:tcPr>
            <w:tcW w:w="4478" w:type="dxa"/>
            <w:shd w:val="clear" w:color="auto" w:fill="F4F1E8"/>
          </w:tcPr>
          <w:p w14:paraId="3CDCA2B3" w14:textId="77777777" w:rsidR="006C20A6" w:rsidRPr="00D80974" w:rsidRDefault="006C20A6" w:rsidP="008321AA">
            <w:pPr>
              <w:pStyle w:val="Tablebody"/>
            </w:pPr>
            <w:r w:rsidRPr="00D80974">
              <w:t>This goal is about reducing the impact of suicide on the Australian population.</w:t>
            </w:r>
          </w:p>
          <w:p w14:paraId="775A8E22" w14:textId="3634CA3A" w:rsidR="006C20A6" w:rsidRPr="00D80974" w:rsidRDefault="006C20A6" w:rsidP="008321AA">
            <w:pPr>
              <w:pStyle w:val="Tablebody"/>
            </w:pPr>
            <w:r w:rsidRPr="00D80974">
              <w:t>It recognises that a more effective suicide prevention system aligned with the National Suicide Prevention Strategy will ultimately result in fewer people being impacted by suicide.</w:t>
            </w:r>
          </w:p>
          <w:p w14:paraId="680B97C6" w14:textId="77777777" w:rsidR="006C20A6" w:rsidRPr="00D80974" w:rsidRDefault="006C20A6" w:rsidP="008321AA">
            <w:pPr>
              <w:pStyle w:val="Tablebody"/>
            </w:pPr>
            <w:r w:rsidRPr="00D80974">
              <w:t>People told us that being impacted by suicide, through individual or community exposure or bereavement, can lead them to feel distressed and suicidal themselves. Therefore, reducing the impact of suicide on people will contribute to reduction in rates of suicidal distress, thoughts, attempts and deaths.</w:t>
            </w:r>
          </w:p>
          <w:p w14:paraId="21D7CF45" w14:textId="1FCA76A6" w:rsidR="006C20A6" w:rsidRPr="00D80974" w:rsidRDefault="006C20A6" w:rsidP="008321AA">
            <w:pPr>
              <w:pStyle w:val="Tablebody"/>
            </w:pPr>
            <w:r w:rsidRPr="00D80974">
              <w:t>Measurement of this goal looks at whether fewer people are impacted by suicide.</w:t>
            </w:r>
          </w:p>
        </w:tc>
        <w:tc>
          <w:tcPr>
            <w:tcW w:w="2675" w:type="dxa"/>
            <w:shd w:val="clear" w:color="auto" w:fill="FAF8F3"/>
          </w:tcPr>
          <w:p w14:paraId="72592FB9" w14:textId="77777777" w:rsidR="006C20A6" w:rsidRPr="00D80974" w:rsidRDefault="006C20A6" w:rsidP="008321AA">
            <w:pPr>
              <w:pStyle w:val="Tablebullets"/>
            </w:pPr>
            <w:r w:rsidRPr="00D80974">
              <w:t xml:space="preserve">Reduced rates of exposure to and impact of suicide </w:t>
            </w:r>
          </w:p>
          <w:p w14:paraId="6F374CD3" w14:textId="6288BF98" w:rsidR="006C20A6" w:rsidRPr="00D80974" w:rsidRDefault="006C20A6" w:rsidP="008321AA">
            <w:pPr>
              <w:pStyle w:val="Tablebullets"/>
            </w:pPr>
            <w:r w:rsidRPr="00D80974">
              <w:t>Reduced rates of and impact from suicide bereavement</w:t>
            </w:r>
          </w:p>
        </w:tc>
      </w:tr>
    </w:tbl>
    <w:p w14:paraId="31379BF7" w14:textId="77777777" w:rsidR="00F963FF" w:rsidRPr="00D80974" w:rsidRDefault="00F963FF" w:rsidP="00F963FF">
      <w:pPr>
        <w:rPr>
          <w:lang w:eastAsia="en-AU"/>
        </w:rPr>
      </w:pPr>
    </w:p>
    <w:p w14:paraId="3E56F15B" w14:textId="5C8233A9" w:rsidR="006C2369" w:rsidRPr="00DF26A5" w:rsidRDefault="006C2369">
      <w:r w:rsidRPr="00D80974">
        <w:br w:type="page"/>
      </w:r>
    </w:p>
    <w:p w14:paraId="080AF90E" w14:textId="77777777" w:rsidR="006C20A6" w:rsidRPr="00D80974" w:rsidRDefault="006C20A6" w:rsidP="006C20A6">
      <w:pPr>
        <w:pStyle w:val="Heading2"/>
      </w:pPr>
      <w:bookmarkStart w:id="12" w:name="_Toc214464816"/>
      <w:bookmarkStart w:id="13" w:name="_Toc214889314"/>
      <w:r w:rsidRPr="00D80974">
        <w:lastRenderedPageBreak/>
        <w:t>Prevention Outcomes</w:t>
      </w:r>
      <w:bookmarkEnd w:id="12"/>
      <w:bookmarkEnd w:id="13"/>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238"/>
        <w:gridCol w:w="6688"/>
      </w:tblGrid>
      <w:tr w:rsidR="006C20A6" w:rsidRPr="00D80974" w14:paraId="6AD6762D" w14:textId="77777777" w:rsidTr="006C20A6">
        <w:trPr>
          <w:tblHeader/>
        </w:trPr>
        <w:tc>
          <w:tcPr>
            <w:tcW w:w="2238" w:type="dxa"/>
            <w:shd w:val="clear" w:color="auto" w:fill="F2F2F2" w:themeFill="background1" w:themeFillShade="F2"/>
          </w:tcPr>
          <w:p w14:paraId="0A4AFFC4" w14:textId="0A04B2AA" w:rsidR="006C20A6" w:rsidRPr="00D80974" w:rsidRDefault="006C20A6" w:rsidP="00904788">
            <w:pPr>
              <w:pStyle w:val="Heading3"/>
              <w:spacing w:before="120"/>
            </w:pPr>
            <w:r w:rsidRPr="00D80974">
              <w:t>Domain</w:t>
            </w:r>
          </w:p>
        </w:tc>
        <w:tc>
          <w:tcPr>
            <w:tcW w:w="6688" w:type="dxa"/>
            <w:shd w:val="clear" w:color="auto" w:fill="F2F2F2" w:themeFill="background1" w:themeFillShade="F2"/>
          </w:tcPr>
          <w:p w14:paraId="7A42AC3C" w14:textId="77777777" w:rsidR="006C20A6" w:rsidRPr="00D80974" w:rsidRDefault="006C20A6" w:rsidP="00904788">
            <w:pPr>
              <w:pStyle w:val="Heading3"/>
              <w:spacing w:before="120"/>
            </w:pPr>
            <w:r w:rsidRPr="00D80974">
              <w:t>Domain aim</w:t>
            </w:r>
          </w:p>
        </w:tc>
      </w:tr>
      <w:tr w:rsidR="006C20A6" w:rsidRPr="00D80974" w14:paraId="617C8321" w14:textId="77777777" w:rsidTr="006C20A6">
        <w:tc>
          <w:tcPr>
            <w:tcW w:w="2238" w:type="dxa"/>
            <w:shd w:val="clear" w:color="auto" w:fill="FAA629"/>
          </w:tcPr>
          <w:p w14:paraId="40808A45" w14:textId="77777777" w:rsidR="006C20A6" w:rsidRPr="00D80974" w:rsidRDefault="006C20A6" w:rsidP="00904788">
            <w:pPr>
              <w:pStyle w:val="BodyText"/>
              <w:rPr>
                <w:b/>
                <w:bCs/>
              </w:rPr>
            </w:pPr>
            <w:r w:rsidRPr="00D80974">
              <w:rPr>
                <w:b/>
                <w:bCs/>
              </w:rPr>
              <w:t>Prevention of suicidal distress</w:t>
            </w:r>
          </w:p>
        </w:tc>
        <w:tc>
          <w:tcPr>
            <w:tcW w:w="6688" w:type="dxa"/>
            <w:shd w:val="clear" w:color="auto" w:fill="FEF2DF"/>
          </w:tcPr>
          <w:p w14:paraId="1E453E87" w14:textId="77777777" w:rsidR="006C20A6" w:rsidRPr="00D80974" w:rsidRDefault="006C20A6" w:rsidP="00904788">
            <w:pPr>
              <w:pStyle w:val="BodyText"/>
            </w:pPr>
            <w:r w:rsidRPr="00821307">
              <w:t>People are protected from experiencing suicidal distress</w:t>
            </w:r>
          </w:p>
        </w:tc>
      </w:tr>
    </w:tbl>
    <w:p w14:paraId="67AE348D" w14:textId="77777777" w:rsidR="006C20A6" w:rsidRPr="00D80974" w:rsidRDefault="006C20A6">
      <w:pPr>
        <w:rPr>
          <w:vertAlign w:val="superscript"/>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5"/>
        <w:gridCol w:w="1737"/>
        <w:gridCol w:w="3261"/>
        <w:gridCol w:w="2333"/>
      </w:tblGrid>
      <w:tr w:rsidR="006C20A6" w:rsidRPr="00D80974" w14:paraId="142D1467" w14:textId="6BF03EB0" w:rsidTr="00A06BEB">
        <w:trPr>
          <w:tblHeader/>
        </w:trPr>
        <w:tc>
          <w:tcPr>
            <w:tcW w:w="1635" w:type="dxa"/>
            <w:shd w:val="clear" w:color="auto" w:fill="F2F2F2" w:themeFill="background1" w:themeFillShade="F2"/>
          </w:tcPr>
          <w:p w14:paraId="1DF09F15" w14:textId="22576FE0" w:rsidR="006C20A6" w:rsidRPr="00D80974" w:rsidRDefault="006C20A6" w:rsidP="00904788">
            <w:pPr>
              <w:pStyle w:val="Heading3"/>
              <w:spacing w:before="120"/>
            </w:pPr>
            <w:r w:rsidRPr="00D80974">
              <w:t>Key</w:t>
            </w:r>
            <w:r w:rsidR="00554831">
              <w:t xml:space="preserve"> </w:t>
            </w:r>
            <w:r w:rsidRPr="00D80974">
              <w:t>objective</w:t>
            </w:r>
          </w:p>
        </w:tc>
        <w:tc>
          <w:tcPr>
            <w:tcW w:w="1737" w:type="dxa"/>
            <w:shd w:val="clear" w:color="auto" w:fill="F2F2F2" w:themeFill="background1" w:themeFillShade="F2"/>
          </w:tcPr>
          <w:p w14:paraId="3313A852" w14:textId="17A76D58" w:rsidR="006C20A6" w:rsidRPr="00D80974" w:rsidRDefault="006C20A6" w:rsidP="00904788">
            <w:pPr>
              <w:pStyle w:val="Heading3"/>
              <w:spacing w:before="120"/>
            </w:pPr>
            <w:r w:rsidRPr="00D80974">
              <w:t>Outcome</w:t>
            </w:r>
          </w:p>
        </w:tc>
        <w:tc>
          <w:tcPr>
            <w:tcW w:w="3261" w:type="dxa"/>
            <w:shd w:val="clear" w:color="auto" w:fill="F2F2F2" w:themeFill="background1" w:themeFillShade="F2"/>
          </w:tcPr>
          <w:p w14:paraId="435A1E80" w14:textId="3D9378E4" w:rsidR="006C20A6" w:rsidRPr="00D80974" w:rsidRDefault="006C20A6" w:rsidP="006C20A6">
            <w:pPr>
              <w:pStyle w:val="Heading3"/>
              <w:spacing w:before="120"/>
            </w:pPr>
            <w:r w:rsidRPr="00D80974">
              <w:t>Description</w:t>
            </w:r>
          </w:p>
        </w:tc>
        <w:tc>
          <w:tcPr>
            <w:tcW w:w="2333" w:type="dxa"/>
            <w:shd w:val="clear" w:color="auto" w:fill="F2F2F2" w:themeFill="background1" w:themeFillShade="F2"/>
          </w:tcPr>
          <w:p w14:paraId="7AA1DE32" w14:textId="6D9C3D05" w:rsidR="006C20A6" w:rsidRPr="00D80974" w:rsidRDefault="006C20A6" w:rsidP="006C20A6">
            <w:pPr>
              <w:pStyle w:val="Heading3"/>
              <w:spacing w:before="120"/>
            </w:pPr>
            <w:r w:rsidRPr="00D80974">
              <w:t>Indicators</w:t>
            </w:r>
          </w:p>
        </w:tc>
      </w:tr>
      <w:tr w:rsidR="006C20A6" w:rsidRPr="00D80974" w14:paraId="086EBEE4" w14:textId="277EEE93" w:rsidTr="00A06BEB">
        <w:tc>
          <w:tcPr>
            <w:tcW w:w="1635" w:type="dxa"/>
            <w:shd w:val="clear" w:color="auto" w:fill="FAA629"/>
          </w:tcPr>
          <w:p w14:paraId="20747941" w14:textId="77777777" w:rsidR="006C20A6" w:rsidRPr="00D80974" w:rsidRDefault="006C20A6" w:rsidP="00904788">
            <w:pPr>
              <w:pStyle w:val="BodyText"/>
              <w:rPr>
                <w:b/>
                <w:bCs/>
              </w:rPr>
            </w:pPr>
            <w:r w:rsidRPr="00821307">
              <w:rPr>
                <w:b/>
                <w:bCs/>
              </w:rPr>
              <w:t>1. Safety and security</w:t>
            </w:r>
          </w:p>
        </w:tc>
        <w:tc>
          <w:tcPr>
            <w:tcW w:w="1737" w:type="dxa"/>
            <w:shd w:val="clear" w:color="auto" w:fill="FEF2DF"/>
          </w:tcPr>
          <w:p w14:paraId="2F5C712E" w14:textId="77777777" w:rsidR="006C20A6" w:rsidRPr="00D80974" w:rsidRDefault="006C20A6" w:rsidP="00904788">
            <w:pPr>
              <w:pStyle w:val="BodyText"/>
            </w:pPr>
            <w:r w:rsidRPr="00821307">
              <w:t>People are safe and have a sense of security and stability in their lives</w:t>
            </w:r>
          </w:p>
        </w:tc>
        <w:tc>
          <w:tcPr>
            <w:tcW w:w="3261" w:type="dxa"/>
            <w:shd w:val="clear" w:color="auto" w:fill="FEF2DF"/>
          </w:tcPr>
          <w:p w14:paraId="2FFFB0DC" w14:textId="77777777" w:rsidR="006C20A6" w:rsidRPr="00D80974" w:rsidRDefault="006C20A6" w:rsidP="008321AA">
            <w:pPr>
              <w:pStyle w:val="Tablebody"/>
            </w:pPr>
            <w:r w:rsidRPr="00D80974">
              <w:t>This outcome is about people being safe in their relationships, homes, online environments, communities and workplaces and free from threats to their safety.</w:t>
            </w:r>
          </w:p>
          <w:p w14:paraId="7F30BDDC" w14:textId="77777777" w:rsidR="006C20A6" w:rsidRPr="00D80974" w:rsidRDefault="006C20A6" w:rsidP="008321AA">
            <w:pPr>
              <w:pStyle w:val="Tablebody"/>
            </w:pPr>
            <w:r w:rsidRPr="00D80974">
              <w:t>It recognises that feeling safe and secure will help to build wellbeing and protect against suicide. People told us that with increased safety, they feel more in control of their lives, more hopeful about their future, and able to genuinely connect with others in meaningful and supportive relationships.</w:t>
            </w:r>
          </w:p>
          <w:p w14:paraId="10F347E0" w14:textId="2F9448B8" w:rsidR="006C20A6" w:rsidRPr="00D80974" w:rsidRDefault="006C20A6" w:rsidP="008321AA">
            <w:pPr>
              <w:pStyle w:val="Tablebody"/>
            </w:pPr>
            <w:r w:rsidRPr="00D80974">
              <w:t>Measurement of this outcome looks at whether more people are safe and fewer people have been impacted by violence and/or childhood adversity. It explores how these factors relate to people’s experiences of suicidal distress.</w:t>
            </w:r>
          </w:p>
        </w:tc>
        <w:tc>
          <w:tcPr>
            <w:tcW w:w="2333" w:type="dxa"/>
            <w:shd w:val="clear" w:color="auto" w:fill="FEF2DF"/>
          </w:tcPr>
          <w:p w14:paraId="2BAA79D8" w14:textId="637DD388" w:rsidR="006C20A6" w:rsidRPr="00D80974" w:rsidRDefault="006C20A6" w:rsidP="008321AA">
            <w:pPr>
              <w:pStyle w:val="Tablebullets"/>
            </w:pPr>
            <w:r w:rsidRPr="00D80974">
              <w:t>Increase in actual and perceived physical and psychological safety</w:t>
            </w:r>
          </w:p>
          <w:p w14:paraId="46111794" w14:textId="54907BA7" w:rsidR="006C20A6" w:rsidRPr="00D80974" w:rsidRDefault="006C20A6" w:rsidP="008321AA">
            <w:pPr>
              <w:pStyle w:val="Tablebullets"/>
            </w:pPr>
            <w:r w:rsidRPr="00D80974">
              <w:t>Increase in safety in the workplace</w:t>
            </w:r>
          </w:p>
          <w:p w14:paraId="18C266E1" w14:textId="45E498A6" w:rsidR="006C20A6" w:rsidRPr="00D80974" w:rsidRDefault="006C20A6" w:rsidP="008321AA">
            <w:pPr>
              <w:pStyle w:val="Tablebullets"/>
            </w:pPr>
            <w:r w:rsidRPr="00D80974">
              <w:t>Increase in online safety</w:t>
            </w:r>
          </w:p>
          <w:p w14:paraId="74F17E9B" w14:textId="6DC0F01E" w:rsidR="006C20A6" w:rsidRPr="00D80974" w:rsidRDefault="006C20A6" w:rsidP="008321AA">
            <w:pPr>
              <w:pStyle w:val="Tablebullets"/>
            </w:pPr>
            <w:r w:rsidRPr="00D80974">
              <w:t>Decrease in family, domestic and sexual violence</w:t>
            </w:r>
          </w:p>
          <w:p w14:paraId="6F92FB57" w14:textId="1DC8AA9C" w:rsidR="006C20A6" w:rsidRPr="00D80974" w:rsidRDefault="006C20A6" w:rsidP="008321AA">
            <w:pPr>
              <w:pStyle w:val="Tablebullets"/>
            </w:pPr>
            <w:r w:rsidRPr="00D80974">
              <w:t>Decrease in adverse childhood experiences</w:t>
            </w:r>
          </w:p>
          <w:p w14:paraId="4B933B11" w14:textId="3645D1F4" w:rsidR="006C20A6" w:rsidRPr="00D80974" w:rsidRDefault="006C20A6" w:rsidP="008321AA">
            <w:pPr>
              <w:pStyle w:val="Tablebullets"/>
            </w:pPr>
            <w:r w:rsidRPr="00D80974">
              <w:t>Decrease in community and societal violence</w:t>
            </w:r>
          </w:p>
        </w:tc>
      </w:tr>
      <w:tr w:rsidR="006C20A6" w:rsidRPr="00D80974" w14:paraId="43336B16" w14:textId="643A9392" w:rsidTr="00A06BEB">
        <w:tc>
          <w:tcPr>
            <w:tcW w:w="1635" w:type="dxa"/>
            <w:shd w:val="clear" w:color="auto" w:fill="FAA629"/>
          </w:tcPr>
          <w:p w14:paraId="1B9DE7C1" w14:textId="77777777" w:rsidR="006C20A6" w:rsidRPr="00D80974" w:rsidRDefault="006C20A6" w:rsidP="00904788">
            <w:pPr>
              <w:pStyle w:val="BodyText"/>
              <w:rPr>
                <w:b/>
                <w:bCs/>
              </w:rPr>
            </w:pPr>
            <w:r w:rsidRPr="00020DC5">
              <w:rPr>
                <w:b/>
                <w:bCs/>
              </w:rPr>
              <w:t>2. Good health</w:t>
            </w:r>
          </w:p>
        </w:tc>
        <w:tc>
          <w:tcPr>
            <w:tcW w:w="1737" w:type="dxa"/>
            <w:shd w:val="clear" w:color="auto" w:fill="FEF2DF"/>
          </w:tcPr>
          <w:p w14:paraId="13D09010" w14:textId="77777777" w:rsidR="006C20A6" w:rsidRPr="00D80974" w:rsidRDefault="006C20A6" w:rsidP="00904788">
            <w:pPr>
              <w:pStyle w:val="BodyText"/>
            </w:pPr>
            <w:r w:rsidRPr="00020DC5">
              <w:t>People experience good health enabling them to live their life with choice, purpose, meaning and satisfaction</w:t>
            </w:r>
          </w:p>
        </w:tc>
        <w:tc>
          <w:tcPr>
            <w:tcW w:w="3261" w:type="dxa"/>
            <w:shd w:val="clear" w:color="auto" w:fill="FEF2DF"/>
          </w:tcPr>
          <w:p w14:paraId="3FA8FAAF" w14:textId="6A85C64D" w:rsidR="00A06BEB" w:rsidRPr="00D80974" w:rsidRDefault="00A06BEB" w:rsidP="008321AA">
            <w:pPr>
              <w:pStyle w:val="Tablebody"/>
            </w:pPr>
            <w:r w:rsidRPr="00D80974">
              <w:t>This outcome is about people achieving their optimal physical and mental health and wellbeing.</w:t>
            </w:r>
          </w:p>
          <w:p w14:paraId="50A5DFDE" w14:textId="77777777" w:rsidR="00A06BEB" w:rsidRPr="00D80974" w:rsidRDefault="00A06BEB" w:rsidP="008321AA">
            <w:pPr>
              <w:pStyle w:val="Tablebody"/>
            </w:pPr>
            <w:r w:rsidRPr="00D80974">
              <w:t>It recognises that when people experience positive health outcomes, whether from improved health or reduced injury or illnesses, and there is a reduction in the harms associated with gambling, alcohol and other drugs, this contributes to wellbeing and protects against suicide.</w:t>
            </w:r>
          </w:p>
          <w:p w14:paraId="068A2EC1" w14:textId="77777777" w:rsidR="00A06BEB" w:rsidRPr="00D80974" w:rsidRDefault="00A06BEB" w:rsidP="008321AA">
            <w:pPr>
              <w:pStyle w:val="Tablebody"/>
            </w:pPr>
            <w:r w:rsidRPr="00D80974">
              <w:t>People told us that with good physical and mental health (relative to their lived experience and circumstances), they can make more choices about how they live their lives and engage in activities that give them greater meaning and satisfaction.</w:t>
            </w:r>
          </w:p>
          <w:p w14:paraId="70B3D871" w14:textId="17A94143" w:rsidR="006C20A6" w:rsidRPr="00D80974" w:rsidRDefault="00A06BEB" w:rsidP="008321AA">
            <w:pPr>
              <w:pStyle w:val="Tablebody"/>
            </w:pPr>
            <w:r w:rsidRPr="00D80974">
              <w:lastRenderedPageBreak/>
              <w:t>Measurement of this outcome looks at whether more people are healthy and fewer people are impacted by factors known to be harmful to health. It explores how these factors relate to people’s experiences of suicidal distress.</w:t>
            </w:r>
          </w:p>
        </w:tc>
        <w:tc>
          <w:tcPr>
            <w:tcW w:w="2333" w:type="dxa"/>
            <w:shd w:val="clear" w:color="auto" w:fill="FEF2DF"/>
          </w:tcPr>
          <w:p w14:paraId="30C4DDF1" w14:textId="66B694D5" w:rsidR="00A06BEB" w:rsidRPr="00D80974" w:rsidRDefault="00A06BEB" w:rsidP="008321AA">
            <w:pPr>
              <w:pStyle w:val="Tablebullets"/>
            </w:pPr>
            <w:r w:rsidRPr="00D80974">
              <w:lastRenderedPageBreak/>
              <w:t>Increase in quality of life and life satisfaction</w:t>
            </w:r>
          </w:p>
          <w:p w14:paraId="0B833514" w14:textId="7D12510E" w:rsidR="00A06BEB" w:rsidRPr="00D80974" w:rsidRDefault="00A06BEB" w:rsidP="008321AA">
            <w:pPr>
              <w:pStyle w:val="Tablebullets"/>
            </w:pPr>
            <w:r w:rsidRPr="00D80974">
              <w:t>Increase in positive physical and mental health</w:t>
            </w:r>
          </w:p>
          <w:p w14:paraId="43980187" w14:textId="42BC7B6C" w:rsidR="00A06BEB" w:rsidRPr="00D80974" w:rsidRDefault="00A06BEB" w:rsidP="008321AA">
            <w:pPr>
              <w:pStyle w:val="Tablebullets"/>
            </w:pPr>
            <w:r w:rsidRPr="00D80974">
              <w:t>Decrease in the harms associated with alcohol and other drugs</w:t>
            </w:r>
          </w:p>
          <w:p w14:paraId="363C2793" w14:textId="53D7C94E" w:rsidR="006C20A6" w:rsidRPr="00D80974" w:rsidRDefault="00A06BEB" w:rsidP="008321AA">
            <w:pPr>
              <w:pStyle w:val="Tablebullets"/>
            </w:pPr>
            <w:r w:rsidRPr="00D80974">
              <w:t>Decrease in the harms associated with gambling</w:t>
            </w:r>
          </w:p>
        </w:tc>
      </w:tr>
      <w:tr w:rsidR="006C20A6" w:rsidRPr="00D80974" w14:paraId="5F959EE9" w14:textId="52EC7C67" w:rsidTr="00A06BEB">
        <w:tc>
          <w:tcPr>
            <w:tcW w:w="1635" w:type="dxa"/>
            <w:shd w:val="clear" w:color="auto" w:fill="FAA629"/>
          </w:tcPr>
          <w:p w14:paraId="26A00A74" w14:textId="77777777" w:rsidR="006C20A6" w:rsidRPr="00D80974" w:rsidRDefault="006C20A6" w:rsidP="00904788">
            <w:pPr>
              <w:pStyle w:val="BodyText"/>
              <w:rPr>
                <w:b/>
                <w:bCs/>
              </w:rPr>
            </w:pPr>
            <w:r w:rsidRPr="00020DC5">
              <w:rPr>
                <w:b/>
                <w:bCs/>
              </w:rPr>
              <w:t>3. Economic security</w:t>
            </w:r>
          </w:p>
        </w:tc>
        <w:tc>
          <w:tcPr>
            <w:tcW w:w="1737" w:type="dxa"/>
            <w:shd w:val="clear" w:color="auto" w:fill="FEF2DF"/>
          </w:tcPr>
          <w:p w14:paraId="64BDC759" w14:textId="77777777" w:rsidR="006C20A6" w:rsidRPr="00D80974" w:rsidRDefault="006C20A6" w:rsidP="00904788">
            <w:pPr>
              <w:pStyle w:val="BodyText"/>
            </w:pPr>
            <w:r w:rsidRPr="00020DC5">
              <w:t>People have the financial and economic security to participate in activities that are meaningful to them</w:t>
            </w:r>
          </w:p>
        </w:tc>
        <w:tc>
          <w:tcPr>
            <w:tcW w:w="3261" w:type="dxa"/>
            <w:shd w:val="clear" w:color="auto" w:fill="FEF2DF"/>
          </w:tcPr>
          <w:p w14:paraId="64AF3937" w14:textId="77777777" w:rsidR="006471AA" w:rsidRPr="00D80974" w:rsidRDefault="006471AA" w:rsidP="008321AA">
            <w:pPr>
              <w:pStyle w:val="Tablebody"/>
            </w:pPr>
            <w:r w:rsidRPr="00D80974">
              <w:t>This outcome is about people being financially and economically secure.</w:t>
            </w:r>
          </w:p>
          <w:p w14:paraId="3132DCC8" w14:textId="77777777" w:rsidR="006471AA" w:rsidRPr="00D80974" w:rsidRDefault="006471AA" w:rsidP="008321AA">
            <w:pPr>
              <w:pStyle w:val="Tablebody"/>
            </w:pPr>
            <w:r w:rsidRPr="00D80974">
              <w:t>It recognises that this is not simply about people having more money. Rather, it is about providing people with better opportunities in education, employability and income support. This leads to increased security around income and housing, builds wellbeing and protects against suicide. This is especially true for people experiencing acute income and housing insecurity and chronic economic disadvantage. </w:t>
            </w:r>
          </w:p>
          <w:p w14:paraId="074CAA6B" w14:textId="77777777" w:rsidR="006471AA" w:rsidRPr="00D80974" w:rsidRDefault="006471AA" w:rsidP="008321AA">
            <w:pPr>
              <w:pStyle w:val="Tablebody"/>
            </w:pPr>
            <w:r w:rsidRPr="00D80974">
              <w:t>People told us that when they have increased economic security, they have greater choice and more opportunities to enrol in education, have meaningful employment, experience stability in how and where they live, and feel they are providing stability to their loved ones and contributing to their communities.</w:t>
            </w:r>
          </w:p>
          <w:p w14:paraId="73FD0222" w14:textId="69B5445E" w:rsidR="006C20A6" w:rsidRPr="00D80974" w:rsidRDefault="006471AA" w:rsidP="008321AA">
            <w:pPr>
              <w:pStyle w:val="Tablebody"/>
            </w:pPr>
            <w:r w:rsidRPr="00D80974">
              <w:t>Measurement of this outcome looks at whether more people are financially and economically secure and explores how this relates to people’s experiences of suicidal distress.</w:t>
            </w:r>
          </w:p>
        </w:tc>
        <w:tc>
          <w:tcPr>
            <w:tcW w:w="2333" w:type="dxa"/>
            <w:shd w:val="clear" w:color="auto" w:fill="FEF2DF"/>
          </w:tcPr>
          <w:p w14:paraId="202E7B49" w14:textId="77777777" w:rsidR="006471AA" w:rsidRPr="00D80974" w:rsidRDefault="006471AA" w:rsidP="008321AA">
            <w:pPr>
              <w:pStyle w:val="Tablebullets"/>
            </w:pPr>
            <w:r w:rsidRPr="00D80974">
              <w:t>Increase in economic security</w:t>
            </w:r>
          </w:p>
          <w:p w14:paraId="323C6EA5" w14:textId="77777777" w:rsidR="006471AA" w:rsidRPr="00D80974" w:rsidRDefault="006471AA" w:rsidP="008321AA">
            <w:pPr>
              <w:pStyle w:val="Tablebullets"/>
            </w:pPr>
            <w:r w:rsidRPr="00D80974">
              <w:t>Increase in stable, secure, safe and affordable housing</w:t>
            </w:r>
          </w:p>
          <w:p w14:paraId="536D8296" w14:textId="77777777" w:rsidR="006471AA" w:rsidRPr="00D80974" w:rsidRDefault="006471AA" w:rsidP="008321AA">
            <w:pPr>
              <w:pStyle w:val="Tablebullets"/>
            </w:pPr>
            <w:r w:rsidRPr="00D80974">
              <w:t>Increase in engagement in meaningful education, employment and activities</w:t>
            </w:r>
          </w:p>
          <w:p w14:paraId="556D6E6F" w14:textId="2B379BBF" w:rsidR="006C20A6" w:rsidRPr="00D80974" w:rsidRDefault="006471AA" w:rsidP="008321AA">
            <w:pPr>
              <w:pStyle w:val="Tablebullets"/>
            </w:pPr>
            <w:r w:rsidRPr="00D80974">
              <w:t>Increase in financial literacy and resilience</w:t>
            </w:r>
          </w:p>
        </w:tc>
      </w:tr>
      <w:tr w:rsidR="006C20A6" w:rsidRPr="00D80974" w14:paraId="36C8742E" w14:textId="1D7ABA05" w:rsidTr="00A06BEB">
        <w:tc>
          <w:tcPr>
            <w:tcW w:w="1635" w:type="dxa"/>
            <w:shd w:val="clear" w:color="auto" w:fill="FAA629"/>
          </w:tcPr>
          <w:p w14:paraId="09FE3AF9" w14:textId="77777777" w:rsidR="006C20A6" w:rsidRPr="00D80974" w:rsidRDefault="006C20A6" w:rsidP="00904788">
            <w:pPr>
              <w:pStyle w:val="BodyText"/>
              <w:rPr>
                <w:b/>
                <w:bCs/>
              </w:rPr>
            </w:pPr>
            <w:r w:rsidRPr="00020DC5">
              <w:rPr>
                <w:b/>
                <w:bCs/>
              </w:rPr>
              <w:t>4. Social inclusion</w:t>
            </w:r>
          </w:p>
        </w:tc>
        <w:tc>
          <w:tcPr>
            <w:tcW w:w="1737" w:type="dxa"/>
            <w:shd w:val="clear" w:color="auto" w:fill="FEF2DF"/>
          </w:tcPr>
          <w:p w14:paraId="79290C44" w14:textId="77777777" w:rsidR="006C20A6" w:rsidRPr="00D80974" w:rsidRDefault="006C20A6" w:rsidP="00904788">
            <w:pPr>
              <w:pStyle w:val="BodyText"/>
            </w:pPr>
            <w:r w:rsidRPr="00020DC5">
              <w:t>People are respected and valued for who they are and have a sense of belonging from their connections with other people</w:t>
            </w:r>
          </w:p>
        </w:tc>
        <w:tc>
          <w:tcPr>
            <w:tcW w:w="3261" w:type="dxa"/>
            <w:shd w:val="clear" w:color="auto" w:fill="FEF2DF"/>
          </w:tcPr>
          <w:p w14:paraId="3334AB05" w14:textId="77777777" w:rsidR="006471AA" w:rsidRPr="00D80974" w:rsidRDefault="006471AA" w:rsidP="008321AA">
            <w:pPr>
              <w:pStyle w:val="Tablebody"/>
            </w:pPr>
            <w:r w:rsidRPr="00D80974">
              <w:t>This outcome is about people being valued by and connected with other people.</w:t>
            </w:r>
          </w:p>
          <w:p w14:paraId="0691BE0E" w14:textId="1D49334D" w:rsidR="006471AA" w:rsidRPr="00D80974" w:rsidRDefault="006471AA" w:rsidP="008321AA">
            <w:pPr>
              <w:pStyle w:val="Tablebody"/>
            </w:pPr>
            <w:r w:rsidRPr="00D80974">
              <w:t>It recognises that with greater social capital and connections, people are valued and recognised in their communities, and their sense of self-worth increases through these community connections. It also recognises that people need meaningful and genuine connections with other people to feel valued, accepted and included. Being valued and connected builds wellbeing and protects against suicide.</w:t>
            </w:r>
          </w:p>
          <w:p w14:paraId="2034CD65" w14:textId="77777777" w:rsidR="006471AA" w:rsidRPr="00D80974" w:rsidRDefault="006471AA" w:rsidP="008321AA">
            <w:pPr>
              <w:pStyle w:val="Tablebody"/>
            </w:pPr>
            <w:r w:rsidRPr="00D80974">
              <w:lastRenderedPageBreak/>
              <w:t>People told us that when they meaningfully connect with other people, have their role and contributions recognised, and can participate in community and culture without judgement or stigma, they have a stronger identity, feel more self-worth and are more likely to know how to live without distress.</w:t>
            </w:r>
          </w:p>
          <w:p w14:paraId="5DDAB41D" w14:textId="3F668585" w:rsidR="006C20A6" w:rsidRPr="00D80974" w:rsidRDefault="006471AA" w:rsidP="008321AA">
            <w:pPr>
              <w:pStyle w:val="Tablebody"/>
            </w:pPr>
            <w:r w:rsidRPr="00D80974">
              <w:t>Measurement of this outcome looks at whether more people are connected to other people and fewer people are excluded or lonely. It explores how these factors relate to people’s experiences of suicidal distress.</w:t>
            </w:r>
          </w:p>
        </w:tc>
        <w:tc>
          <w:tcPr>
            <w:tcW w:w="2333" w:type="dxa"/>
            <w:shd w:val="clear" w:color="auto" w:fill="FEF2DF"/>
          </w:tcPr>
          <w:p w14:paraId="53EDD81C" w14:textId="77777777" w:rsidR="006471AA" w:rsidRPr="00D80974" w:rsidRDefault="006471AA" w:rsidP="008321AA">
            <w:pPr>
              <w:pStyle w:val="Tablebullets"/>
            </w:pPr>
            <w:r w:rsidRPr="00D80974">
              <w:lastRenderedPageBreak/>
              <w:t>Increase in people’s experience of social inclusion and community connection</w:t>
            </w:r>
          </w:p>
          <w:p w14:paraId="668881B0" w14:textId="77777777" w:rsidR="006471AA" w:rsidRPr="00D80974" w:rsidRDefault="006471AA" w:rsidP="008321AA">
            <w:pPr>
              <w:pStyle w:val="Tablebullets"/>
            </w:pPr>
            <w:r w:rsidRPr="00D80974">
              <w:t>Decrease in experiences of discrimination, stigma and exclusion</w:t>
            </w:r>
          </w:p>
          <w:p w14:paraId="083F2391" w14:textId="4B5694BB" w:rsidR="006C20A6" w:rsidRPr="00D80974" w:rsidRDefault="006471AA" w:rsidP="008321AA">
            <w:pPr>
              <w:pStyle w:val="Tablebullets"/>
            </w:pPr>
            <w:r w:rsidRPr="00D80974">
              <w:t>Decrease in people experiencing loneliness</w:t>
            </w:r>
          </w:p>
        </w:tc>
      </w:tr>
      <w:tr w:rsidR="006C20A6" w:rsidRPr="00D80974" w14:paraId="474C431C" w14:textId="50CA800F" w:rsidTr="00A06BEB">
        <w:tc>
          <w:tcPr>
            <w:tcW w:w="1635" w:type="dxa"/>
            <w:shd w:val="clear" w:color="auto" w:fill="FAA629"/>
          </w:tcPr>
          <w:p w14:paraId="431DDCB5" w14:textId="77777777" w:rsidR="006C20A6" w:rsidRPr="00D80974" w:rsidRDefault="006C20A6" w:rsidP="00904788">
            <w:pPr>
              <w:pStyle w:val="BodyText"/>
              <w:rPr>
                <w:b/>
                <w:bCs/>
              </w:rPr>
            </w:pPr>
            <w:r w:rsidRPr="00020DC5">
              <w:rPr>
                <w:b/>
                <w:bCs/>
              </w:rPr>
              <w:t>5. Navigating life transitions</w:t>
            </w:r>
          </w:p>
        </w:tc>
        <w:tc>
          <w:tcPr>
            <w:tcW w:w="1737" w:type="dxa"/>
            <w:shd w:val="clear" w:color="auto" w:fill="FEF2DF"/>
          </w:tcPr>
          <w:p w14:paraId="6BA8D6FB" w14:textId="77777777" w:rsidR="006C20A6" w:rsidRPr="00D80974" w:rsidRDefault="006C20A6" w:rsidP="00904788">
            <w:pPr>
              <w:pStyle w:val="BodyText"/>
            </w:pPr>
            <w:r w:rsidRPr="00020DC5">
              <w:t>People can navigate life transitions with agency and hope for their future</w:t>
            </w:r>
          </w:p>
        </w:tc>
        <w:tc>
          <w:tcPr>
            <w:tcW w:w="3261" w:type="dxa"/>
            <w:shd w:val="clear" w:color="auto" w:fill="FEF2DF"/>
          </w:tcPr>
          <w:p w14:paraId="3D110D5B" w14:textId="77777777" w:rsidR="006471AA" w:rsidRPr="00D80974" w:rsidRDefault="006471AA" w:rsidP="008321AA">
            <w:pPr>
              <w:pStyle w:val="Tablebody"/>
            </w:pPr>
            <w:r w:rsidRPr="00D80974">
              <w:t>This outcome is about people experiencing less distress during life transitions such as leaving school, moving communities and homes, changing relationships, losing loved ones, coming out, changing faith, transitioning from the Australian Defence Force, losing or retiring from employment, or moving to Australia as a refugee or migrant. It also includes the distress people and communities can experience from disasters and emergencies.</w:t>
            </w:r>
          </w:p>
          <w:p w14:paraId="523A26FC" w14:textId="77777777" w:rsidR="006471AA" w:rsidRPr="00D80974" w:rsidRDefault="006471AA" w:rsidP="008321AA">
            <w:pPr>
              <w:pStyle w:val="Tablebody"/>
            </w:pPr>
            <w:r w:rsidRPr="00D80974">
              <w:t xml:space="preserve">It recognises that life changes can disrupt a person’s sense of purpose, identity, support networks and safety, especially when combined with other stressors. It also recognises that </w:t>
            </w:r>
            <w:proofErr w:type="gramStart"/>
            <w:r w:rsidRPr="00D80974">
              <w:t>taking action</w:t>
            </w:r>
            <w:proofErr w:type="gramEnd"/>
            <w:r w:rsidRPr="00D80974">
              <w:t xml:space="preserve"> before, during and after transitions helps people stay connected, supported and less at risk of suicidal distress.</w:t>
            </w:r>
          </w:p>
          <w:p w14:paraId="1BF683F7" w14:textId="77777777" w:rsidR="006471AA" w:rsidRPr="00D80974" w:rsidRDefault="006471AA" w:rsidP="008321AA">
            <w:pPr>
              <w:pStyle w:val="Tablebody"/>
            </w:pPr>
            <w:r w:rsidRPr="00D80974">
              <w:t>People told us that when they are more knowledgeable and supported to deal with transitions, they feel safer, less distressed about the transition, more in control of their lives, and more hopeful and confident about their future.</w:t>
            </w:r>
          </w:p>
          <w:p w14:paraId="228515AC" w14:textId="5B315C37" w:rsidR="006C20A6" w:rsidRPr="00D80974" w:rsidRDefault="006471AA" w:rsidP="008321AA">
            <w:pPr>
              <w:pStyle w:val="Tablebody"/>
            </w:pPr>
            <w:r w:rsidRPr="00D80974">
              <w:t xml:space="preserve">Measurement of this outcome looks at whether more people are confident to navigate life transitions and fewer people experience suicidal distress because of these transitions. It explores how these factors relate to </w:t>
            </w:r>
            <w:r w:rsidRPr="00D80974">
              <w:lastRenderedPageBreak/>
              <w:t>people’s experiences of suicidal distress.</w:t>
            </w:r>
          </w:p>
        </w:tc>
        <w:tc>
          <w:tcPr>
            <w:tcW w:w="2333" w:type="dxa"/>
            <w:shd w:val="clear" w:color="auto" w:fill="FEF2DF"/>
          </w:tcPr>
          <w:p w14:paraId="54729444" w14:textId="77777777" w:rsidR="006471AA" w:rsidRPr="00D80974" w:rsidRDefault="006471AA" w:rsidP="008321AA">
            <w:pPr>
              <w:pStyle w:val="Tablebullets"/>
            </w:pPr>
            <w:r w:rsidRPr="00D80974">
              <w:lastRenderedPageBreak/>
              <w:t>Increase in resilience, agency and self-confidence to navigate challenging life transitions</w:t>
            </w:r>
          </w:p>
          <w:p w14:paraId="4AAEE937" w14:textId="77777777" w:rsidR="006471AA" w:rsidRPr="00D80974" w:rsidRDefault="006471AA" w:rsidP="008321AA">
            <w:pPr>
              <w:pStyle w:val="Tablebullets"/>
            </w:pPr>
            <w:r w:rsidRPr="00D80974">
              <w:t>Decrease in suicidal distress from life stressors associated with life transitions</w:t>
            </w:r>
          </w:p>
          <w:p w14:paraId="039F8EE1" w14:textId="3335CE21" w:rsidR="006C20A6" w:rsidRPr="00D80974" w:rsidRDefault="006471AA" w:rsidP="008321AA">
            <w:pPr>
              <w:pStyle w:val="Tablebullets"/>
            </w:pPr>
            <w:r w:rsidRPr="00D80974">
              <w:t>Decrease in loss of and disruption to existing support networks</w:t>
            </w:r>
          </w:p>
        </w:tc>
      </w:tr>
      <w:tr w:rsidR="006C20A6" w:rsidRPr="00D80974" w14:paraId="1A5A44BB" w14:textId="1D9B7DDD" w:rsidTr="00A06BEB">
        <w:tc>
          <w:tcPr>
            <w:tcW w:w="1635" w:type="dxa"/>
            <w:shd w:val="clear" w:color="auto" w:fill="FAA629"/>
          </w:tcPr>
          <w:p w14:paraId="53B7609D" w14:textId="77777777" w:rsidR="006C20A6" w:rsidRPr="00D80974" w:rsidRDefault="006C20A6" w:rsidP="00904788">
            <w:pPr>
              <w:pStyle w:val="BodyText"/>
              <w:rPr>
                <w:b/>
                <w:bCs/>
              </w:rPr>
            </w:pPr>
            <w:r w:rsidRPr="00D80974">
              <w:rPr>
                <w:b/>
                <w:bCs/>
              </w:rPr>
              <w:t>Communities</w:t>
            </w:r>
          </w:p>
        </w:tc>
        <w:tc>
          <w:tcPr>
            <w:tcW w:w="1737" w:type="dxa"/>
            <w:shd w:val="clear" w:color="auto" w:fill="FEF2DF"/>
          </w:tcPr>
          <w:p w14:paraId="3D023FE7" w14:textId="77777777" w:rsidR="006C20A6" w:rsidRPr="00D80974" w:rsidRDefault="006C20A6" w:rsidP="00904788">
            <w:pPr>
              <w:pStyle w:val="BodyText"/>
            </w:pPr>
            <w:r w:rsidRPr="00020DC5">
              <w:t xml:space="preserve">Communities have the capacity to address the social determinants </w:t>
            </w:r>
            <w:r w:rsidRPr="00020DC5">
              <w:br/>
              <w:t>of suicide and protect against suicide</w:t>
            </w:r>
          </w:p>
        </w:tc>
        <w:tc>
          <w:tcPr>
            <w:tcW w:w="3261" w:type="dxa"/>
            <w:shd w:val="clear" w:color="auto" w:fill="FEF2DF"/>
          </w:tcPr>
          <w:p w14:paraId="3FE26592" w14:textId="77777777" w:rsidR="006471AA" w:rsidRPr="00D80974" w:rsidRDefault="006471AA" w:rsidP="008321AA">
            <w:pPr>
              <w:pStyle w:val="Tablebody"/>
            </w:pPr>
            <w:r w:rsidRPr="00D80974">
              <w:t>This outcome is about communities having the capacity to address the social determinants of suicide such as community violence, racism, stigma and discrimination, while building protective factors against suicide such as inclusivity, cohesion and connection.</w:t>
            </w:r>
          </w:p>
          <w:p w14:paraId="6B5F70D2" w14:textId="6ED4473C" w:rsidR="006471AA" w:rsidRPr="00D80974" w:rsidRDefault="006471AA" w:rsidP="008321AA">
            <w:pPr>
              <w:pStyle w:val="Tablebody"/>
            </w:pPr>
            <w:r w:rsidRPr="00D80974">
              <w:t>It recognises that community</w:t>
            </w:r>
            <w:r w:rsidR="00045B16">
              <w:t xml:space="preserve"> </w:t>
            </w:r>
            <w:r w:rsidRPr="00D80974">
              <w:t>violence, stigma and discrimination lead to people feeling unsafe and marginalised, which can lead to suicidal distress, particularly when combined with other stressors. It also recognises that strong, inclusive communities help people to thrive. Communities, particularly marginalised ones, benefit from being able to take targeted action to</w:t>
            </w:r>
            <w:r w:rsidR="00045B16">
              <w:t xml:space="preserve"> </w:t>
            </w:r>
            <w:r w:rsidRPr="00D80974">
              <w:t>address social determinants</w:t>
            </w:r>
            <w:r w:rsidR="00045B16">
              <w:t xml:space="preserve"> </w:t>
            </w:r>
            <w:r w:rsidRPr="00D80974">
              <w:t>and strengthen their protective capability against suicide.</w:t>
            </w:r>
          </w:p>
          <w:p w14:paraId="47781FE0" w14:textId="370A5C43" w:rsidR="006471AA" w:rsidRPr="00D80974" w:rsidRDefault="006471AA" w:rsidP="008321AA">
            <w:pPr>
              <w:pStyle w:val="Tablebody"/>
            </w:pPr>
            <w:r w:rsidRPr="00D80974">
              <w:t>People told us that the communities they belong to strongly shape how they see themselves, which can be both helpful and unhelpful when experiencing suicidal distress. People said that the strongest communities are those that are diverse,</w:t>
            </w:r>
            <w:r w:rsidR="00045B16">
              <w:t xml:space="preserve"> </w:t>
            </w:r>
            <w:r w:rsidRPr="00D80974">
              <w:t>where people feel included and</w:t>
            </w:r>
            <w:r w:rsidR="00045B16">
              <w:t xml:space="preserve"> l</w:t>
            </w:r>
            <w:r w:rsidRPr="00D80974">
              <w:t>istened to, and everyone is supported to participate fully. Collaboration between government, services and business helps build these environments and promote safety and connection.</w:t>
            </w:r>
          </w:p>
          <w:p w14:paraId="3D2F506A" w14:textId="666BAA51" w:rsidR="006C20A6" w:rsidRPr="00D80974" w:rsidRDefault="006471AA" w:rsidP="008321AA">
            <w:pPr>
              <w:pStyle w:val="Tablebody"/>
            </w:pPr>
            <w:r w:rsidRPr="00D80974">
              <w:t>Measurement of this outcome looks at whether communities have the capacity to address the social determinants of suicide and build protection against suicide. It explores how these factors relate to people’s experiences of suicidal distress.</w:t>
            </w:r>
          </w:p>
        </w:tc>
        <w:tc>
          <w:tcPr>
            <w:tcW w:w="2333" w:type="dxa"/>
            <w:shd w:val="clear" w:color="auto" w:fill="FEF2DF"/>
          </w:tcPr>
          <w:p w14:paraId="332F756C" w14:textId="77777777" w:rsidR="006471AA" w:rsidRPr="00D80974" w:rsidRDefault="006471AA" w:rsidP="008321AA">
            <w:pPr>
              <w:pStyle w:val="Tablebullets"/>
            </w:pPr>
            <w:r w:rsidRPr="00D80974">
              <w:t>Increase in communities’ capacity to address the social determinants of suicide </w:t>
            </w:r>
          </w:p>
          <w:p w14:paraId="3EB88FFE" w14:textId="77777777" w:rsidR="006471AA" w:rsidRPr="00D80974" w:rsidRDefault="006471AA" w:rsidP="008321AA">
            <w:pPr>
              <w:pStyle w:val="Tablebullets"/>
            </w:pPr>
            <w:r w:rsidRPr="00D80974">
              <w:t>Increase in community inclusivity and cohesiveness, especially for groups disproportionately impacted by suicide</w:t>
            </w:r>
          </w:p>
          <w:p w14:paraId="713849E5" w14:textId="4978E25B" w:rsidR="006C20A6" w:rsidRPr="00D80974" w:rsidRDefault="006471AA" w:rsidP="008321AA">
            <w:pPr>
              <w:pStyle w:val="Tablebullets"/>
            </w:pPr>
            <w:r w:rsidRPr="00D80974">
              <w:t>Decrease in community violence, stigma and discrimination, especially for groups disproportionately impacted by suicide  </w:t>
            </w:r>
          </w:p>
        </w:tc>
      </w:tr>
    </w:tbl>
    <w:p w14:paraId="655C621F" w14:textId="2A6E61E4" w:rsidR="006C2369" w:rsidRPr="00D80974" w:rsidRDefault="006C2369">
      <w:pPr>
        <w:rPr>
          <w:rFonts w:ascii="Calibri" w:eastAsia="Calibri" w:hAnsi="Calibri" w:cs="Calibri"/>
          <w:color w:val="000000" w:themeColor="text1"/>
          <w:kern w:val="0"/>
          <w:sz w:val="22"/>
          <w:szCs w:val="22"/>
          <w:vertAlign w:val="superscript"/>
          <w:lang w:eastAsia="en-AU"/>
          <w14:ligatures w14:val="none"/>
        </w:rPr>
      </w:pPr>
      <w:r w:rsidRPr="00D80974">
        <w:rPr>
          <w:vertAlign w:val="superscript"/>
        </w:rPr>
        <w:br w:type="page"/>
      </w:r>
    </w:p>
    <w:p w14:paraId="398EC778" w14:textId="1B77684B" w:rsidR="008321AA" w:rsidRPr="00D80974" w:rsidRDefault="00DB6834" w:rsidP="008321AA">
      <w:pPr>
        <w:pStyle w:val="Heading2"/>
      </w:pPr>
      <w:bookmarkStart w:id="14" w:name="_Toc214464818"/>
      <w:bookmarkStart w:id="15" w:name="_Toc214889315"/>
      <w:r w:rsidRPr="00D80974">
        <w:lastRenderedPageBreak/>
        <w:t>Support</w:t>
      </w:r>
      <w:r w:rsidR="008321AA" w:rsidRPr="00D80974">
        <w:t xml:space="preserve"> Outcomes</w:t>
      </w:r>
      <w:bookmarkEnd w:id="14"/>
      <w:bookmarkEnd w:id="15"/>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238"/>
        <w:gridCol w:w="6688"/>
      </w:tblGrid>
      <w:tr w:rsidR="008321AA" w:rsidRPr="00D80974" w14:paraId="190B1E91" w14:textId="77777777" w:rsidTr="00904788">
        <w:trPr>
          <w:tblHeader/>
        </w:trPr>
        <w:tc>
          <w:tcPr>
            <w:tcW w:w="2238" w:type="dxa"/>
            <w:shd w:val="clear" w:color="auto" w:fill="F2F2F2" w:themeFill="background1" w:themeFillShade="F2"/>
          </w:tcPr>
          <w:p w14:paraId="358728FA" w14:textId="174B5C8F" w:rsidR="008321AA" w:rsidRPr="00D80974" w:rsidRDefault="008321AA" w:rsidP="00904788">
            <w:pPr>
              <w:pStyle w:val="Heading3"/>
              <w:spacing w:before="120"/>
            </w:pPr>
            <w:r w:rsidRPr="00D80974">
              <w:t>Domain</w:t>
            </w:r>
          </w:p>
        </w:tc>
        <w:tc>
          <w:tcPr>
            <w:tcW w:w="6688" w:type="dxa"/>
            <w:shd w:val="clear" w:color="auto" w:fill="F2F2F2" w:themeFill="background1" w:themeFillShade="F2"/>
          </w:tcPr>
          <w:p w14:paraId="1D3BC541" w14:textId="77777777" w:rsidR="008321AA" w:rsidRPr="00D80974" w:rsidRDefault="008321AA" w:rsidP="00904788">
            <w:pPr>
              <w:pStyle w:val="Heading3"/>
              <w:spacing w:before="120"/>
            </w:pPr>
            <w:r w:rsidRPr="00D80974">
              <w:t>Domain aim</w:t>
            </w:r>
          </w:p>
        </w:tc>
      </w:tr>
      <w:tr w:rsidR="00DB6834" w:rsidRPr="00D80974" w14:paraId="1F424B1A" w14:textId="77777777" w:rsidTr="008321AA">
        <w:tc>
          <w:tcPr>
            <w:tcW w:w="2238" w:type="dxa"/>
            <w:shd w:val="clear" w:color="auto" w:fill="1EAF59"/>
          </w:tcPr>
          <w:p w14:paraId="5AA04CE2" w14:textId="77FD5ACD" w:rsidR="00DB6834" w:rsidRPr="00D80974" w:rsidRDefault="00DB6834" w:rsidP="00DB6834">
            <w:pPr>
              <w:pStyle w:val="BodyText"/>
              <w:rPr>
                <w:b/>
                <w:bCs/>
              </w:rPr>
            </w:pPr>
            <w:r w:rsidRPr="008321AA">
              <w:rPr>
                <w:b/>
                <w:bCs/>
              </w:rPr>
              <w:t>Support for people experiencing suicidal thoughts and behaviours and people who care for them</w:t>
            </w:r>
          </w:p>
        </w:tc>
        <w:tc>
          <w:tcPr>
            <w:tcW w:w="6688" w:type="dxa"/>
            <w:shd w:val="clear" w:color="auto" w:fill="DDF3E6"/>
          </w:tcPr>
          <w:p w14:paraId="52B25A62" w14:textId="7FC45650" w:rsidR="00DB6834" w:rsidRPr="00D80974" w:rsidRDefault="00DB6834" w:rsidP="00DB6834">
            <w:pPr>
              <w:pStyle w:val="BodyText"/>
            </w:pPr>
            <w:r w:rsidRPr="008321AA">
              <w:t>People who experience suicidal distress are supported effectively</w:t>
            </w:r>
          </w:p>
        </w:tc>
      </w:tr>
    </w:tbl>
    <w:p w14:paraId="4D47F4B1" w14:textId="77777777" w:rsidR="008321AA" w:rsidRPr="00D80974" w:rsidRDefault="008321AA" w:rsidP="008321AA">
      <w:pPr>
        <w:rPr>
          <w:vertAlign w:val="superscript"/>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5"/>
        <w:gridCol w:w="1737"/>
        <w:gridCol w:w="3261"/>
        <w:gridCol w:w="2333"/>
      </w:tblGrid>
      <w:tr w:rsidR="008321AA" w:rsidRPr="00D80974" w14:paraId="733C86A2" w14:textId="77777777" w:rsidTr="00904788">
        <w:trPr>
          <w:tblHeader/>
        </w:trPr>
        <w:tc>
          <w:tcPr>
            <w:tcW w:w="1635" w:type="dxa"/>
            <w:shd w:val="clear" w:color="auto" w:fill="F2F2F2" w:themeFill="background1" w:themeFillShade="F2"/>
          </w:tcPr>
          <w:p w14:paraId="5C8318BE" w14:textId="77777777" w:rsidR="008321AA" w:rsidRPr="00D80974" w:rsidRDefault="008321AA" w:rsidP="00904788">
            <w:pPr>
              <w:pStyle w:val="Heading3"/>
              <w:spacing w:before="120"/>
            </w:pPr>
            <w:r w:rsidRPr="00D80974">
              <w:t>Key objective</w:t>
            </w:r>
          </w:p>
        </w:tc>
        <w:tc>
          <w:tcPr>
            <w:tcW w:w="1737" w:type="dxa"/>
            <w:shd w:val="clear" w:color="auto" w:fill="F2F2F2" w:themeFill="background1" w:themeFillShade="F2"/>
          </w:tcPr>
          <w:p w14:paraId="2C592730" w14:textId="77777777" w:rsidR="008321AA" w:rsidRPr="00D80974" w:rsidRDefault="008321AA" w:rsidP="00904788">
            <w:pPr>
              <w:pStyle w:val="Heading3"/>
              <w:spacing w:before="120"/>
            </w:pPr>
            <w:r w:rsidRPr="00D80974">
              <w:t>Outcome</w:t>
            </w:r>
          </w:p>
        </w:tc>
        <w:tc>
          <w:tcPr>
            <w:tcW w:w="3261" w:type="dxa"/>
            <w:shd w:val="clear" w:color="auto" w:fill="F2F2F2" w:themeFill="background1" w:themeFillShade="F2"/>
          </w:tcPr>
          <w:p w14:paraId="73412112" w14:textId="77777777" w:rsidR="008321AA" w:rsidRPr="00D80974" w:rsidRDefault="008321AA" w:rsidP="00904788">
            <w:pPr>
              <w:pStyle w:val="Heading3"/>
              <w:spacing w:before="120"/>
            </w:pPr>
            <w:r w:rsidRPr="00D80974">
              <w:t>Description</w:t>
            </w:r>
          </w:p>
        </w:tc>
        <w:tc>
          <w:tcPr>
            <w:tcW w:w="2333" w:type="dxa"/>
            <w:shd w:val="clear" w:color="auto" w:fill="F2F2F2" w:themeFill="background1" w:themeFillShade="F2"/>
          </w:tcPr>
          <w:p w14:paraId="249E9811" w14:textId="77777777" w:rsidR="008321AA" w:rsidRPr="00D80974" w:rsidRDefault="008321AA" w:rsidP="00904788">
            <w:pPr>
              <w:pStyle w:val="Heading3"/>
              <w:spacing w:before="120"/>
            </w:pPr>
            <w:r w:rsidRPr="00D80974">
              <w:t>Indicators</w:t>
            </w:r>
          </w:p>
        </w:tc>
      </w:tr>
      <w:tr w:rsidR="008321AA" w:rsidRPr="00D80974" w14:paraId="5F7F89F0" w14:textId="77777777" w:rsidTr="008321AA">
        <w:tc>
          <w:tcPr>
            <w:tcW w:w="1635" w:type="dxa"/>
            <w:shd w:val="clear" w:color="auto" w:fill="1EAF59"/>
          </w:tcPr>
          <w:p w14:paraId="7405F979" w14:textId="3DDB52BC" w:rsidR="008321AA" w:rsidRPr="00D80974" w:rsidRDefault="00B30077" w:rsidP="00904788">
            <w:pPr>
              <w:pStyle w:val="BodyText"/>
              <w:rPr>
                <w:b/>
                <w:bCs/>
              </w:rPr>
            </w:pPr>
            <w:r w:rsidRPr="00B30077">
              <w:rPr>
                <w:b/>
                <w:bCs/>
              </w:rPr>
              <w:t>6. Culture of compassion</w:t>
            </w:r>
          </w:p>
        </w:tc>
        <w:tc>
          <w:tcPr>
            <w:tcW w:w="1737" w:type="dxa"/>
            <w:shd w:val="clear" w:color="auto" w:fill="DDF3E6"/>
          </w:tcPr>
          <w:p w14:paraId="24408421" w14:textId="1064C61A" w:rsidR="008321AA" w:rsidRPr="00D80974" w:rsidRDefault="00B30077" w:rsidP="00904788">
            <w:pPr>
              <w:pStyle w:val="BodyText"/>
            </w:pPr>
            <w:r w:rsidRPr="00B30077">
              <w:t xml:space="preserve">People are supported with compassion and </w:t>
            </w:r>
            <w:proofErr w:type="gramStart"/>
            <w:r w:rsidRPr="00B30077">
              <w:t>respect</w:t>
            </w:r>
            <w:proofErr w:type="gramEnd"/>
            <w:r w:rsidRPr="00B30077">
              <w:t xml:space="preserve"> and experience supports that partner with them in making decisions</w:t>
            </w:r>
          </w:p>
        </w:tc>
        <w:tc>
          <w:tcPr>
            <w:tcW w:w="3261" w:type="dxa"/>
            <w:shd w:val="clear" w:color="auto" w:fill="DDF3E6"/>
          </w:tcPr>
          <w:p w14:paraId="1BC06190" w14:textId="77777777" w:rsidR="00B30077" w:rsidRPr="00B30077" w:rsidRDefault="00B30077" w:rsidP="00B30077">
            <w:pPr>
              <w:pStyle w:val="Tablebody"/>
            </w:pPr>
            <w:r w:rsidRPr="00B30077">
              <w:t>This outcome is about suicide prevention supports that respond to people with compassion and respect.</w:t>
            </w:r>
          </w:p>
          <w:p w14:paraId="3E6BA48F" w14:textId="77777777" w:rsidR="00B30077" w:rsidRPr="00B30077" w:rsidRDefault="00B30077" w:rsidP="00B30077">
            <w:pPr>
              <w:pStyle w:val="Tablebody"/>
            </w:pPr>
            <w:r w:rsidRPr="00B30077">
              <w:t>It reflects the importance of recognising a person’s unique context and lived experience, and the need for people to feel understood, valued and heard when seeking support. It recognises that if supports do this, people would have more positive experiences and outcomes and would be more likely to seek support again.</w:t>
            </w:r>
          </w:p>
          <w:p w14:paraId="4294D438" w14:textId="5753BD04" w:rsidR="00B30077" w:rsidRPr="00B30077" w:rsidRDefault="00B30077" w:rsidP="00B30077">
            <w:pPr>
              <w:pStyle w:val="Tablebody"/>
            </w:pPr>
            <w:r w:rsidRPr="00B30077">
              <w:t>People told us they would seek out supports they trust to treat them with respect and genuine care and work with them to shape care around their specific needs.</w:t>
            </w:r>
          </w:p>
          <w:p w14:paraId="2CE20DCA" w14:textId="629E531D" w:rsidR="008321AA" w:rsidRPr="00D80974" w:rsidRDefault="00B30077" w:rsidP="00B30077">
            <w:pPr>
              <w:pStyle w:val="Tablebody"/>
            </w:pPr>
            <w:r w:rsidRPr="00D80974">
              <w:t>Measurement of this outcome looks at whether people feel more understood and empowered by supports and explores how this relates to people’s experiences of suicide.</w:t>
            </w:r>
          </w:p>
        </w:tc>
        <w:tc>
          <w:tcPr>
            <w:tcW w:w="2333" w:type="dxa"/>
            <w:shd w:val="clear" w:color="auto" w:fill="DDF3E6"/>
          </w:tcPr>
          <w:p w14:paraId="2BE2FED4" w14:textId="77777777" w:rsidR="00B30077" w:rsidRPr="00B30077" w:rsidRDefault="00B30077" w:rsidP="00B30077">
            <w:pPr>
              <w:pStyle w:val="Tablebullets"/>
            </w:pPr>
            <w:r w:rsidRPr="00B30077">
              <w:t xml:space="preserve">Increase in experiences where supports respond with compassionate care </w:t>
            </w:r>
          </w:p>
          <w:p w14:paraId="417FD0F1" w14:textId="3E56C54F" w:rsidR="008321AA" w:rsidRPr="00D80974" w:rsidRDefault="00B30077" w:rsidP="00B30077">
            <w:pPr>
              <w:pStyle w:val="Tablebullets"/>
            </w:pPr>
            <w:r w:rsidRPr="00D80974">
              <w:t>Decrease in experiences of stigma associated with suicide and suicidal distress</w:t>
            </w:r>
          </w:p>
        </w:tc>
      </w:tr>
      <w:tr w:rsidR="008321AA" w:rsidRPr="00D80974" w14:paraId="266210A1" w14:textId="77777777" w:rsidTr="008321AA">
        <w:tc>
          <w:tcPr>
            <w:tcW w:w="1635" w:type="dxa"/>
            <w:shd w:val="clear" w:color="auto" w:fill="1EAF59"/>
          </w:tcPr>
          <w:p w14:paraId="3ADB949B" w14:textId="22504B72" w:rsidR="008321AA" w:rsidRPr="00D80974" w:rsidRDefault="00B30077" w:rsidP="00904788">
            <w:pPr>
              <w:pStyle w:val="BodyText"/>
              <w:rPr>
                <w:b/>
                <w:bCs/>
              </w:rPr>
            </w:pPr>
            <w:r w:rsidRPr="00B30077">
              <w:rPr>
                <w:b/>
                <w:bCs/>
              </w:rPr>
              <w:t>7. Accessibility</w:t>
            </w:r>
          </w:p>
        </w:tc>
        <w:tc>
          <w:tcPr>
            <w:tcW w:w="1737" w:type="dxa"/>
            <w:shd w:val="clear" w:color="auto" w:fill="DDF3E6"/>
          </w:tcPr>
          <w:p w14:paraId="14E0BEAD" w14:textId="391015D3" w:rsidR="008321AA" w:rsidRPr="00D80974" w:rsidRDefault="00B30077" w:rsidP="00904788">
            <w:pPr>
              <w:pStyle w:val="BodyText"/>
            </w:pPr>
            <w:r w:rsidRPr="00B30077">
              <w:t>People can access appropriate supports where, when and how they need to</w:t>
            </w:r>
          </w:p>
        </w:tc>
        <w:tc>
          <w:tcPr>
            <w:tcW w:w="3261" w:type="dxa"/>
            <w:shd w:val="clear" w:color="auto" w:fill="DDF3E6"/>
          </w:tcPr>
          <w:p w14:paraId="68A93CFD" w14:textId="42871420" w:rsidR="00B30077" w:rsidRPr="00B30077" w:rsidRDefault="00B30077" w:rsidP="00B30077">
            <w:pPr>
              <w:pStyle w:val="Tablebody"/>
            </w:pPr>
            <w:r w:rsidRPr="00B30077">
              <w:t>This outcome is about suicide prevention supports being readily accessible when and where they are needed, as well as being inclusive, culturally safe and appropriate for those that need them.</w:t>
            </w:r>
          </w:p>
          <w:p w14:paraId="3F95A5C7" w14:textId="531BE903" w:rsidR="00B30077" w:rsidRPr="00B30077" w:rsidRDefault="00B30077" w:rsidP="00B30077">
            <w:pPr>
              <w:pStyle w:val="Tablebody"/>
            </w:pPr>
            <w:r w:rsidRPr="00B30077">
              <w:t>It recognises that for supports to be effective, there is a need to address general barriers to access such as cost, location and wait times, as well as to meet the specific needs of groups who are disproportionately impacted by suicide.</w:t>
            </w:r>
          </w:p>
          <w:p w14:paraId="6B05A466" w14:textId="70C70CAD" w:rsidR="00B30077" w:rsidRPr="00B30077" w:rsidRDefault="00B30077" w:rsidP="00B30077">
            <w:pPr>
              <w:pStyle w:val="Tablebody"/>
            </w:pPr>
            <w:r w:rsidRPr="00B30077">
              <w:lastRenderedPageBreak/>
              <w:t>People told us that if they could trust that supports were accessible and appropriate, they would have greater choice about where, when and how they seek support and would engage with them more.</w:t>
            </w:r>
          </w:p>
          <w:p w14:paraId="7CFE0642" w14:textId="72A76F72" w:rsidR="008321AA" w:rsidRPr="00D80974" w:rsidRDefault="00B30077" w:rsidP="00904788">
            <w:pPr>
              <w:pStyle w:val="Tablebody"/>
            </w:pPr>
            <w:r w:rsidRPr="00B30077">
              <w:t>Measurement of this outcome looks at whether people can access timely and appropriate supports and explores how this relates to people’s experiences of suicide.</w:t>
            </w:r>
          </w:p>
        </w:tc>
        <w:tc>
          <w:tcPr>
            <w:tcW w:w="2333" w:type="dxa"/>
            <w:shd w:val="clear" w:color="auto" w:fill="DDF3E6"/>
          </w:tcPr>
          <w:p w14:paraId="2ADCB726" w14:textId="77777777" w:rsidR="00B30077" w:rsidRPr="00B30077" w:rsidRDefault="00B30077" w:rsidP="00B30077">
            <w:pPr>
              <w:pStyle w:val="Tablebullets"/>
            </w:pPr>
            <w:r w:rsidRPr="00B30077">
              <w:lastRenderedPageBreak/>
              <w:t>Increase in experiences where supports are culturally safe, identity-affirming, and inclusive for all communities</w:t>
            </w:r>
          </w:p>
          <w:p w14:paraId="706AFD0D" w14:textId="77777777" w:rsidR="00B30077" w:rsidRPr="00B30077" w:rsidRDefault="00B30077" w:rsidP="00B30077">
            <w:pPr>
              <w:pStyle w:val="Tablebullets"/>
            </w:pPr>
            <w:r w:rsidRPr="00B30077">
              <w:t xml:space="preserve">Increase in experiences of supports that are timely, affordable and geographically </w:t>
            </w:r>
            <w:r w:rsidRPr="00B30077">
              <w:lastRenderedPageBreak/>
              <w:t>accessible for all communities</w:t>
            </w:r>
          </w:p>
          <w:p w14:paraId="537ACA2B" w14:textId="77777777" w:rsidR="00B30077" w:rsidRPr="00B30077" w:rsidRDefault="00B30077" w:rsidP="00B30077">
            <w:pPr>
              <w:pStyle w:val="Tablebullets"/>
            </w:pPr>
            <w:r w:rsidRPr="00B30077">
              <w:t>Increase in community awareness and understanding of available suicide prevention supports</w:t>
            </w:r>
          </w:p>
          <w:p w14:paraId="1B3A4B28" w14:textId="28AAA36C" w:rsidR="008321AA" w:rsidRPr="00D80974" w:rsidRDefault="00B30077" w:rsidP="00B30077">
            <w:pPr>
              <w:pStyle w:val="Tablebullets"/>
            </w:pPr>
            <w:r w:rsidRPr="00D80974">
              <w:t>Decrease in experiences of barriers to accessing the supports people needed</w:t>
            </w:r>
          </w:p>
        </w:tc>
      </w:tr>
      <w:tr w:rsidR="008321AA" w:rsidRPr="00D80974" w14:paraId="2CB811E6" w14:textId="77777777" w:rsidTr="008321AA">
        <w:tc>
          <w:tcPr>
            <w:tcW w:w="1635" w:type="dxa"/>
            <w:shd w:val="clear" w:color="auto" w:fill="1EAF59"/>
          </w:tcPr>
          <w:p w14:paraId="1B24B4D3" w14:textId="20D99216" w:rsidR="008321AA" w:rsidRPr="00D80974" w:rsidRDefault="00000509" w:rsidP="00904788">
            <w:pPr>
              <w:pStyle w:val="BodyText"/>
              <w:rPr>
                <w:b/>
                <w:bCs/>
              </w:rPr>
            </w:pPr>
            <w:r w:rsidRPr="00000509">
              <w:rPr>
                <w:b/>
                <w:bCs/>
              </w:rPr>
              <w:lastRenderedPageBreak/>
              <w:t>8. System-level coordination</w:t>
            </w:r>
          </w:p>
        </w:tc>
        <w:tc>
          <w:tcPr>
            <w:tcW w:w="1737" w:type="dxa"/>
            <w:shd w:val="clear" w:color="auto" w:fill="DDF3E6"/>
          </w:tcPr>
          <w:p w14:paraId="6A39CF4D" w14:textId="1AF7BF64" w:rsidR="008321AA" w:rsidRPr="00D80974" w:rsidRDefault="00000509" w:rsidP="00904788">
            <w:pPr>
              <w:pStyle w:val="BodyText"/>
            </w:pPr>
            <w:r w:rsidRPr="00000509">
              <w:t>People experience support networks that work together seamlessly to keep them well</w:t>
            </w:r>
          </w:p>
        </w:tc>
        <w:tc>
          <w:tcPr>
            <w:tcW w:w="3261" w:type="dxa"/>
            <w:shd w:val="clear" w:color="auto" w:fill="DDF3E6"/>
          </w:tcPr>
          <w:p w14:paraId="763FC5A7" w14:textId="1F3E3AF7" w:rsidR="00000509" w:rsidRPr="00000509" w:rsidRDefault="00000509" w:rsidP="00000509">
            <w:pPr>
              <w:pStyle w:val="Tablebody"/>
            </w:pPr>
            <w:r w:rsidRPr="00000509">
              <w:t>This outcome is about suicide prevention supports working together to improve how people experience care from multiple providers.</w:t>
            </w:r>
          </w:p>
          <w:p w14:paraId="078E9028" w14:textId="3168E1C9" w:rsidR="00000509" w:rsidRPr="00000509" w:rsidRDefault="00000509" w:rsidP="00000509">
            <w:pPr>
              <w:pStyle w:val="Tablebody"/>
            </w:pPr>
            <w:r w:rsidRPr="00000509">
              <w:t>It recognises that for supports to be effective, there is a need to reduce the burden people experience when navigating between and coordinating care from multiple providers, as well as to ensure those providers work together to deliver comprehensive, coordinated and continuous care.</w:t>
            </w:r>
          </w:p>
          <w:p w14:paraId="033D0502" w14:textId="77777777" w:rsidR="00000509" w:rsidRPr="00000509" w:rsidRDefault="00000509" w:rsidP="00000509">
            <w:pPr>
              <w:pStyle w:val="Tablebody"/>
            </w:pPr>
            <w:r w:rsidRPr="00000509">
              <w:t>People told us that if they could trust their supports to work together proactively for their benefit, it would reduce their distress, increase their engagement and make sure there were fewer gaps for them to fall through.</w:t>
            </w:r>
          </w:p>
          <w:p w14:paraId="3173F29F" w14:textId="56F5D339" w:rsidR="008321AA" w:rsidRPr="00D80974" w:rsidRDefault="00000509" w:rsidP="00000509">
            <w:pPr>
              <w:pStyle w:val="Tablebody"/>
            </w:pPr>
            <w:r w:rsidRPr="00D80974">
              <w:t>Measurement of this outcome looks at whether people experience seamless care and explores how this relates to people’s experiences of suicide.</w:t>
            </w:r>
          </w:p>
        </w:tc>
        <w:tc>
          <w:tcPr>
            <w:tcW w:w="2333" w:type="dxa"/>
            <w:shd w:val="clear" w:color="auto" w:fill="DDF3E6"/>
          </w:tcPr>
          <w:p w14:paraId="49AF3A66" w14:textId="77777777" w:rsidR="00000509" w:rsidRPr="00000509" w:rsidRDefault="00000509" w:rsidP="00000509">
            <w:pPr>
              <w:pStyle w:val="Tablebullets"/>
            </w:pPr>
            <w:r w:rsidRPr="00000509">
              <w:t>Increase in experiences where supports help people to navigate between multiple providers</w:t>
            </w:r>
          </w:p>
          <w:p w14:paraId="3BB51374" w14:textId="62603737" w:rsidR="008321AA" w:rsidRPr="00D80974" w:rsidRDefault="00000509" w:rsidP="00000509">
            <w:pPr>
              <w:pStyle w:val="Tablebullets"/>
            </w:pPr>
            <w:r w:rsidRPr="00D80974">
              <w:t>Increase in experiences of coordinated and continuous care across multiple providers</w:t>
            </w:r>
          </w:p>
        </w:tc>
      </w:tr>
      <w:tr w:rsidR="008321AA" w:rsidRPr="00D80974" w14:paraId="45AA9F63" w14:textId="77777777" w:rsidTr="008321AA">
        <w:tc>
          <w:tcPr>
            <w:tcW w:w="1635" w:type="dxa"/>
            <w:shd w:val="clear" w:color="auto" w:fill="1EAF59"/>
          </w:tcPr>
          <w:p w14:paraId="2C936658" w14:textId="378E8E16" w:rsidR="008321AA" w:rsidRPr="00D80974" w:rsidRDefault="00000509" w:rsidP="00904788">
            <w:pPr>
              <w:pStyle w:val="BodyText"/>
              <w:rPr>
                <w:b/>
                <w:bCs/>
              </w:rPr>
            </w:pPr>
            <w:r w:rsidRPr="00000509">
              <w:rPr>
                <w:b/>
                <w:bCs/>
              </w:rPr>
              <w:t>9. Holistic approaches</w:t>
            </w:r>
          </w:p>
        </w:tc>
        <w:tc>
          <w:tcPr>
            <w:tcW w:w="1737" w:type="dxa"/>
            <w:shd w:val="clear" w:color="auto" w:fill="DDF3E6"/>
          </w:tcPr>
          <w:p w14:paraId="2DCA03E1" w14:textId="359ECA2E" w:rsidR="008321AA" w:rsidRPr="00D80974" w:rsidRDefault="00000509" w:rsidP="00904788">
            <w:pPr>
              <w:pStyle w:val="BodyText"/>
            </w:pPr>
            <w:r w:rsidRPr="00000509">
              <w:t>People experience supports that work with them to address the reasons for their distress</w:t>
            </w:r>
          </w:p>
        </w:tc>
        <w:tc>
          <w:tcPr>
            <w:tcW w:w="3261" w:type="dxa"/>
            <w:shd w:val="clear" w:color="auto" w:fill="DDF3E6"/>
          </w:tcPr>
          <w:p w14:paraId="3AF80351" w14:textId="77777777" w:rsidR="00000509" w:rsidRPr="00000509" w:rsidRDefault="00000509" w:rsidP="00000509">
            <w:pPr>
              <w:pStyle w:val="Tablebody"/>
            </w:pPr>
            <w:r w:rsidRPr="00000509">
              <w:t>This outcome is about suicide prevention supports responding to people’s needs to reduce their immediate distress, as well as address the underlying reasons for it.</w:t>
            </w:r>
          </w:p>
          <w:p w14:paraId="57A42007" w14:textId="6F69549F" w:rsidR="00000509" w:rsidRPr="00000509" w:rsidRDefault="00000509" w:rsidP="00000509">
            <w:pPr>
              <w:pStyle w:val="Tablebody"/>
            </w:pPr>
            <w:r w:rsidRPr="00000509">
              <w:t xml:space="preserve">It recognises that people’s experience of suicide is </w:t>
            </w:r>
            <w:proofErr w:type="gramStart"/>
            <w:r w:rsidRPr="00000509">
              <w:t>unique, and</w:t>
            </w:r>
            <w:proofErr w:type="gramEnd"/>
            <w:r w:rsidRPr="00000509">
              <w:t xml:space="preserve"> supports must address the specific needs and reasons for each person’s distress.</w:t>
            </w:r>
            <w:r w:rsidR="00045B16">
              <w:t xml:space="preserve"> </w:t>
            </w:r>
            <w:r w:rsidRPr="00000509">
              <w:t>It further recognises that people’s distress is more likely to be reduced by addressing the underlying reasons for it rather than just managing their symptoms of distress.</w:t>
            </w:r>
          </w:p>
          <w:p w14:paraId="4E6D9212" w14:textId="77777777" w:rsidR="00000509" w:rsidRPr="00000509" w:rsidRDefault="00000509" w:rsidP="00000509">
            <w:pPr>
              <w:pStyle w:val="Tablebody"/>
            </w:pPr>
            <w:r w:rsidRPr="00000509">
              <w:lastRenderedPageBreak/>
              <w:t>People told us that they would trust supports that see them as a whole person instead of as someone who was suicidal and work with them to form a broader and longer-term tailored approach to their safety.</w:t>
            </w:r>
          </w:p>
          <w:p w14:paraId="38263F8B" w14:textId="5C899B19" w:rsidR="008321AA" w:rsidRPr="00D80974" w:rsidRDefault="00000509" w:rsidP="00000509">
            <w:pPr>
              <w:pStyle w:val="Tablebody"/>
            </w:pPr>
            <w:r w:rsidRPr="00D80974">
              <w:t>Measurement of this outcome looks at whether people feel more confident that supports address all their needs and underlying reasons for their distress. It explores how this relates to people’s experiences of suicide.</w:t>
            </w:r>
          </w:p>
        </w:tc>
        <w:tc>
          <w:tcPr>
            <w:tcW w:w="2333" w:type="dxa"/>
            <w:shd w:val="clear" w:color="auto" w:fill="DDF3E6"/>
          </w:tcPr>
          <w:p w14:paraId="7B47A166" w14:textId="77777777" w:rsidR="00000509" w:rsidRPr="00000509" w:rsidRDefault="00000509" w:rsidP="00000509">
            <w:pPr>
              <w:pStyle w:val="Tablebullets"/>
            </w:pPr>
            <w:r w:rsidRPr="00000509">
              <w:lastRenderedPageBreak/>
              <w:t>Increase in experiences where supports holistically address the issues contributing to suicidal distress</w:t>
            </w:r>
          </w:p>
          <w:p w14:paraId="091354D8" w14:textId="3B62AA77" w:rsidR="008321AA" w:rsidRPr="00D80974" w:rsidRDefault="00000509" w:rsidP="00000509">
            <w:pPr>
              <w:pStyle w:val="Tablebullets"/>
            </w:pPr>
            <w:r w:rsidRPr="00000509">
              <w:t>Increase in inclusion of supports across the service sectors</w:t>
            </w:r>
          </w:p>
        </w:tc>
      </w:tr>
      <w:tr w:rsidR="008321AA" w:rsidRPr="00D80974" w14:paraId="2CE54FDF" w14:textId="77777777" w:rsidTr="008321AA">
        <w:tc>
          <w:tcPr>
            <w:tcW w:w="1635" w:type="dxa"/>
            <w:shd w:val="clear" w:color="auto" w:fill="1EAF59"/>
          </w:tcPr>
          <w:p w14:paraId="3DB1664B" w14:textId="5CEEBBEE" w:rsidR="008321AA" w:rsidRPr="00D80974" w:rsidRDefault="00000509" w:rsidP="00904788">
            <w:pPr>
              <w:pStyle w:val="BodyText"/>
              <w:rPr>
                <w:b/>
                <w:bCs/>
              </w:rPr>
            </w:pPr>
            <w:r w:rsidRPr="00000509">
              <w:rPr>
                <w:b/>
                <w:bCs/>
              </w:rPr>
              <w:t>10. Increased connection</w:t>
            </w:r>
          </w:p>
        </w:tc>
        <w:tc>
          <w:tcPr>
            <w:tcW w:w="1737" w:type="dxa"/>
            <w:shd w:val="clear" w:color="auto" w:fill="DDF3E6"/>
          </w:tcPr>
          <w:p w14:paraId="59AE101B" w14:textId="72D0CF7B" w:rsidR="008321AA" w:rsidRPr="00D80974" w:rsidRDefault="00000509" w:rsidP="00904788">
            <w:pPr>
              <w:pStyle w:val="BodyText"/>
            </w:pPr>
            <w:r w:rsidRPr="00000509">
              <w:t>People are supported to connect with people who matter to them and who are integral to their wellbeing</w:t>
            </w:r>
          </w:p>
        </w:tc>
        <w:tc>
          <w:tcPr>
            <w:tcW w:w="3261" w:type="dxa"/>
            <w:shd w:val="clear" w:color="auto" w:fill="DDF3E6"/>
          </w:tcPr>
          <w:p w14:paraId="02A0A341" w14:textId="77777777" w:rsidR="00000509" w:rsidRPr="00000509" w:rsidRDefault="00000509" w:rsidP="00000509">
            <w:pPr>
              <w:pStyle w:val="Tablebody"/>
            </w:pPr>
            <w:r w:rsidRPr="00000509">
              <w:t>This outcome is about suicide prevention supports that are inclusive of family, carers and kin, friends and supporters. This includes chosen family structures, community-based caregivers and social supports that connect people with their community, culture and social networks for both immediate and longer-term support.</w:t>
            </w:r>
          </w:p>
          <w:p w14:paraId="67A3AC48" w14:textId="5570CBAE" w:rsidR="00000509" w:rsidRPr="00000509" w:rsidRDefault="00000509" w:rsidP="00000509">
            <w:pPr>
              <w:pStyle w:val="Tablebody"/>
            </w:pPr>
            <w:r w:rsidRPr="00000509">
              <w:t>It recognises that people have loved ones and communities that care about them, and that re-connecting after experiencing suicidal distress can be difficult but rewarding. It also recognises that these connections contribute to wellbeing and protect against future suicidal distress.</w:t>
            </w:r>
          </w:p>
          <w:p w14:paraId="0D1544CA" w14:textId="77777777" w:rsidR="00000509" w:rsidRPr="00000509" w:rsidRDefault="00000509" w:rsidP="00000509">
            <w:pPr>
              <w:pStyle w:val="Tablebody"/>
            </w:pPr>
            <w:r w:rsidRPr="00000509">
              <w:t>People told us that they would trust supports that help them reinforce longer-term relationships with desired community, ethnocultural groups and social networks, including family, carers and kin. This helps maintain their wellbeing and provides continued support after contact with formal services ends.</w:t>
            </w:r>
          </w:p>
          <w:p w14:paraId="6640E057" w14:textId="03FCC2D1" w:rsidR="008321AA" w:rsidRPr="00D80974" w:rsidRDefault="00000509" w:rsidP="00000509">
            <w:pPr>
              <w:pStyle w:val="Tablebody"/>
            </w:pPr>
            <w:r w:rsidRPr="00D80974">
              <w:t>Measurement of this outcome looks at whether people feel more connected to their support networks, communities and culture through their supports. It explores how this relates to people’s experiences of suicide.</w:t>
            </w:r>
          </w:p>
        </w:tc>
        <w:tc>
          <w:tcPr>
            <w:tcW w:w="2333" w:type="dxa"/>
            <w:shd w:val="clear" w:color="auto" w:fill="DDF3E6"/>
          </w:tcPr>
          <w:p w14:paraId="46106583" w14:textId="77777777" w:rsidR="00000509" w:rsidRPr="00000509" w:rsidRDefault="00000509" w:rsidP="00000509">
            <w:pPr>
              <w:pStyle w:val="Tablebullets"/>
            </w:pPr>
            <w:r w:rsidRPr="00000509">
              <w:t>Increase in the inclusion of families, carers and kin in people’s support</w:t>
            </w:r>
          </w:p>
          <w:p w14:paraId="6A85DFBD" w14:textId="7E133C76" w:rsidR="008321AA" w:rsidRPr="00D80974" w:rsidRDefault="00000509" w:rsidP="00000509">
            <w:pPr>
              <w:pStyle w:val="Tablebullets"/>
            </w:pPr>
            <w:r w:rsidRPr="00D80974">
              <w:t>Increase in connections with family, kin, support networks and community for people experiencing suicidal distress</w:t>
            </w:r>
          </w:p>
        </w:tc>
      </w:tr>
      <w:tr w:rsidR="008321AA" w:rsidRPr="00D80974" w14:paraId="787025FC" w14:textId="77777777" w:rsidTr="008321AA">
        <w:tc>
          <w:tcPr>
            <w:tcW w:w="1635" w:type="dxa"/>
            <w:shd w:val="clear" w:color="auto" w:fill="1EAF59"/>
          </w:tcPr>
          <w:p w14:paraId="7435DB4D" w14:textId="6D9BECE0" w:rsidR="008321AA" w:rsidRPr="00D80974" w:rsidRDefault="00000509" w:rsidP="00904788">
            <w:pPr>
              <w:pStyle w:val="BodyText"/>
              <w:rPr>
                <w:b/>
                <w:bCs/>
              </w:rPr>
            </w:pPr>
            <w:r w:rsidRPr="00D80974">
              <w:rPr>
                <w:b/>
                <w:bCs/>
              </w:rPr>
              <w:t>Families, carers and kin</w:t>
            </w:r>
          </w:p>
        </w:tc>
        <w:tc>
          <w:tcPr>
            <w:tcW w:w="1737" w:type="dxa"/>
            <w:shd w:val="clear" w:color="auto" w:fill="DDF3E6"/>
          </w:tcPr>
          <w:p w14:paraId="4634D678" w14:textId="77777777" w:rsidR="00000509" w:rsidRPr="00000509" w:rsidRDefault="00000509" w:rsidP="00000509">
            <w:pPr>
              <w:pStyle w:val="BodyText"/>
            </w:pPr>
            <w:r w:rsidRPr="00000509">
              <w:t xml:space="preserve">Families, carers and kin experience </w:t>
            </w:r>
            <w:proofErr w:type="gramStart"/>
            <w:r w:rsidRPr="00000509">
              <w:t>supports</w:t>
            </w:r>
            <w:proofErr w:type="gramEnd"/>
            <w:r w:rsidRPr="00000509">
              <w:t xml:space="preserve"> that address their </w:t>
            </w:r>
            <w:r w:rsidRPr="00000509">
              <w:lastRenderedPageBreak/>
              <w:t>needs and empower them to care for people experiencing suicidal distress</w:t>
            </w:r>
          </w:p>
          <w:p w14:paraId="512B0924" w14:textId="3E510B8C" w:rsidR="008321AA" w:rsidRPr="00D80974" w:rsidRDefault="008321AA" w:rsidP="00904788">
            <w:pPr>
              <w:pStyle w:val="BodyText"/>
            </w:pPr>
          </w:p>
        </w:tc>
        <w:tc>
          <w:tcPr>
            <w:tcW w:w="3261" w:type="dxa"/>
            <w:shd w:val="clear" w:color="auto" w:fill="DDF3E6"/>
          </w:tcPr>
          <w:p w14:paraId="5DB36ED2" w14:textId="5708D6FF" w:rsidR="00000509" w:rsidRPr="00000509" w:rsidRDefault="00000509" w:rsidP="00000509">
            <w:pPr>
              <w:pStyle w:val="Tablebody"/>
            </w:pPr>
            <w:r w:rsidRPr="00000509">
              <w:lastRenderedPageBreak/>
              <w:t>This outcome is about suicide prevention supports that are empowering for family, carers and kin, friends and supporters. This includes chosen family structures, community-</w:t>
            </w:r>
            <w:r w:rsidRPr="00000509">
              <w:lastRenderedPageBreak/>
              <w:t>based caregivers and non-biological support systems.</w:t>
            </w:r>
          </w:p>
          <w:p w14:paraId="47AF4F65" w14:textId="77777777" w:rsidR="00000509" w:rsidRPr="00000509" w:rsidRDefault="00000509" w:rsidP="00000509">
            <w:pPr>
              <w:pStyle w:val="Tablebody"/>
            </w:pPr>
            <w:r w:rsidRPr="00000509">
              <w:t>It recognises that family, carers and kin need support to address negative impacts of their caring role, protect their wellbeing and enable them to effectively provide support to the people they care about.</w:t>
            </w:r>
          </w:p>
          <w:p w14:paraId="2B85BF1E" w14:textId="092CE063" w:rsidR="00000509" w:rsidRPr="00000509" w:rsidRDefault="00000509" w:rsidP="00000509">
            <w:pPr>
              <w:pStyle w:val="Tablebody"/>
            </w:pPr>
            <w:r w:rsidRPr="00000509">
              <w:t>People told us that they would trust supports that ensure family, carers and kin are recognised and supported.</w:t>
            </w:r>
          </w:p>
          <w:p w14:paraId="289D3EAD" w14:textId="4501AB2E" w:rsidR="008321AA" w:rsidRPr="00D80974" w:rsidRDefault="00000509" w:rsidP="00000509">
            <w:pPr>
              <w:pStyle w:val="Tablebody"/>
            </w:pPr>
            <w:r w:rsidRPr="00D80974">
              <w:t>Measurement of this outcome looks at whether family, carers and kin feel more able to care for people experiencing suicidal distress and explores how this relates to people’s experiences of suicide.</w:t>
            </w:r>
          </w:p>
        </w:tc>
        <w:tc>
          <w:tcPr>
            <w:tcW w:w="2333" w:type="dxa"/>
            <w:shd w:val="clear" w:color="auto" w:fill="DDF3E6"/>
          </w:tcPr>
          <w:p w14:paraId="5627C33E" w14:textId="36E05425" w:rsidR="00000509" w:rsidRPr="00000509" w:rsidRDefault="00000509" w:rsidP="00000509">
            <w:pPr>
              <w:pStyle w:val="Tablebullets"/>
            </w:pPr>
            <w:r w:rsidRPr="00000509">
              <w:lastRenderedPageBreak/>
              <w:t xml:space="preserve">Increase in capability and capacity of families, carers and kin to effectively support people </w:t>
            </w:r>
            <w:r w:rsidRPr="00000509">
              <w:lastRenderedPageBreak/>
              <w:t>experiencing suicidal distress</w:t>
            </w:r>
          </w:p>
          <w:p w14:paraId="56B853B5" w14:textId="4E7A1609" w:rsidR="008321AA" w:rsidRPr="00D80974" w:rsidRDefault="00000509" w:rsidP="00000509">
            <w:pPr>
              <w:pStyle w:val="Tablebullets"/>
            </w:pPr>
            <w:r w:rsidRPr="00D80974">
              <w:t>Increase in experiences of supports that address the needs of family, carers and kin who provide support to people experiencing suicidal distress</w:t>
            </w:r>
          </w:p>
        </w:tc>
      </w:tr>
    </w:tbl>
    <w:p w14:paraId="4ABEC70D" w14:textId="736BABD9" w:rsidR="002B2EC6" w:rsidRPr="00D80974" w:rsidRDefault="006C2369" w:rsidP="00461E66">
      <w:pPr>
        <w:pStyle w:val="Heading2"/>
        <w:rPr>
          <w:rFonts w:eastAsia="Calibri"/>
          <w:color w:val="000000" w:themeColor="text1"/>
          <w:kern w:val="0"/>
          <w:sz w:val="22"/>
          <w:szCs w:val="22"/>
        </w:rPr>
      </w:pPr>
      <w:r w:rsidRPr="00D80974">
        <w:rPr>
          <w:color w:val="EE0000"/>
        </w:rPr>
        <w:lastRenderedPageBreak/>
        <w:br w:type="page"/>
      </w:r>
      <w:r w:rsidR="00461E66" w:rsidRPr="00D80974">
        <w:lastRenderedPageBreak/>
        <w:t xml:space="preserve"> </w:t>
      </w:r>
      <w:bookmarkStart w:id="16" w:name="_Toc214464820"/>
      <w:bookmarkStart w:id="17" w:name="_Toc214889316"/>
      <w:r w:rsidR="002B2EC6" w:rsidRPr="00D80974">
        <w:t>Critical enablers Outcomes</w:t>
      </w:r>
      <w:bookmarkEnd w:id="16"/>
      <w:bookmarkEnd w:id="17"/>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238"/>
        <w:gridCol w:w="6688"/>
      </w:tblGrid>
      <w:tr w:rsidR="002B2EC6" w:rsidRPr="00D80974" w14:paraId="28C76001" w14:textId="77777777" w:rsidTr="00904788">
        <w:trPr>
          <w:tblHeader/>
        </w:trPr>
        <w:tc>
          <w:tcPr>
            <w:tcW w:w="2238" w:type="dxa"/>
            <w:shd w:val="clear" w:color="auto" w:fill="F2F2F2" w:themeFill="background1" w:themeFillShade="F2"/>
          </w:tcPr>
          <w:p w14:paraId="6EC303E4" w14:textId="04AC9FB1" w:rsidR="002B2EC6" w:rsidRPr="00D80974" w:rsidRDefault="002B2EC6" w:rsidP="00904788">
            <w:pPr>
              <w:pStyle w:val="Heading3"/>
              <w:spacing w:before="120"/>
            </w:pPr>
            <w:r w:rsidRPr="00D80974">
              <w:t>Domain</w:t>
            </w:r>
          </w:p>
        </w:tc>
        <w:tc>
          <w:tcPr>
            <w:tcW w:w="6688" w:type="dxa"/>
            <w:shd w:val="clear" w:color="auto" w:fill="F2F2F2" w:themeFill="background1" w:themeFillShade="F2"/>
          </w:tcPr>
          <w:p w14:paraId="4A794135" w14:textId="77777777" w:rsidR="002B2EC6" w:rsidRPr="00D80974" w:rsidRDefault="002B2EC6" w:rsidP="00904788">
            <w:pPr>
              <w:pStyle w:val="Heading3"/>
              <w:spacing w:before="120"/>
            </w:pPr>
            <w:r w:rsidRPr="00D80974">
              <w:t>Domain aim</w:t>
            </w:r>
          </w:p>
        </w:tc>
      </w:tr>
      <w:tr w:rsidR="002B2EC6" w:rsidRPr="00D80974" w14:paraId="72FB2E2B" w14:textId="77777777" w:rsidTr="00904788">
        <w:tc>
          <w:tcPr>
            <w:tcW w:w="2238" w:type="dxa"/>
            <w:shd w:val="clear" w:color="auto" w:fill="DC80B0"/>
          </w:tcPr>
          <w:p w14:paraId="03BAC05D" w14:textId="37D105AC" w:rsidR="002B2EC6" w:rsidRPr="00D80974" w:rsidRDefault="002B2EC6" w:rsidP="00904788">
            <w:pPr>
              <w:pStyle w:val="BodyText"/>
              <w:rPr>
                <w:b/>
                <w:bCs/>
              </w:rPr>
            </w:pPr>
            <w:r w:rsidRPr="002B2EC6">
              <w:rPr>
                <w:b/>
                <w:bCs/>
              </w:rPr>
              <w:t>Critical enablers for a whole of governments suicide prevention approach</w:t>
            </w:r>
          </w:p>
        </w:tc>
        <w:tc>
          <w:tcPr>
            <w:tcW w:w="6688" w:type="dxa"/>
            <w:shd w:val="clear" w:color="auto" w:fill="FAECF3"/>
          </w:tcPr>
          <w:p w14:paraId="2E725387" w14:textId="77777777" w:rsidR="002B2EC6" w:rsidRPr="00D80974" w:rsidRDefault="002B2EC6" w:rsidP="00904788">
            <w:pPr>
              <w:pStyle w:val="BodyText"/>
            </w:pPr>
            <w:r w:rsidRPr="002B2EC6">
              <w:t>Everyone works together to prevent suicide</w:t>
            </w:r>
          </w:p>
        </w:tc>
      </w:tr>
    </w:tbl>
    <w:p w14:paraId="560090E2" w14:textId="77777777" w:rsidR="002B2EC6" w:rsidRPr="00D80974" w:rsidRDefault="002B2EC6" w:rsidP="002B2EC6">
      <w:pPr>
        <w:pStyle w:val="BodyText"/>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5"/>
        <w:gridCol w:w="1737"/>
        <w:gridCol w:w="3261"/>
        <w:gridCol w:w="2333"/>
      </w:tblGrid>
      <w:tr w:rsidR="002B2EC6" w:rsidRPr="00D80974" w14:paraId="22455D47" w14:textId="77777777" w:rsidTr="00904788">
        <w:trPr>
          <w:tblHeader/>
        </w:trPr>
        <w:tc>
          <w:tcPr>
            <w:tcW w:w="1635" w:type="dxa"/>
            <w:shd w:val="clear" w:color="auto" w:fill="F2F2F2" w:themeFill="background1" w:themeFillShade="F2"/>
          </w:tcPr>
          <w:p w14:paraId="58D15860" w14:textId="77777777" w:rsidR="002B2EC6" w:rsidRPr="00D80974" w:rsidRDefault="002B2EC6" w:rsidP="00904788">
            <w:pPr>
              <w:pStyle w:val="Heading3"/>
              <w:spacing w:before="120"/>
            </w:pPr>
            <w:r w:rsidRPr="00D80974">
              <w:t>Key objective</w:t>
            </w:r>
          </w:p>
        </w:tc>
        <w:tc>
          <w:tcPr>
            <w:tcW w:w="1737" w:type="dxa"/>
            <w:shd w:val="clear" w:color="auto" w:fill="F2F2F2" w:themeFill="background1" w:themeFillShade="F2"/>
          </w:tcPr>
          <w:p w14:paraId="72383576" w14:textId="77777777" w:rsidR="002B2EC6" w:rsidRPr="00D80974" w:rsidRDefault="002B2EC6" w:rsidP="00904788">
            <w:pPr>
              <w:pStyle w:val="Heading3"/>
              <w:spacing w:before="120"/>
            </w:pPr>
            <w:r w:rsidRPr="00D80974">
              <w:t>Outcome</w:t>
            </w:r>
          </w:p>
        </w:tc>
        <w:tc>
          <w:tcPr>
            <w:tcW w:w="3261" w:type="dxa"/>
            <w:shd w:val="clear" w:color="auto" w:fill="F2F2F2" w:themeFill="background1" w:themeFillShade="F2"/>
          </w:tcPr>
          <w:p w14:paraId="7167E0DB" w14:textId="77777777" w:rsidR="002B2EC6" w:rsidRPr="00D80974" w:rsidRDefault="002B2EC6" w:rsidP="00904788">
            <w:pPr>
              <w:pStyle w:val="Heading3"/>
              <w:spacing w:before="120"/>
            </w:pPr>
            <w:r w:rsidRPr="00D80974">
              <w:t>Description</w:t>
            </w:r>
          </w:p>
        </w:tc>
        <w:tc>
          <w:tcPr>
            <w:tcW w:w="2333" w:type="dxa"/>
            <w:shd w:val="clear" w:color="auto" w:fill="F2F2F2" w:themeFill="background1" w:themeFillShade="F2"/>
          </w:tcPr>
          <w:p w14:paraId="392A2E77" w14:textId="77777777" w:rsidR="002B2EC6" w:rsidRPr="00D80974" w:rsidRDefault="002B2EC6" w:rsidP="00904788">
            <w:pPr>
              <w:pStyle w:val="Heading3"/>
              <w:spacing w:before="120"/>
            </w:pPr>
            <w:r w:rsidRPr="00D80974">
              <w:t>Indicators</w:t>
            </w:r>
          </w:p>
        </w:tc>
      </w:tr>
      <w:tr w:rsidR="000224E0" w:rsidRPr="00D80974" w14:paraId="582B4C74" w14:textId="77777777" w:rsidTr="002B2EC6">
        <w:tc>
          <w:tcPr>
            <w:tcW w:w="1635" w:type="dxa"/>
            <w:shd w:val="clear" w:color="auto" w:fill="DC80B0"/>
          </w:tcPr>
          <w:p w14:paraId="6FFD2C29" w14:textId="4B8FDA50" w:rsidR="000224E0" w:rsidRPr="00D80974" w:rsidRDefault="000224E0" w:rsidP="00904788">
            <w:pPr>
              <w:pStyle w:val="BodyText"/>
              <w:rPr>
                <w:b/>
                <w:bCs/>
              </w:rPr>
            </w:pPr>
            <w:r w:rsidRPr="000224E0">
              <w:rPr>
                <w:b/>
                <w:bCs/>
              </w:rPr>
              <w:t>11. Improved governance</w:t>
            </w:r>
          </w:p>
        </w:tc>
        <w:tc>
          <w:tcPr>
            <w:tcW w:w="1737" w:type="dxa"/>
            <w:shd w:val="clear" w:color="auto" w:fill="FAECF3"/>
          </w:tcPr>
          <w:p w14:paraId="5E9412DC" w14:textId="47A6556C" w:rsidR="000224E0" w:rsidRPr="00D80974" w:rsidRDefault="000224E0" w:rsidP="00904788">
            <w:pPr>
              <w:pStyle w:val="BodyText"/>
            </w:pPr>
            <w:r w:rsidRPr="000224E0">
              <w:t>Governments fulfil their responsibilities in preventing suicide and demonstrate accountability and collaboration</w:t>
            </w:r>
          </w:p>
        </w:tc>
        <w:tc>
          <w:tcPr>
            <w:tcW w:w="3261" w:type="dxa"/>
            <w:shd w:val="clear" w:color="auto" w:fill="FAECF3"/>
          </w:tcPr>
          <w:p w14:paraId="7CD6269F" w14:textId="01359889" w:rsidR="000224E0" w:rsidRPr="000224E0" w:rsidRDefault="000224E0" w:rsidP="000224E0">
            <w:pPr>
              <w:pStyle w:val="Tablebody"/>
            </w:pPr>
            <w:r w:rsidRPr="000224E0">
              <w:t>This outcome is about strengthening suicide prevention though defined and agreed responsibilities and accountabilities across government portfolios and all levels of government.</w:t>
            </w:r>
          </w:p>
          <w:p w14:paraId="3E949BE5" w14:textId="77777777" w:rsidR="000224E0" w:rsidRPr="000224E0" w:rsidRDefault="000224E0" w:rsidP="000224E0">
            <w:pPr>
              <w:pStyle w:val="Tablebody"/>
            </w:pPr>
            <w:r w:rsidRPr="000224E0">
              <w:t>It recognises that governments are leaders in suicide prevention in Australia. This includes identifying how portfolios beyond health can expand prevention efforts into the social and economic determinants of suicide, and how all levels of government can work together to improve the reach and effectiveness of regional efforts. </w:t>
            </w:r>
          </w:p>
          <w:p w14:paraId="662D7CE0" w14:textId="1B23C367" w:rsidR="000224E0" w:rsidRPr="000224E0" w:rsidRDefault="000224E0" w:rsidP="000224E0">
            <w:pPr>
              <w:pStyle w:val="Tablebody"/>
            </w:pPr>
            <w:r w:rsidRPr="000224E0">
              <w:t>People told us that to achieve real and sustained change, governments need to take responsibility for suicide prevention, be transparent and accountable for their actions and lead the way for others to effectively contribute. People said they need to see a whole-of-government approach to suicide prevention to be confident that suicide prevention will improve.</w:t>
            </w:r>
          </w:p>
          <w:p w14:paraId="71A46666" w14:textId="46398043" w:rsidR="000224E0" w:rsidRPr="00D80974" w:rsidRDefault="000224E0" w:rsidP="00BB5528">
            <w:pPr>
              <w:pStyle w:val="Tablebody"/>
            </w:pPr>
            <w:r w:rsidRPr="000224E0">
              <w:t>Measurement of this outcome looks at whether governments demonstrate how they are fulfilling their responsibilities and collaborating to deliver a whole-of-governments approach to suicide prevention.</w:t>
            </w:r>
          </w:p>
        </w:tc>
        <w:tc>
          <w:tcPr>
            <w:tcW w:w="2333" w:type="dxa"/>
            <w:shd w:val="clear" w:color="auto" w:fill="FAECF3"/>
          </w:tcPr>
          <w:p w14:paraId="19982998" w14:textId="2BDD3617" w:rsidR="000224E0" w:rsidRPr="000224E0" w:rsidRDefault="000224E0" w:rsidP="000224E0">
            <w:pPr>
              <w:pStyle w:val="Tablebullets"/>
            </w:pPr>
            <w:r w:rsidRPr="000224E0">
              <w:t>Evidence of the implementation of whole of governments</w:t>
            </w:r>
            <w:r w:rsidR="00045B16">
              <w:t xml:space="preserve"> </w:t>
            </w:r>
            <w:r w:rsidRPr="000224E0">
              <w:t>approach to suicide prevention</w:t>
            </w:r>
          </w:p>
          <w:p w14:paraId="7D805A39" w14:textId="77777777" w:rsidR="000224E0" w:rsidRPr="000224E0" w:rsidRDefault="000224E0" w:rsidP="000224E0">
            <w:pPr>
              <w:pStyle w:val="Tablebullets"/>
            </w:pPr>
            <w:r w:rsidRPr="000224E0">
              <w:t>Evidence that governments are taking evidence-based action and monitoring progress of suicide prevention goals</w:t>
            </w:r>
          </w:p>
          <w:p w14:paraId="4AF94726" w14:textId="6ACB067E" w:rsidR="000224E0" w:rsidRPr="00D80974" w:rsidRDefault="000224E0" w:rsidP="000224E0">
            <w:pPr>
              <w:pStyle w:val="Tablebullets"/>
            </w:pPr>
            <w:r w:rsidRPr="000224E0">
              <w:t>Evidence that governments are collaborating to increase effectiveness of suicide prevention efforts</w:t>
            </w:r>
          </w:p>
        </w:tc>
      </w:tr>
      <w:tr w:rsidR="002B2EC6" w:rsidRPr="00D80974" w14:paraId="33FE4D06" w14:textId="77777777" w:rsidTr="002B2EC6">
        <w:tc>
          <w:tcPr>
            <w:tcW w:w="1635" w:type="dxa"/>
            <w:shd w:val="clear" w:color="auto" w:fill="DC80B0"/>
          </w:tcPr>
          <w:p w14:paraId="5A1842A9" w14:textId="3FC6AB7C" w:rsidR="002B2EC6" w:rsidRPr="00D80974" w:rsidRDefault="00BB5528" w:rsidP="00904788">
            <w:pPr>
              <w:pStyle w:val="BodyText"/>
              <w:rPr>
                <w:b/>
                <w:bCs/>
              </w:rPr>
            </w:pPr>
            <w:r w:rsidRPr="00BB5528">
              <w:rPr>
                <w:b/>
                <w:bCs/>
              </w:rPr>
              <w:t>12. Embedded lived experience</w:t>
            </w:r>
          </w:p>
        </w:tc>
        <w:tc>
          <w:tcPr>
            <w:tcW w:w="1737" w:type="dxa"/>
            <w:shd w:val="clear" w:color="auto" w:fill="FAECF3"/>
          </w:tcPr>
          <w:p w14:paraId="6FC22D60" w14:textId="4F235DF9" w:rsidR="002B2EC6" w:rsidRPr="00D80974" w:rsidRDefault="00BB5528" w:rsidP="00904788">
            <w:pPr>
              <w:pStyle w:val="BodyText"/>
            </w:pPr>
            <w:r w:rsidRPr="00BB5528">
              <w:t xml:space="preserve">People with lived and living experience of suicide are included as an </w:t>
            </w:r>
            <w:r w:rsidRPr="00BB5528">
              <w:lastRenderedPageBreak/>
              <w:t>integral part of the suicide prevention system and involved in shared decision making</w:t>
            </w:r>
          </w:p>
        </w:tc>
        <w:tc>
          <w:tcPr>
            <w:tcW w:w="3261" w:type="dxa"/>
            <w:shd w:val="clear" w:color="auto" w:fill="FAECF3"/>
          </w:tcPr>
          <w:p w14:paraId="27DE9A19" w14:textId="05011CE9" w:rsidR="00BB5528" w:rsidRPr="00BB5528" w:rsidRDefault="00BB5528" w:rsidP="00BB5528">
            <w:pPr>
              <w:pStyle w:val="Tablebody"/>
            </w:pPr>
            <w:r w:rsidRPr="00BB5528">
              <w:lastRenderedPageBreak/>
              <w:t>This outcome is about strengthening</w:t>
            </w:r>
            <w:r w:rsidR="00045B16">
              <w:t xml:space="preserve"> </w:t>
            </w:r>
            <w:r w:rsidRPr="00BB5528">
              <w:t>suicide prevention</w:t>
            </w:r>
            <w:r w:rsidR="00045B16">
              <w:t xml:space="preserve"> </w:t>
            </w:r>
            <w:r w:rsidRPr="00BB5528">
              <w:t xml:space="preserve">by placing the voice of people with lived and living experience of suicide and groups that are disproportionately impacted by suicide at its centre through valued </w:t>
            </w:r>
            <w:r w:rsidRPr="00BB5528">
              <w:lastRenderedPageBreak/>
              <w:t>and meaningful engagement, consultation and shared decision making.</w:t>
            </w:r>
          </w:p>
          <w:p w14:paraId="21CA7665" w14:textId="77777777" w:rsidR="00BB5528" w:rsidRPr="00BB5528" w:rsidRDefault="00BB5528" w:rsidP="00BB5528">
            <w:pPr>
              <w:pStyle w:val="Tablebody"/>
            </w:pPr>
            <w:r w:rsidRPr="00BB5528">
              <w:t>It recognises that people who use suicide prevention supports and their family, carers and kin are best placed to know what is working, what is not and opportunities for improvement. The insights provided by people with lived and living experience of suicide are critical to the effective prevention of suicide. To be guided by these insights in a meaningful way, there needs to be a systematic approach to building capability of everyone involved and ensuring organisational structures and culture support shared decision making. </w:t>
            </w:r>
          </w:p>
          <w:p w14:paraId="6F2CB4D7" w14:textId="311D7045" w:rsidR="00BB5528" w:rsidRPr="00BB5528" w:rsidRDefault="00BB5528" w:rsidP="00BB5528">
            <w:pPr>
              <w:pStyle w:val="Tablebody"/>
            </w:pPr>
            <w:r w:rsidRPr="00BB5528">
              <w:t>People told us that they would trust a suicide prevention system that values lived experience insights, hears diverse voices, addresses power imbalances, and ultimately makes sure people and communities have a say in what happens to them. People said that they need</w:t>
            </w:r>
            <w:r w:rsidR="00045B16">
              <w:t xml:space="preserve"> </w:t>
            </w:r>
            <w:r w:rsidRPr="00BB5528">
              <w:t>to see governments meaningfully and safely consulting with diverse groups and people with lived and living experience of suicide about what is needed and what is working or not working, to be confident that suicide prevention will be more effective.</w:t>
            </w:r>
          </w:p>
          <w:p w14:paraId="40A476F1" w14:textId="21228622" w:rsidR="002B2EC6" w:rsidRPr="00D80974" w:rsidRDefault="00BB5528" w:rsidP="00BB5528">
            <w:pPr>
              <w:pStyle w:val="Tablebody"/>
            </w:pPr>
            <w:r w:rsidRPr="00D80974">
              <w:t>Measurement of this outcome looks at whether governments demonstrate they are meaningfully involving people with lived and living experience of suicide in the design and delivery of high-quality, effective suicide prevention.</w:t>
            </w:r>
          </w:p>
        </w:tc>
        <w:tc>
          <w:tcPr>
            <w:tcW w:w="2333" w:type="dxa"/>
            <w:shd w:val="clear" w:color="auto" w:fill="FAECF3"/>
          </w:tcPr>
          <w:p w14:paraId="6551CC7B" w14:textId="77777777" w:rsidR="00BB5528" w:rsidRPr="00BB5528" w:rsidRDefault="00BB5528" w:rsidP="00BB5528">
            <w:pPr>
              <w:pStyle w:val="Tablebullets"/>
            </w:pPr>
            <w:r w:rsidRPr="00BB5528">
              <w:lastRenderedPageBreak/>
              <w:t>Evidence that governments are embedding lived experience insights in suicide prevention</w:t>
            </w:r>
          </w:p>
          <w:p w14:paraId="0E1E7CCE" w14:textId="77777777" w:rsidR="00BB5528" w:rsidRPr="00BB5528" w:rsidRDefault="00BB5528" w:rsidP="00BB5528">
            <w:pPr>
              <w:pStyle w:val="Tablebullets"/>
            </w:pPr>
            <w:r w:rsidRPr="00BB5528">
              <w:lastRenderedPageBreak/>
              <w:t>Evidence that people with lived and living experience of suicide meaningfully participate in the design, delivery, implementation and evaluation of suicide prevention activities</w:t>
            </w:r>
          </w:p>
          <w:p w14:paraId="42A69BEA" w14:textId="77777777" w:rsidR="00BB5528" w:rsidRPr="00BB5528" w:rsidRDefault="00BB5528" w:rsidP="00BB5528">
            <w:pPr>
              <w:pStyle w:val="Tablebullets"/>
            </w:pPr>
            <w:r w:rsidRPr="00BB5528">
              <w:t>Evidence that people with lived and living experience of suicide are supported to participate safely and effectively </w:t>
            </w:r>
          </w:p>
          <w:p w14:paraId="0CB838E0" w14:textId="77777777" w:rsidR="00BB5528" w:rsidRPr="00BB5528" w:rsidRDefault="00BB5528" w:rsidP="00BB5528">
            <w:pPr>
              <w:pStyle w:val="Tablebullets"/>
            </w:pPr>
            <w:r w:rsidRPr="00BB5528">
              <w:t>Evidence that lived experience is recognised as a valued source of evidence</w:t>
            </w:r>
          </w:p>
          <w:p w14:paraId="747B29C4" w14:textId="126AAD30" w:rsidR="002B2EC6" w:rsidRPr="00D80974" w:rsidRDefault="00BB5528" w:rsidP="00BB5528">
            <w:pPr>
              <w:pStyle w:val="Tablebullets"/>
            </w:pPr>
            <w:r w:rsidRPr="00D80974">
              <w:t>Evidence that a diversity of lived experience perspectives contributes to the design, delivery, implementation and evaluation of suicide prevention activities</w:t>
            </w:r>
          </w:p>
        </w:tc>
      </w:tr>
      <w:tr w:rsidR="00BB5528" w:rsidRPr="00D80974" w14:paraId="697B3E58" w14:textId="77777777" w:rsidTr="002B2EC6">
        <w:tc>
          <w:tcPr>
            <w:tcW w:w="1635" w:type="dxa"/>
            <w:shd w:val="clear" w:color="auto" w:fill="DC80B0"/>
          </w:tcPr>
          <w:p w14:paraId="48559E08" w14:textId="7CD7647E" w:rsidR="00BB5528" w:rsidRPr="00D80974" w:rsidRDefault="00BB5528" w:rsidP="00904788">
            <w:pPr>
              <w:pStyle w:val="BodyText"/>
              <w:rPr>
                <w:b/>
                <w:bCs/>
              </w:rPr>
            </w:pPr>
            <w:r w:rsidRPr="00BB5528">
              <w:rPr>
                <w:b/>
                <w:bCs/>
              </w:rPr>
              <w:lastRenderedPageBreak/>
              <w:t>13. Available and translated evidence</w:t>
            </w:r>
          </w:p>
        </w:tc>
        <w:tc>
          <w:tcPr>
            <w:tcW w:w="1737" w:type="dxa"/>
            <w:shd w:val="clear" w:color="auto" w:fill="FAECF3"/>
          </w:tcPr>
          <w:p w14:paraId="179C8362" w14:textId="480D524E" w:rsidR="00BB5528" w:rsidRPr="00D80974" w:rsidRDefault="00BB5528" w:rsidP="00904788">
            <w:pPr>
              <w:pStyle w:val="BodyText"/>
            </w:pPr>
            <w:r w:rsidRPr="00BB5528">
              <w:t>An evidence-based learning culture operates to continually improve the effectiveness of suicide prevention efforts</w:t>
            </w:r>
          </w:p>
        </w:tc>
        <w:tc>
          <w:tcPr>
            <w:tcW w:w="3261" w:type="dxa"/>
            <w:shd w:val="clear" w:color="auto" w:fill="FAECF3"/>
          </w:tcPr>
          <w:p w14:paraId="6D415B19" w14:textId="19B7A0D6" w:rsidR="00BB5528" w:rsidRPr="00BB5528" w:rsidRDefault="00BB5528" w:rsidP="00BB5528">
            <w:pPr>
              <w:pStyle w:val="Tablebody"/>
            </w:pPr>
            <w:r w:rsidRPr="00BB5528">
              <w:t>This outcome is about strengthening suicide prevention in Australia by developing a learning and evaluation culture that continually improves how suicide prevention is delivered.</w:t>
            </w:r>
          </w:p>
          <w:p w14:paraId="7F50AED0" w14:textId="77777777" w:rsidR="00BB5528" w:rsidRPr="00BB5528" w:rsidRDefault="00BB5528" w:rsidP="00BB5528">
            <w:pPr>
              <w:pStyle w:val="Tablebody"/>
            </w:pPr>
            <w:r w:rsidRPr="00BB5528">
              <w:t xml:space="preserve">It recognises that for suicide prevention to be effective, regular evidence-based decisions are required about what is working, what is not working and how best to make improvements. It also recognises that research should consider community </w:t>
            </w:r>
            <w:r w:rsidRPr="00BB5528">
              <w:lastRenderedPageBreak/>
              <w:t xml:space="preserve">needs and </w:t>
            </w:r>
            <w:proofErr w:type="gramStart"/>
            <w:r w:rsidRPr="00BB5528">
              <w:t>people’s</w:t>
            </w:r>
            <w:proofErr w:type="gramEnd"/>
            <w:r w:rsidRPr="00BB5528">
              <w:t xml:space="preserve"> lived and living experiences, and that suicide may present differently for groups who are disproportionately impacted by suicide.</w:t>
            </w:r>
          </w:p>
          <w:p w14:paraId="554F4E95" w14:textId="77777777" w:rsidR="00BB5528" w:rsidRPr="00BB5528" w:rsidRDefault="00BB5528" w:rsidP="00BB5528">
            <w:pPr>
              <w:pStyle w:val="Tablebody"/>
            </w:pPr>
            <w:r w:rsidRPr="00BB5528">
              <w:t>To do this, there needs to be a strategic and coordinated approach to learning, including greater access to high-quality, fit-for-purpose data, research and evaluation. It also requires embedded processes to support the timely translation of information into policy and practice.</w:t>
            </w:r>
          </w:p>
          <w:p w14:paraId="5E868F0E" w14:textId="77777777" w:rsidR="00BB5528" w:rsidRPr="00BB5528" w:rsidRDefault="00BB5528" w:rsidP="00BB5528">
            <w:pPr>
              <w:pStyle w:val="Tablebody"/>
            </w:pPr>
            <w:r w:rsidRPr="00BB5528">
              <w:t>People told us that they would trust approaches to suicide prevention that focus on continual improvement, demonstrate the evidence for change, encourage research and innovation, and lead to practical and timely improvements. People said they needed to see governments fostering a learning culture in suicide prevention to be confident that suicide prevention will be more effective.</w:t>
            </w:r>
          </w:p>
          <w:p w14:paraId="6A68FE59" w14:textId="6B2AFFA0" w:rsidR="00BB5528" w:rsidRPr="00D80974" w:rsidRDefault="00BB5528" w:rsidP="00BB5528">
            <w:pPr>
              <w:pStyle w:val="Tablebody"/>
            </w:pPr>
            <w:r w:rsidRPr="00D80974">
              <w:t>Measurement of this outcome looks at whether governments demonstrate implementation of a learning culture that routinely uses fit-for-purpose evidence to guide the design and delivery of high-quality, effective suicide prevention.</w:t>
            </w:r>
          </w:p>
        </w:tc>
        <w:tc>
          <w:tcPr>
            <w:tcW w:w="2333" w:type="dxa"/>
            <w:shd w:val="clear" w:color="auto" w:fill="FAECF3"/>
          </w:tcPr>
          <w:p w14:paraId="1065539F" w14:textId="77777777" w:rsidR="00BB5528" w:rsidRPr="00BB5528" w:rsidRDefault="00BB5528" w:rsidP="00BB5528">
            <w:pPr>
              <w:pStyle w:val="Tablebullets"/>
            </w:pPr>
            <w:r w:rsidRPr="00BB5528">
              <w:lastRenderedPageBreak/>
              <w:t>Evidence of regular and transparent public reporting on the effectiveness of suicide prevention</w:t>
            </w:r>
          </w:p>
          <w:p w14:paraId="1A45AA58" w14:textId="77777777" w:rsidR="00BB5528" w:rsidRPr="00BB5528" w:rsidRDefault="00BB5528" w:rsidP="00BB5528">
            <w:pPr>
              <w:pStyle w:val="Tablebullets"/>
            </w:pPr>
            <w:r w:rsidRPr="00BB5528">
              <w:t xml:space="preserve">Evidence that a learning culture is operating and research, innovation and continuous improvement in </w:t>
            </w:r>
            <w:r w:rsidRPr="00BB5528">
              <w:lastRenderedPageBreak/>
              <w:t>suicide prevention is occurring</w:t>
            </w:r>
          </w:p>
          <w:p w14:paraId="58F27B91" w14:textId="7DA4B28E" w:rsidR="00BB5528" w:rsidRPr="00D80974" w:rsidRDefault="00BB5528" w:rsidP="00BB5528">
            <w:pPr>
              <w:pStyle w:val="Tablebullets"/>
            </w:pPr>
            <w:r w:rsidRPr="00D80974">
              <w:t>Evidence of increased availability and use of quality evidence to inform suicide prevention decision making</w:t>
            </w:r>
          </w:p>
        </w:tc>
      </w:tr>
      <w:tr w:rsidR="000224E0" w:rsidRPr="00D80974" w14:paraId="758C312D" w14:textId="77777777" w:rsidTr="002B2EC6">
        <w:tc>
          <w:tcPr>
            <w:tcW w:w="1635" w:type="dxa"/>
            <w:shd w:val="clear" w:color="auto" w:fill="DC80B0"/>
          </w:tcPr>
          <w:p w14:paraId="40ECAEB1" w14:textId="65FD0CC4" w:rsidR="000224E0" w:rsidRPr="00D80974" w:rsidRDefault="000224E0" w:rsidP="00904788">
            <w:pPr>
              <w:pStyle w:val="BodyText"/>
              <w:rPr>
                <w:b/>
                <w:bCs/>
              </w:rPr>
            </w:pPr>
            <w:r w:rsidRPr="000224E0">
              <w:rPr>
                <w:b/>
                <w:bCs/>
              </w:rPr>
              <w:lastRenderedPageBreak/>
              <w:t>14. Capable and integrated workforce</w:t>
            </w:r>
          </w:p>
        </w:tc>
        <w:tc>
          <w:tcPr>
            <w:tcW w:w="1737" w:type="dxa"/>
            <w:shd w:val="clear" w:color="auto" w:fill="FAECF3"/>
          </w:tcPr>
          <w:p w14:paraId="52F692C4" w14:textId="6DE85629" w:rsidR="000224E0" w:rsidRPr="00D80974" w:rsidRDefault="000224E0" w:rsidP="00904788">
            <w:pPr>
              <w:pStyle w:val="BodyText"/>
            </w:pPr>
            <w:r w:rsidRPr="000224E0">
              <w:t>The suicide prevention workforce has the capability and capacity to prevent and respond to suicide</w:t>
            </w:r>
          </w:p>
        </w:tc>
        <w:tc>
          <w:tcPr>
            <w:tcW w:w="3261" w:type="dxa"/>
            <w:shd w:val="clear" w:color="auto" w:fill="FAECF3"/>
          </w:tcPr>
          <w:p w14:paraId="4BC8B394" w14:textId="77777777" w:rsidR="000224E0" w:rsidRPr="000224E0" w:rsidRDefault="000224E0" w:rsidP="000224E0">
            <w:pPr>
              <w:pStyle w:val="Tablebody"/>
            </w:pPr>
            <w:r w:rsidRPr="000224E0">
              <w:t>This outcome is about strengthening suicide prevention through nationally coordinated workforce planning and development to achieve a capable and sustained workforce.</w:t>
            </w:r>
          </w:p>
          <w:p w14:paraId="6D9E09BC" w14:textId="77777777" w:rsidR="000224E0" w:rsidRPr="000224E0" w:rsidRDefault="000224E0" w:rsidP="000224E0">
            <w:pPr>
              <w:pStyle w:val="Tablebody"/>
            </w:pPr>
            <w:r w:rsidRPr="000224E0">
              <w:t>It recognises that the suicide prevention workforce is diverse and spans across roles, disciplines and settings within and beyond health. This includes the peer workforce, comprising people who have lived and living experience of suicide with appropriate support in their roles. Consistent processes are needed to support and integrate the workforce to deliver effective suicide prevention.</w:t>
            </w:r>
          </w:p>
          <w:p w14:paraId="62E85806" w14:textId="60CB01A0" w:rsidR="000224E0" w:rsidRPr="000224E0" w:rsidRDefault="000224E0" w:rsidP="000224E0">
            <w:pPr>
              <w:pStyle w:val="Tablebody"/>
            </w:pPr>
            <w:r w:rsidRPr="000224E0">
              <w:t xml:space="preserve">People told us that they would have greater trust in suicide prevention if there was a more organised approach to service funding and delivery, and if </w:t>
            </w:r>
            <w:r w:rsidRPr="000224E0">
              <w:lastRenderedPageBreak/>
              <w:t>they were confident that there was an ongoing focus on recruiting, training and retaining people in the suicide prevention workforce. People said they needed to see governments taking action to build an integrated and competent suicide prevention workforce to be confident that suicide prevention will be more effective.</w:t>
            </w:r>
          </w:p>
          <w:p w14:paraId="58695A92" w14:textId="0685B939" w:rsidR="000224E0" w:rsidRPr="00D80974" w:rsidRDefault="000224E0" w:rsidP="000224E0">
            <w:pPr>
              <w:pStyle w:val="Tablebody"/>
            </w:pPr>
            <w:r w:rsidRPr="00D80974">
              <w:t>Measurement of this outcome looks at whether governments demonstrate that suicide prevention is delivered by a capable, integrated and sustainable workforce.</w:t>
            </w:r>
          </w:p>
        </w:tc>
        <w:tc>
          <w:tcPr>
            <w:tcW w:w="2333" w:type="dxa"/>
            <w:shd w:val="clear" w:color="auto" w:fill="FAECF3"/>
          </w:tcPr>
          <w:p w14:paraId="2869BD97" w14:textId="77777777" w:rsidR="000224E0" w:rsidRPr="000224E0" w:rsidRDefault="000224E0" w:rsidP="000224E0">
            <w:pPr>
              <w:pStyle w:val="Tablebullets"/>
            </w:pPr>
            <w:r w:rsidRPr="000224E0">
              <w:lastRenderedPageBreak/>
              <w:t>Evidence that governments are building an integrated, capable and sustainable suicide prevention workforce</w:t>
            </w:r>
          </w:p>
          <w:p w14:paraId="7B9B0053" w14:textId="77777777" w:rsidR="000224E0" w:rsidRPr="000224E0" w:rsidRDefault="000224E0" w:rsidP="000224E0">
            <w:pPr>
              <w:pStyle w:val="Tablebullets"/>
            </w:pPr>
            <w:r w:rsidRPr="000224E0">
              <w:t>Evidence that the people who work in suicide prevention are supported and equipped to be effective in their role</w:t>
            </w:r>
          </w:p>
          <w:p w14:paraId="5CC4660F" w14:textId="04687262" w:rsidR="000224E0" w:rsidRPr="00D80974" w:rsidRDefault="000224E0" w:rsidP="000224E0">
            <w:pPr>
              <w:pStyle w:val="Tablebullets"/>
            </w:pPr>
            <w:r w:rsidRPr="00D80974">
              <w:t>Evidence that the suicide prevention workforce can provide support when, where and how it is needed</w:t>
            </w:r>
          </w:p>
        </w:tc>
      </w:tr>
    </w:tbl>
    <w:p w14:paraId="1AC39225" w14:textId="554B39EC" w:rsidR="0073005F" w:rsidRPr="00D80974" w:rsidRDefault="0073005F" w:rsidP="00554831">
      <w:pPr>
        <w:tabs>
          <w:tab w:val="left" w:pos="472"/>
        </w:tabs>
        <w:rPr>
          <w:rFonts w:ascii="Calibri" w:eastAsia="Calibri" w:hAnsi="Calibri" w:cs="Calibri"/>
          <w:color w:val="000000" w:themeColor="text1"/>
          <w:kern w:val="0"/>
          <w:sz w:val="21"/>
          <w:szCs w:val="22"/>
          <w:u w:val="single"/>
          <w:lang w:eastAsia="en-AU"/>
          <w14:ligatures w14:val="none"/>
        </w:rPr>
      </w:pPr>
    </w:p>
    <w:sectPr w:rsidR="0073005F" w:rsidRPr="00D80974" w:rsidSect="00567E51">
      <w:footerReference w:type="even"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6E4E" w14:textId="77777777" w:rsidR="00A9797C" w:rsidRDefault="00A9797C" w:rsidP="00A9797C">
      <w:r>
        <w:separator/>
      </w:r>
    </w:p>
  </w:endnote>
  <w:endnote w:type="continuationSeparator" w:id="0">
    <w:p w14:paraId="7BBDB6D0" w14:textId="77777777" w:rsidR="00A9797C" w:rsidRDefault="00A9797C" w:rsidP="00A9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oppins Medium">
    <w:panose1 w:val="00000600000000000000"/>
    <w:charset w:val="4D"/>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57088"/>
      <w:docPartObj>
        <w:docPartGallery w:val="Page Numbers (Bottom of Page)"/>
        <w:docPartUnique/>
      </w:docPartObj>
    </w:sdtPr>
    <w:sdtEndPr>
      <w:rPr>
        <w:rStyle w:val="PageNumber"/>
      </w:rPr>
    </w:sdtEndPr>
    <w:sdtContent>
      <w:p w14:paraId="078DDC3D" w14:textId="7FD73E59" w:rsidR="00D96591" w:rsidRDefault="00D96591" w:rsidP="007F1B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D50FDBA" w14:textId="77777777" w:rsidR="00D96591" w:rsidRDefault="00D96591" w:rsidP="00D965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2848753"/>
      <w:docPartObj>
        <w:docPartGallery w:val="Page Numbers (Bottom of Page)"/>
        <w:docPartUnique/>
      </w:docPartObj>
    </w:sdtPr>
    <w:sdtEndPr>
      <w:rPr>
        <w:rStyle w:val="PageNumber"/>
      </w:rPr>
    </w:sdtEndPr>
    <w:sdtContent>
      <w:p w14:paraId="1FCAF5E4" w14:textId="566D0ADA" w:rsidR="00D96591" w:rsidRDefault="00D96591" w:rsidP="007F1B1F">
        <w:pPr>
          <w:pStyle w:val="Footer"/>
          <w:framePr w:wrap="none" w:vAnchor="text" w:hAnchor="margin" w:xAlign="right" w:y="1"/>
          <w:rPr>
            <w:rStyle w:val="PageNumber"/>
          </w:rPr>
        </w:pPr>
        <w:r>
          <w:rPr>
            <w:rStyle w:val="PageNumber"/>
          </w:rPr>
          <w:t xml:space="preserve"> </w:t>
        </w:r>
        <w:r w:rsidRPr="00D96591">
          <w:rPr>
            <w:rStyle w:val="PageNumber"/>
            <w:rFonts w:ascii="Poppins" w:hAnsi="Poppins" w:cs="Poppins"/>
            <w:b/>
            <w:bCs/>
            <w:sz w:val="14"/>
            <w:szCs w:val="14"/>
          </w:rPr>
          <w:t>National Suicide Prevention Outcomes Framework</w:t>
        </w:r>
        <w:r w:rsidRPr="00D96591">
          <w:rPr>
            <w:rStyle w:val="PageNumber"/>
            <w:rFonts w:ascii="Poppins" w:hAnsi="Poppins" w:cs="Poppins"/>
            <w:sz w:val="14"/>
            <w:szCs w:val="14"/>
          </w:rPr>
          <w:t xml:space="preserve"> O</w:t>
        </w:r>
        <w:r w:rsidR="00827556">
          <w:rPr>
            <w:rStyle w:val="PageNumber"/>
            <w:rFonts w:ascii="Poppins" w:hAnsi="Poppins" w:cs="Poppins"/>
            <w:sz w:val="14"/>
            <w:szCs w:val="14"/>
          </w:rPr>
          <w:t>utcomes and Indicators</w:t>
        </w:r>
        <w:r>
          <w:rPr>
            <w:rStyle w:val="PageNumber"/>
            <w:rFonts w:ascii="Poppins" w:hAnsi="Poppins" w:cs="Poppins"/>
            <w:sz w:val="14"/>
            <w:szCs w:val="14"/>
          </w:rPr>
          <w:t xml:space="preserve"> |</w:t>
        </w:r>
        <w:r>
          <w:rPr>
            <w:rStyle w:val="PageNumber"/>
          </w:rPr>
          <w:t xml:space="preserve"> </w:t>
        </w:r>
        <w:r w:rsidRPr="00D96591">
          <w:rPr>
            <w:rStyle w:val="PageNumber"/>
            <w:rFonts w:ascii="Poppins" w:hAnsi="Poppins" w:cs="Poppins"/>
            <w:sz w:val="14"/>
            <w:szCs w:val="14"/>
          </w:rPr>
          <w:fldChar w:fldCharType="begin"/>
        </w:r>
        <w:r w:rsidRPr="00D96591">
          <w:rPr>
            <w:rStyle w:val="PageNumber"/>
            <w:rFonts w:ascii="Poppins" w:hAnsi="Poppins" w:cs="Poppins"/>
            <w:sz w:val="14"/>
            <w:szCs w:val="14"/>
          </w:rPr>
          <w:instrText xml:space="preserve"> PAGE </w:instrText>
        </w:r>
        <w:r w:rsidRPr="00D96591">
          <w:rPr>
            <w:rStyle w:val="PageNumber"/>
            <w:rFonts w:ascii="Poppins" w:hAnsi="Poppins" w:cs="Poppins"/>
            <w:sz w:val="14"/>
            <w:szCs w:val="14"/>
          </w:rPr>
          <w:fldChar w:fldCharType="separate"/>
        </w:r>
        <w:r w:rsidRPr="00D96591">
          <w:rPr>
            <w:rStyle w:val="PageNumber"/>
            <w:rFonts w:ascii="Poppins" w:hAnsi="Poppins" w:cs="Poppins"/>
            <w:noProof/>
            <w:sz w:val="14"/>
            <w:szCs w:val="14"/>
          </w:rPr>
          <w:t>2</w:t>
        </w:r>
        <w:r w:rsidRPr="00D96591">
          <w:rPr>
            <w:rStyle w:val="PageNumber"/>
            <w:rFonts w:ascii="Poppins" w:hAnsi="Poppins" w:cs="Poppins"/>
            <w:sz w:val="14"/>
            <w:szCs w:val="14"/>
          </w:rPr>
          <w:fldChar w:fldCharType="end"/>
        </w:r>
      </w:p>
    </w:sdtContent>
  </w:sdt>
  <w:p w14:paraId="69D47C46" w14:textId="464A4143" w:rsidR="00A9797C" w:rsidRPr="00567E51" w:rsidRDefault="00A9797C" w:rsidP="00D96591">
    <w:pPr>
      <w:pStyle w:val="Footer"/>
      <w:ind w:right="360"/>
      <w:jc w:val="right"/>
      <w:rPr>
        <w:rFonts w:ascii="Poppins" w:hAnsi="Poppins" w:cs="Poppins"/>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D8EF" w14:textId="77777777" w:rsidR="00A9797C" w:rsidRDefault="00A9797C" w:rsidP="00A9797C">
      <w:r>
        <w:separator/>
      </w:r>
    </w:p>
  </w:footnote>
  <w:footnote w:type="continuationSeparator" w:id="0">
    <w:p w14:paraId="378DD506" w14:textId="77777777" w:rsidR="00A9797C" w:rsidRDefault="00A9797C" w:rsidP="00A97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9A"/>
    <w:multiLevelType w:val="hybridMultilevel"/>
    <w:tmpl w:val="126AC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9293C"/>
    <w:multiLevelType w:val="hybridMultilevel"/>
    <w:tmpl w:val="A4304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A46A2"/>
    <w:multiLevelType w:val="hybridMultilevel"/>
    <w:tmpl w:val="CE9C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C2606"/>
    <w:multiLevelType w:val="hybridMultilevel"/>
    <w:tmpl w:val="49F6F732"/>
    <w:lvl w:ilvl="0" w:tplc="F766ABDC">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B3B90"/>
    <w:multiLevelType w:val="hybridMultilevel"/>
    <w:tmpl w:val="8DAE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72F2A"/>
    <w:multiLevelType w:val="hybridMultilevel"/>
    <w:tmpl w:val="51DE1756"/>
    <w:lvl w:ilvl="0" w:tplc="07B885FE">
      <w:start w:val="1"/>
      <w:numFmt w:val="bullet"/>
      <w:pStyle w:val="Table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E3B2F"/>
    <w:multiLevelType w:val="hybridMultilevel"/>
    <w:tmpl w:val="83D63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550F4"/>
    <w:multiLevelType w:val="hybridMultilevel"/>
    <w:tmpl w:val="E2B8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7413F"/>
    <w:multiLevelType w:val="hybridMultilevel"/>
    <w:tmpl w:val="B5A4C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075CA"/>
    <w:multiLevelType w:val="hybridMultilevel"/>
    <w:tmpl w:val="11263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85072"/>
    <w:multiLevelType w:val="hybridMultilevel"/>
    <w:tmpl w:val="C4F8F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E0C4B"/>
    <w:multiLevelType w:val="hybridMultilevel"/>
    <w:tmpl w:val="921CC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AD0EFB"/>
    <w:multiLevelType w:val="hybridMultilevel"/>
    <w:tmpl w:val="F0D23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8A2996"/>
    <w:multiLevelType w:val="hybridMultilevel"/>
    <w:tmpl w:val="3040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513CF6"/>
    <w:multiLevelType w:val="hybridMultilevel"/>
    <w:tmpl w:val="F5D6D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AD2840"/>
    <w:multiLevelType w:val="hybridMultilevel"/>
    <w:tmpl w:val="AC94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9409E0"/>
    <w:multiLevelType w:val="hybridMultilevel"/>
    <w:tmpl w:val="2B48D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703B6"/>
    <w:multiLevelType w:val="hybridMultilevel"/>
    <w:tmpl w:val="0BFA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F61FD"/>
    <w:multiLevelType w:val="hybridMultilevel"/>
    <w:tmpl w:val="FF28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E47460"/>
    <w:multiLevelType w:val="hybridMultilevel"/>
    <w:tmpl w:val="CF5EC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D23F70"/>
    <w:multiLevelType w:val="hybridMultilevel"/>
    <w:tmpl w:val="F934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13862"/>
    <w:multiLevelType w:val="hybridMultilevel"/>
    <w:tmpl w:val="A850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D43EBB"/>
    <w:multiLevelType w:val="hybridMultilevel"/>
    <w:tmpl w:val="8A5A2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D811A4"/>
    <w:multiLevelType w:val="hybridMultilevel"/>
    <w:tmpl w:val="E364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EE39DE"/>
    <w:multiLevelType w:val="hybridMultilevel"/>
    <w:tmpl w:val="93CE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105017"/>
    <w:multiLevelType w:val="hybridMultilevel"/>
    <w:tmpl w:val="A112C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09318A"/>
    <w:multiLevelType w:val="hybridMultilevel"/>
    <w:tmpl w:val="64C8D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567640"/>
    <w:multiLevelType w:val="hybridMultilevel"/>
    <w:tmpl w:val="8B10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156183">
    <w:abstractNumId w:val="17"/>
  </w:num>
  <w:num w:numId="2" w16cid:durableId="249394009">
    <w:abstractNumId w:val="27"/>
  </w:num>
  <w:num w:numId="3" w16cid:durableId="1459184256">
    <w:abstractNumId w:val="8"/>
  </w:num>
  <w:num w:numId="4" w16cid:durableId="1431392711">
    <w:abstractNumId w:val="0"/>
  </w:num>
  <w:num w:numId="5" w16cid:durableId="2115128093">
    <w:abstractNumId w:val="21"/>
  </w:num>
  <w:num w:numId="6" w16cid:durableId="687102249">
    <w:abstractNumId w:val="14"/>
  </w:num>
  <w:num w:numId="7" w16cid:durableId="528568248">
    <w:abstractNumId w:val="4"/>
  </w:num>
  <w:num w:numId="8" w16cid:durableId="1089034841">
    <w:abstractNumId w:val="15"/>
  </w:num>
  <w:num w:numId="9" w16cid:durableId="1959679489">
    <w:abstractNumId w:val="12"/>
  </w:num>
  <w:num w:numId="10" w16cid:durableId="1681079164">
    <w:abstractNumId w:val="20"/>
  </w:num>
  <w:num w:numId="11" w16cid:durableId="911159592">
    <w:abstractNumId w:val="24"/>
  </w:num>
  <w:num w:numId="12" w16cid:durableId="2074813188">
    <w:abstractNumId w:val="2"/>
  </w:num>
  <w:num w:numId="13" w16cid:durableId="403574430">
    <w:abstractNumId w:val="23"/>
  </w:num>
  <w:num w:numId="14" w16cid:durableId="1581333927">
    <w:abstractNumId w:val="22"/>
  </w:num>
  <w:num w:numId="15" w16cid:durableId="1808619789">
    <w:abstractNumId w:val="5"/>
  </w:num>
  <w:num w:numId="16" w16cid:durableId="1088577827">
    <w:abstractNumId w:val="18"/>
  </w:num>
  <w:num w:numId="17" w16cid:durableId="634874728">
    <w:abstractNumId w:val="19"/>
  </w:num>
  <w:num w:numId="18" w16cid:durableId="1525560069">
    <w:abstractNumId w:val="26"/>
  </w:num>
  <w:num w:numId="19" w16cid:durableId="478771418">
    <w:abstractNumId w:val="6"/>
  </w:num>
  <w:num w:numId="20" w16cid:durableId="1539707779">
    <w:abstractNumId w:val="13"/>
  </w:num>
  <w:num w:numId="21" w16cid:durableId="1177691259">
    <w:abstractNumId w:val="16"/>
  </w:num>
  <w:num w:numId="22" w16cid:durableId="2110469731">
    <w:abstractNumId w:val="11"/>
  </w:num>
  <w:num w:numId="23" w16cid:durableId="178740576">
    <w:abstractNumId w:val="25"/>
  </w:num>
  <w:num w:numId="24" w16cid:durableId="682898746">
    <w:abstractNumId w:val="7"/>
  </w:num>
  <w:num w:numId="25" w16cid:durableId="192963858">
    <w:abstractNumId w:val="10"/>
  </w:num>
  <w:num w:numId="26" w16cid:durableId="2131708333">
    <w:abstractNumId w:val="9"/>
  </w:num>
  <w:num w:numId="27" w16cid:durableId="603005056">
    <w:abstractNumId w:val="1"/>
  </w:num>
  <w:num w:numId="28" w16cid:durableId="739668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E8"/>
    <w:rsid w:val="00000509"/>
    <w:rsid w:val="00017AA4"/>
    <w:rsid w:val="00020DC5"/>
    <w:rsid w:val="000224E0"/>
    <w:rsid w:val="0004094B"/>
    <w:rsid w:val="00043A24"/>
    <w:rsid w:val="00045B16"/>
    <w:rsid w:val="00057176"/>
    <w:rsid w:val="000B2488"/>
    <w:rsid w:val="000E5508"/>
    <w:rsid w:val="0011017D"/>
    <w:rsid w:val="001173BA"/>
    <w:rsid w:val="001521D6"/>
    <w:rsid w:val="00242F2A"/>
    <w:rsid w:val="002A54A1"/>
    <w:rsid w:val="002B2EC6"/>
    <w:rsid w:val="002E54E8"/>
    <w:rsid w:val="003128B5"/>
    <w:rsid w:val="003C5A66"/>
    <w:rsid w:val="00456DCA"/>
    <w:rsid w:val="00461E66"/>
    <w:rsid w:val="00503B09"/>
    <w:rsid w:val="00513EC0"/>
    <w:rsid w:val="005251BC"/>
    <w:rsid w:val="005513F2"/>
    <w:rsid w:val="00554831"/>
    <w:rsid w:val="005669DA"/>
    <w:rsid w:val="00567E51"/>
    <w:rsid w:val="006471AA"/>
    <w:rsid w:val="006B1FA5"/>
    <w:rsid w:val="006C20A6"/>
    <w:rsid w:val="006C2369"/>
    <w:rsid w:val="006D6057"/>
    <w:rsid w:val="00722641"/>
    <w:rsid w:val="0073005F"/>
    <w:rsid w:val="00755C94"/>
    <w:rsid w:val="007878C1"/>
    <w:rsid w:val="00804D24"/>
    <w:rsid w:val="0081725E"/>
    <w:rsid w:val="00821307"/>
    <w:rsid w:val="00827556"/>
    <w:rsid w:val="008321AA"/>
    <w:rsid w:val="00855D2A"/>
    <w:rsid w:val="008714AD"/>
    <w:rsid w:val="0088157A"/>
    <w:rsid w:val="008A36BF"/>
    <w:rsid w:val="008B1F36"/>
    <w:rsid w:val="00930953"/>
    <w:rsid w:val="00960D83"/>
    <w:rsid w:val="00970CAB"/>
    <w:rsid w:val="009C0C15"/>
    <w:rsid w:val="009D5266"/>
    <w:rsid w:val="009D675F"/>
    <w:rsid w:val="00A06BEB"/>
    <w:rsid w:val="00A54756"/>
    <w:rsid w:val="00A6618B"/>
    <w:rsid w:val="00A9797C"/>
    <w:rsid w:val="00AB4FA3"/>
    <w:rsid w:val="00B30077"/>
    <w:rsid w:val="00B923B5"/>
    <w:rsid w:val="00B960A4"/>
    <w:rsid w:val="00BA0C0A"/>
    <w:rsid w:val="00BB5528"/>
    <w:rsid w:val="00BC7445"/>
    <w:rsid w:val="00BF6D29"/>
    <w:rsid w:val="00C604BB"/>
    <w:rsid w:val="00C7370A"/>
    <w:rsid w:val="00CB4DBA"/>
    <w:rsid w:val="00D648E9"/>
    <w:rsid w:val="00D730CE"/>
    <w:rsid w:val="00D80974"/>
    <w:rsid w:val="00D83BF2"/>
    <w:rsid w:val="00D96591"/>
    <w:rsid w:val="00DB6834"/>
    <w:rsid w:val="00DC2C49"/>
    <w:rsid w:val="00DF26A5"/>
    <w:rsid w:val="00DF36F0"/>
    <w:rsid w:val="00DF501C"/>
    <w:rsid w:val="00E44FBE"/>
    <w:rsid w:val="00EB6F20"/>
    <w:rsid w:val="00ED138A"/>
    <w:rsid w:val="00ED574F"/>
    <w:rsid w:val="00EE6FD5"/>
    <w:rsid w:val="00EF16A7"/>
    <w:rsid w:val="00EF24B0"/>
    <w:rsid w:val="00EF4CD5"/>
    <w:rsid w:val="00F068C4"/>
    <w:rsid w:val="00F345B4"/>
    <w:rsid w:val="00F4512D"/>
    <w:rsid w:val="00F45878"/>
    <w:rsid w:val="00F96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F4F9"/>
  <w15:chartTrackingRefBased/>
  <w15:docId w15:val="{DFB22C96-C786-BB4F-A55A-53C093AB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4E0"/>
  </w:style>
  <w:style w:type="paragraph" w:styleId="Heading1">
    <w:name w:val="heading 1"/>
    <w:basedOn w:val="BodyText"/>
    <w:next w:val="Normal"/>
    <w:link w:val="Heading1Char"/>
    <w:uiPriority w:val="9"/>
    <w:qFormat/>
    <w:rsid w:val="006C2369"/>
    <w:pPr>
      <w:spacing w:before="240" w:after="360" w:line="800" w:lineRule="exact"/>
      <w:outlineLvl w:val="0"/>
    </w:pPr>
    <w:rPr>
      <w:b/>
      <w:bCs/>
      <w:sz w:val="80"/>
      <w:szCs w:val="40"/>
    </w:rPr>
  </w:style>
  <w:style w:type="paragraph" w:styleId="Heading2">
    <w:name w:val="heading 2"/>
    <w:basedOn w:val="Normal"/>
    <w:next w:val="Normal"/>
    <w:link w:val="Heading2Char"/>
    <w:uiPriority w:val="9"/>
    <w:unhideWhenUsed/>
    <w:qFormat/>
    <w:rsid w:val="00456DCA"/>
    <w:pPr>
      <w:keepNext/>
      <w:keepLines/>
      <w:spacing w:before="360" w:after="240" w:line="320" w:lineRule="atLeast"/>
      <w:outlineLvl w:val="1"/>
    </w:pPr>
    <w:rPr>
      <w:rFonts w:ascii="Calibri" w:eastAsiaTheme="majorEastAsia" w:hAnsi="Calibri" w:cs="Calibri"/>
      <w:b/>
      <w:bCs/>
      <w:kern w:val="24"/>
      <w:sz w:val="52"/>
      <w:szCs w:val="28"/>
      <w:lang w:eastAsia="en-AU"/>
      <w14:ligatures w14:val="none"/>
    </w:rPr>
  </w:style>
  <w:style w:type="paragraph" w:styleId="Heading3">
    <w:name w:val="heading 3"/>
    <w:basedOn w:val="Heading2"/>
    <w:next w:val="Normal"/>
    <w:link w:val="Heading3Char"/>
    <w:uiPriority w:val="9"/>
    <w:unhideWhenUsed/>
    <w:qFormat/>
    <w:rsid w:val="0081725E"/>
    <w:pPr>
      <w:spacing w:before="240" w:after="80"/>
      <w:outlineLvl w:val="2"/>
    </w:pPr>
    <w:rPr>
      <w:rFonts w:cstheme="majorBidi"/>
      <w:sz w:val="28"/>
    </w:rPr>
  </w:style>
  <w:style w:type="paragraph" w:styleId="Heading4">
    <w:name w:val="heading 4"/>
    <w:basedOn w:val="Normal"/>
    <w:next w:val="Normal"/>
    <w:link w:val="Heading4Char"/>
    <w:uiPriority w:val="9"/>
    <w:semiHidden/>
    <w:unhideWhenUsed/>
    <w:rsid w:val="002E54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4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4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4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4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4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369"/>
    <w:rPr>
      <w:rFonts w:ascii="Calibri" w:eastAsia="Calibri" w:hAnsi="Calibri" w:cs="Calibri"/>
      <w:b/>
      <w:bCs/>
      <w:color w:val="000000" w:themeColor="text1"/>
      <w:kern w:val="0"/>
      <w:sz w:val="80"/>
      <w:szCs w:val="40"/>
      <w:lang w:eastAsia="en-AU"/>
      <w14:ligatures w14:val="none"/>
    </w:rPr>
  </w:style>
  <w:style w:type="character" w:customStyle="1" w:styleId="Heading2Char">
    <w:name w:val="Heading 2 Char"/>
    <w:basedOn w:val="DefaultParagraphFont"/>
    <w:link w:val="Heading2"/>
    <w:uiPriority w:val="9"/>
    <w:rsid w:val="00456DCA"/>
    <w:rPr>
      <w:rFonts w:ascii="Calibri" w:eastAsiaTheme="majorEastAsia" w:hAnsi="Calibri" w:cs="Calibri"/>
      <w:b/>
      <w:bCs/>
      <w:kern w:val="24"/>
      <w:sz w:val="52"/>
      <w:szCs w:val="28"/>
      <w:lang w:eastAsia="en-AU"/>
      <w14:ligatures w14:val="none"/>
    </w:rPr>
  </w:style>
  <w:style w:type="character" w:customStyle="1" w:styleId="Heading3Char">
    <w:name w:val="Heading 3 Char"/>
    <w:basedOn w:val="DefaultParagraphFont"/>
    <w:link w:val="Heading3"/>
    <w:uiPriority w:val="9"/>
    <w:rsid w:val="0081725E"/>
    <w:rPr>
      <w:rFonts w:ascii="Calibri" w:eastAsiaTheme="majorEastAsia" w:hAnsi="Calibri" w:cstheme="majorBidi"/>
      <w:b/>
      <w:bCs/>
      <w:kern w:val="24"/>
      <w:sz w:val="28"/>
      <w:szCs w:val="28"/>
      <w:lang w:eastAsia="en-AU"/>
      <w14:ligatures w14:val="none"/>
    </w:rPr>
  </w:style>
  <w:style w:type="character" w:customStyle="1" w:styleId="Heading4Char">
    <w:name w:val="Heading 4 Char"/>
    <w:basedOn w:val="DefaultParagraphFont"/>
    <w:link w:val="Heading4"/>
    <w:uiPriority w:val="9"/>
    <w:semiHidden/>
    <w:rsid w:val="002E54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4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4E8"/>
    <w:rPr>
      <w:rFonts w:eastAsiaTheme="majorEastAsia" w:cstheme="majorBidi"/>
      <w:color w:val="272727" w:themeColor="text1" w:themeTint="D8"/>
    </w:rPr>
  </w:style>
  <w:style w:type="paragraph" w:styleId="Title">
    <w:name w:val="Title"/>
    <w:basedOn w:val="Normal"/>
    <w:next w:val="Normal"/>
    <w:link w:val="TitleChar"/>
    <w:uiPriority w:val="10"/>
    <w:rsid w:val="002E54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2E54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2E54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54E8"/>
    <w:rPr>
      <w:i/>
      <w:iCs/>
      <w:color w:val="404040" w:themeColor="text1" w:themeTint="BF"/>
    </w:rPr>
  </w:style>
  <w:style w:type="paragraph" w:styleId="ListParagraph">
    <w:name w:val="List Paragraph"/>
    <w:basedOn w:val="Normal"/>
    <w:uiPriority w:val="34"/>
    <w:rsid w:val="002E54E8"/>
    <w:pPr>
      <w:ind w:left="720"/>
      <w:contextualSpacing/>
    </w:pPr>
  </w:style>
  <w:style w:type="character" w:styleId="IntenseEmphasis">
    <w:name w:val="Intense Emphasis"/>
    <w:basedOn w:val="DefaultParagraphFont"/>
    <w:uiPriority w:val="21"/>
    <w:rsid w:val="002E54E8"/>
    <w:rPr>
      <w:i/>
      <w:iCs/>
      <w:color w:val="0F4761" w:themeColor="accent1" w:themeShade="BF"/>
    </w:rPr>
  </w:style>
  <w:style w:type="paragraph" w:styleId="IntenseQuote">
    <w:name w:val="Intense Quote"/>
    <w:basedOn w:val="Normal"/>
    <w:next w:val="Normal"/>
    <w:link w:val="IntenseQuoteChar"/>
    <w:uiPriority w:val="30"/>
    <w:rsid w:val="002E5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4E8"/>
    <w:rPr>
      <w:i/>
      <w:iCs/>
      <w:color w:val="0F4761" w:themeColor="accent1" w:themeShade="BF"/>
    </w:rPr>
  </w:style>
  <w:style w:type="character" w:styleId="IntenseReference">
    <w:name w:val="Intense Reference"/>
    <w:basedOn w:val="DefaultParagraphFont"/>
    <w:uiPriority w:val="32"/>
    <w:rsid w:val="002E54E8"/>
    <w:rPr>
      <w:b/>
      <w:bCs/>
      <w:smallCaps/>
      <w:color w:val="0F4761" w:themeColor="accent1" w:themeShade="BF"/>
      <w:spacing w:val="5"/>
    </w:rPr>
  </w:style>
  <w:style w:type="paragraph" w:styleId="Header">
    <w:name w:val="header"/>
    <w:basedOn w:val="Normal"/>
    <w:link w:val="HeaderChar"/>
    <w:uiPriority w:val="99"/>
    <w:unhideWhenUsed/>
    <w:rsid w:val="00A9797C"/>
    <w:pPr>
      <w:tabs>
        <w:tab w:val="center" w:pos="4513"/>
        <w:tab w:val="right" w:pos="9026"/>
      </w:tabs>
    </w:pPr>
  </w:style>
  <w:style w:type="character" w:customStyle="1" w:styleId="HeaderChar">
    <w:name w:val="Header Char"/>
    <w:basedOn w:val="DefaultParagraphFont"/>
    <w:link w:val="Header"/>
    <w:uiPriority w:val="99"/>
    <w:rsid w:val="00A9797C"/>
  </w:style>
  <w:style w:type="paragraph" w:styleId="Footer">
    <w:name w:val="footer"/>
    <w:basedOn w:val="Normal"/>
    <w:link w:val="FooterChar"/>
    <w:uiPriority w:val="99"/>
    <w:unhideWhenUsed/>
    <w:rsid w:val="00A9797C"/>
    <w:pPr>
      <w:tabs>
        <w:tab w:val="center" w:pos="4513"/>
        <w:tab w:val="right" w:pos="9026"/>
      </w:tabs>
    </w:pPr>
  </w:style>
  <w:style w:type="character" w:customStyle="1" w:styleId="FooterChar">
    <w:name w:val="Footer Char"/>
    <w:basedOn w:val="DefaultParagraphFont"/>
    <w:link w:val="Footer"/>
    <w:uiPriority w:val="99"/>
    <w:rsid w:val="00A9797C"/>
  </w:style>
  <w:style w:type="paragraph" w:styleId="BodyText">
    <w:name w:val="Body Text"/>
    <w:basedOn w:val="Normal"/>
    <w:link w:val="BodyTextChar"/>
    <w:qFormat/>
    <w:rsid w:val="00B923B5"/>
    <w:pPr>
      <w:spacing w:before="120" w:after="160" w:line="280" w:lineRule="exact"/>
    </w:pPr>
    <w:rPr>
      <w:rFonts w:ascii="Calibri" w:eastAsia="Calibri" w:hAnsi="Calibri" w:cs="Calibri"/>
      <w:color w:val="000000" w:themeColor="text1"/>
      <w:kern w:val="0"/>
      <w:sz w:val="21"/>
      <w:szCs w:val="22"/>
      <w:lang w:eastAsia="en-AU"/>
      <w14:ligatures w14:val="none"/>
    </w:rPr>
  </w:style>
  <w:style w:type="character" w:customStyle="1" w:styleId="BodyTextChar">
    <w:name w:val="Body Text Char"/>
    <w:basedOn w:val="DefaultParagraphFont"/>
    <w:link w:val="BodyText"/>
    <w:rsid w:val="00B923B5"/>
    <w:rPr>
      <w:rFonts w:ascii="Calibri" w:eastAsia="Calibri" w:hAnsi="Calibri" w:cs="Calibri"/>
      <w:color w:val="000000" w:themeColor="text1"/>
      <w:kern w:val="0"/>
      <w:sz w:val="21"/>
      <w:szCs w:val="22"/>
      <w:lang w:eastAsia="en-AU"/>
      <w14:ligatures w14:val="none"/>
    </w:rPr>
  </w:style>
  <w:style w:type="character" w:customStyle="1" w:styleId="normaltextrun">
    <w:name w:val="normaltextrun"/>
    <w:basedOn w:val="DefaultParagraphFont"/>
    <w:rsid w:val="0081725E"/>
  </w:style>
  <w:style w:type="paragraph" w:customStyle="1" w:styleId="H3">
    <w:name w:val="H3"/>
    <w:basedOn w:val="Normal"/>
    <w:uiPriority w:val="99"/>
    <w:rsid w:val="0081725E"/>
    <w:pPr>
      <w:suppressAutoHyphens/>
      <w:autoSpaceDE w:val="0"/>
      <w:autoSpaceDN w:val="0"/>
      <w:adjustRightInd w:val="0"/>
      <w:spacing w:after="227" w:line="320" w:lineRule="atLeast"/>
      <w:textAlignment w:val="center"/>
    </w:pPr>
    <w:rPr>
      <w:rFonts w:ascii="Poppins Medium" w:hAnsi="Poppins Medium" w:cs="Poppins Medium"/>
      <w:color w:val="000000"/>
      <w:kern w:val="0"/>
      <w:lang w:val="en-US"/>
    </w:rPr>
  </w:style>
  <w:style w:type="paragraph" w:customStyle="1" w:styleId="Body">
    <w:name w:val="Body"/>
    <w:basedOn w:val="Normal"/>
    <w:uiPriority w:val="99"/>
    <w:rsid w:val="0081725E"/>
    <w:pPr>
      <w:suppressAutoHyphens/>
      <w:autoSpaceDE w:val="0"/>
      <w:autoSpaceDN w:val="0"/>
      <w:adjustRightInd w:val="0"/>
      <w:spacing w:after="227" w:line="280" w:lineRule="atLeast"/>
      <w:textAlignment w:val="center"/>
    </w:pPr>
    <w:rPr>
      <w:rFonts w:ascii="Poppins" w:hAnsi="Poppins" w:cs="Poppins"/>
      <w:color w:val="000000"/>
      <w:kern w:val="0"/>
      <w:sz w:val="20"/>
      <w:szCs w:val="20"/>
      <w:lang w:val="en-US"/>
    </w:rPr>
  </w:style>
  <w:style w:type="paragraph" w:customStyle="1" w:styleId="H2">
    <w:name w:val="H2"/>
    <w:basedOn w:val="Normal"/>
    <w:uiPriority w:val="99"/>
    <w:rsid w:val="0081725E"/>
    <w:pPr>
      <w:suppressAutoHyphens/>
      <w:autoSpaceDE w:val="0"/>
      <w:autoSpaceDN w:val="0"/>
      <w:adjustRightInd w:val="0"/>
      <w:spacing w:after="227" w:line="540" w:lineRule="atLeast"/>
      <w:textAlignment w:val="center"/>
    </w:pPr>
    <w:rPr>
      <w:rFonts w:ascii="Poppins Medium" w:hAnsi="Poppins Medium" w:cs="Poppins Medium"/>
      <w:color w:val="000000"/>
      <w:kern w:val="0"/>
      <w:sz w:val="46"/>
      <w:szCs w:val="46"/>
      <w:lang w:val="en-US"/>
    </w:rPr>
  </w:style>
  <w:style w:type="paragraph" w:customStyle="1" w:styleId="Intro">
    <w:name w:val="Intro"/>
    <w:basedOn w:val="Body"/>
    <w:uiPriority w:val="99"/>
    <w:rsid w:val="0081725E"/>
    <w:pPr>
      <w:spacing w:line="360" w:lineRule="atLeast"/>
    </w:pPr>
    <w:rPr>
      <w:sz w:val="24"/>
      <w:szCs w:val="24"/>
    </w:rPr>
  </w:style>
  <w:style w:type="character" w:styleId="Hyperlink">
    <w:name w:val="Hyperlink"/>
    <w:basedOn w:val="DefaultParagraphFont"/>
    <w:uiPriority w:val="99"/>
    <w:unhideWhenUsed/>
    <w:rsid w:val="00456DCA"/>
    <w:rPr>
      <w:color w:val="auto"/>
      <w:u w:val="single"/>
    </w:rPr>
  </w:style>
  <w:style w:type="character" w:styleId="UnresolvedMention">
    <w:name w:val="Unresolved Mention"/>
    <w:basedOn w:val="DefaultParagraphFont"/>
    <w:uiPriority w:val="99"/>
    <w:semiHidden/>
    <w:unhideWhenUsed/>
    <w:rsid w:val="0081725E"/>
    <w:rPr>
      <w:color w:val="605E5C"/>
      <w:shd w:val="clear" w:color="auto" w:fill="E1DFDD"/>
    </w:rPr>
  </w:style>
  <w:style w:type="paragraph" w:customStyle="1" w:styleId="H1">
    <w:name w:val="H1"/>
    <w:basedOn w:val="Normal"/>
    <w:uiPriority w:val="99"/>
    <w:rsid w:val="006C2369"/>
    <w:pPr>
      <w:suppressAutoHyphens/>
      <w:autoSpaceDE w:val="0"/>
      <w:autoSpaceDN w:val="0"/>
      <w:adjustRightInd w:val="0"/>
      <w:spacing w:after="227" w:line="920" w:lineRule="atLeast"/>
      <w:textAlignment w:val="center"/>
    </w:pPr>
    <w:rPr>
      <w:rFonts w:ascii="Poppins Medium" w:hAnsi="Poppins Medium" w:cs="Poppins Medium"/>
      <w:color w:val="000000"/>
      <w:kern w:val="0"/>
      <w:sz w:val="80"/>
      <w:szCs w:val="80"/>
      <w:lang w:val="en-US"/>
    </w:rPr>
  </w:style>
  <w:style w:type="paragraph" w:customStyle="1" w:styleId="Tabletextbullets">
    <w:name w:val="Table text – bullets"/>
    <w:basedOn w:val="BodyText"/>
    <w:uiPriority w:val="99"/>
    <w:qFormat/>
    <w:rsid w:val="001173BA"/>
    <w:pPr>
      <w:numPr>
        <w:numId w:val="15"/>
      </w:numPr>
      <w:spacing w:before="60" w:after="60"/>
      <w:ind w:left="357" w:hanging="357"/>
    </w:pPr>
  </w:style>
  <w:style w:type="character" w:styleId="FollowedHyperlink">
    <w:name w:val="FollowedHyperlink"/>
    <w:basedOn w:val="DefaultParagraphFont"/>
    <w:uiPriority w:val="99"/>
    <w:semiHidden/>
    <w:unhideWhenUsed/>
    <w:rsid w:val="008714AD"/>
    <w:rPr>
      <w:color w:val="000000" w:themeColor="text1"/>
      <w:u w:val="single"/>
    </w:rPr>
  </w:style>
  <w:style w:type="character" w:styleId="PageNumber">
    <w:name w:val="page number"/>
    <w:basedOn w:val="DefaultParagraphFont"/>
    <w:uiPriority w:val="99"/>
    <w:semiHidden/>
    <w:unhideWhenUsed/>
    <w:rsid w:val="00D96591"/>
  </w:style>
  <w:style w:type="paragraph" w:styleId="Caption">
    <w:name w:val="caption"/>
    <w:basedOn w:val="Body"/>
    <w:uiPriority w:val="99"/>
    <w:qFormat/>
    <w:rsid w:val="00D96591"/>
    <w:pPr>
      <w:spacing w:line="240" w:lineRule="atLeast"/>
    </w:pPr>
    <w:rPr>
      <w:i/>
      <w:iCs/>
      <w:sz w:val="16"/>
      <w:szCs w:val="16"/>
    </w:rPr>
  </w:style>
  <w:style w:type="table" w:styleId="TableGrid">
    <w:name w:val="Table Grid"/>
    <w:basedOn w:val="TableNormal"/>
    <w:uiPriority w:val="39"/>
    <w:rsid w:val="00804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ullets">
    <w:name w:val="Body – bullets"/>
    <w:basedOn w:val="Body"/>
    <w:uiPriority w:val="99"/>
    <w:rsid w:val="001173BA"/>
    <w:pPr>
      <w:spacing w:after="113"/>
      <w:ind w:left="283" w:hanging="283"/>
    </w:pPr>
  </w:style>
  <w:style w:type="paragraph" w:customStyle="1" w:styleId="Contents">
    <w:name w:val="Contents"/>
    <w:basedOn w:val="Body"/>
    <w:uiPriority w:val="99"/>
    <w:rsid w:val="00EF16A7"/>
    <w:pPr>
      <w:tabs>
        <w:tab w:val="right" w:leader="dot" w:pos="9860"/>
      </w:tabs>
    </w:pPr>
  </w:style>
  <w:style w:type="paragraph" w:styleId="TOC1">
    <w:name w:val="toc 1"/>
    <w:basedOn w:val="Normal"/>
    <w:next w:val="Normal"/>
    <w:autoRedefine/>
    <w:uiPriority w:val="39"/>
    <w:unhideWhenUsed/>
    <w:rsid w:val="00B923B5"/>
    <w:pPr>
      <w:tabs>
        <w:tab w:val="right" w:leader="dot" w:pos="9016"/>
      </w:tabs>
      <w:spacing w:before="120" w:after="160" w:line="280" w:lineRule="exact"/>
    </w:pPr>
    <w:rPr>
      <w:rFonts w:ascii="Calibri" w:hAnsi="Calibri" w:cs="Calibri"/>
      <w:bCs/>
      <w:noProof/>
      <w:sz w:val="21"/>
      <w:szCs w:val="21"/>
    </w:rPr>
  </w:style>
  <w:style w:type="paragraph" w:styleId="TOC2">
    <w:name w:val="toc 2"/>
    <w:basedOn w:val="Normal"/>
    <w:next w:val="Normal"/>
    <w:autoRedefine/>
    <w:uiPriority w:val="39"/>
    <w:unhideWhenUsed/>
    <w:rsid w:val="00B923B5"/>
    <w:pPr>
      <w:spacing w:before="120" w:after="160" w:line="280" w:lineRule="exact"/>
      <w:ind w:left="238"/>
    </w:pPr>
    <w:rPr>
      <w:rFonts w:ascii="Calibri" w:hAnsi="Calibri"/>
      <w:sz w:val="21"/>
    </w:rPr>
  </w:style>
  <w:style w:type="paragraph" w:customStyle="1" w:styleId="Bodylarge">
    <w:name w:val="Body large"/>
    <w:basedOn w:val="Body"/>
    <w:uiPriority w:val="99"/>
    <w:rsid w:val="00D83BF2"/>
    <w:pPr>
      <w:spacing w:after="160" w:line="600" w:lineRule="atLeast"/>
    </w:pPr>
    <w:rPr>
      <w:sz w:val="44"/>
      <w:szCs w:val="44"/>
    </w:rPr>
  </w:style>
  <w:style w:type="paragraph" w:customStyle="1" w:styleId="Tablebody">
    <w:name w:val="Table body"/>
    <w:basedOn w:val="BodyText"/>
    <w:rsid w:val="008321AA"/>
    <w:pPr>
      <w:spacing w:before="80" w:after="80" w:line="240" w:lineRule="exact"/>
    </w:pPr>
    <w:rPr>
      <w:sz w:val="19"/>
    </w:rPr>
  </w:style>
  <w:style w:type="paragraph" w:customStyle="1" w:styleId="Tablebullets">
    <w:name w:val="Table bullets"/>
    <w:basedOn w:val="Tablebody"/>
    <w:rsid w:val="008321AA"/>
    <w:pPr>
      <w:numPr>
        <w:numId w:val="28"/>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2E698B61BC54798366E7328386405" ma:contentTypeVersion="14" ma:contentTypeDescription="Create a new document." ma:contentTypeScope="" ma:versionID="ec916863629962160c4fe2a3eed048c5">
  <xsd:schema xmlns:xsd="http://www.w3.org/2001/XMLSchema" xmlns:xs="http://www.w3.org/2001/XMLSchema" xmlns:p="http://schemas.microsoft.com/office/2006/metadata/properties" xmlns:ns2="8096d9a1-6091-41bf-bc86-408bea4dfaea" xmlns:ns3="c1331009-53a6-4a44-a448-5341ae249df7" targetNamespace="http://schemas.microsoft.com/office/2006/metadata/properties" ma:root="true" ma:fieldsID="1d95bddc345f091588ee0c0c7964f9cb" ns2:_="" ns3:_="">
    <xsd:import namespace="8096d9a1-6091-41bf-bc86-408bea4dfaea"/>
    <xsd:import namespace="c1331009-53a6-4a44-a448-5341ae249d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6d9a1-6091-41bf-bc86-408bea4df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1aaea3-f5b0-4a38-9a28-281e9e4e29b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Categories" ma:index="21" nillable="true" ma:displayName="Categories" ma:description="one or more categories this could be found under" ma:format="Dropdown" ma:internalName="Categori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331009-53a6-4a44-a448-5341ae249d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0140-0960-4535-8609-327655e21847}" ma:internalName="TaxCatchAll" ma:showField="CatchAllData" ma:web="c1331009-53a6-4a44-a448-5341ae249d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96d9a1-6091-41bf-bc86-408bea4dfaea">
      <Terms xmlns="http://schemas.microsoft.com/office/infopath/2007/PartnerControls"/>
    </lcf76f155ced4ddcb4097134ff3c332f>
    <TaxCatchAll xmlns="c1331009-53a6-4a44-a448-5341ae249df7" xsi:nil="true"/>
    <Categories xmlns="8096d9a1-6091-41bf-bc86-408bea4dfae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4CFF6B-E894-4406-809C-BBACCD180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6d9a1-6091-41bf-bc86-408bea4dfaea"/>
    <ds:schemaRef ds:uri="c1331009-53a6-4a44-a448-5341ae2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897FB-810F-0642-AE6B-95F1F067B09C}">
  <ds:schemaRefs>
    <ds:schemaRef ds:uri="http://schemas.openxmlformats.org/officeDocument/2006/bibliography"/>
  </ds:schemaRefs>
</ds:datastoreItem>
</file>

<file path=customXml/itemProps3.xml><?xml version="1.0" encoding="utf-8"?>
<ds:datastoreItem xmlns:ds="http://schemas.openxmlformats.org/officeDocument/2006/customXml" ds:itemID="{E02EB1E1-5EDC-4713-8485-597D632A3D0F}">
  <ds:schemaRefs>
    <ds:schemaRef ds:uri="http://schemas.microsoft.com/office/2006/metadata/properties"/>
    <ds:schemaRef ds:uri="http://schemas.microsoft.com/office/infopath/2007/PartnerControls"/>
    <ds:schemaRef ds:uri="8096d9a1-6091-41bf-bc86-408bea4dfaea"/>
    <ds:schemaRef ds:uri="c1331009-53a6-4a44-a448-5341ae249df7"/>
  </ds:schemaRefs>
</ds:datastoreItem>
</file>

<file path=customXml/itemProps4.xml><?xml version="1.0" encoding="utf-8"?>
<ds:datastoreItem xmlns:ds="http://schemas.openxmlformats.org/officeDocument/2006/customXml" ds:itemID="{9905DDA2-75E6-41ED-972F-AD2E0D97A6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4716</Words>
  <Characters>26885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Hitchcock</dc:creator>
  <cp:keywords/>
  <dc:description/>
  <cp:lastModifiedBy>Carly Hitchcock</cp:lastModifiedBy>
  <cp:revision>7</cp:revision>
  <dcterms:created xsi:type="dcterms:W3CDTF">2025-11-24T04:06:00Z</dcterms:created>
  <dcterms:modified xsi:type="dcterms:W3CDTF">2025-11-24T04:18:00Z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0x01010033A2E698B61BC54798366E7328386405</vt:lpwstr>
  </property>
  <property fmtid="{D5CDD505-2E9C-101B-9397-08002B2CF9AE}" pid="3" name="MediaServiceImageTags">
    <vt:lpwstr/>
  </property>
</Properties>
</file>