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1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1.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footer8.xml" ContentType="application/vnd.openxmlformats-officedocument.wordprocessingml.footer+xml"/>
  <Override PartName="/word/footer7.xml" ContentType="application/vnd.openxmlformats-officedocument.wordprocessingml.footer+xml"/>
  <Override PartName="/word/header17.xml" ContentType="application/vnd.openxmlformats-officedocument.wordprocessingml.header+xml"/>
  <Override PartName="/word/header16.xml" ContentType="application/vnd.openxmlformats-officedocument.wordprocessingml.header+xml"/>
  <Override PartName="/word/header15.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894939" w14:textId="6A55C8E0" w:rsidR="0013076E" w:rsidRDefault="00F00FF6">
      <w:pPr>
        <w:suppressAutoHyphens w:val="0"/>
        <w:autoSpaceDE/>
        <w:autoSpaceDN/>
        <w:adjustRightInd/>
        <w:spacing w:after="0"/>
        <w:textAlignment w:val="auto"/>
        <w:rPr>
          <w:rFonts w:ascii="Roboto-Medium" w:eastAsiaTheme="majorEastAsia" w:hAnsi="Roboto-Medium" w:cstheme="majorBidi"/>
          <w:color w:val="00B9F2"/>
          <w:sz w:val="32"/>
          <w:szCs w:val="32"/>
        </w:rPr>
      </w:pPr>
      <w:r>
        <w:rPr>
          <w:noProof/>
        </w:rPr>
        <w:drawing>
          <wp:anchor distT="0" distB="0" distL="114300" distR="114300" simplePos="0" relativeHeight="251663502" behindDoc="1" locked="0" layoutInCell="1" allowOverlap="1" wp14:anchorId="603012EE" wp14:editId="43351206">
            <wp:simplePos x="0" y="0"/>
            <wp:positionH relativeFrom="column">
              <wp:posOffset>-753660</wp:posOffset>
            </wp:positionH>
            <wp:positionV relativeFrom="paragraph">
              <wp:posOffset>-1235075</wp:posOffset>
            </wp:positionV>
            <wp:extent cx="7603067" cy="10746525"/>
            <wp:effectExtent l="0" t="0" r="4445" b="0"/>
            <wp:wrapNone/>
            <wp:docPr id="847975010" name="Picture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75010" name="Picture 183">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603067" cy="10746525"/>
                    </a:xfrm>
                    <a:prstGeom prst="rect">
                      <a:avLst/>
                    </a:prstGeom>
                  </pic:spPr>
                </pic:pic>
              </a:graphicData>
            </a:graphic>
            <wp14:sizeRelH relativeFrom="page">
              <wp14:pctWidth>0</wp14:pctWidth>
            </wp14:sizeRelH>
            <wp14:sizeRelV relativeFrom="page">
              <wp14:pctHeight>0</wp14:pctHeight>
            </wp14:sizeRelV>
          </wp:anchor>
        </w:drawing>
      </w:r>
      <w:r w:rsidR="00C87B23">
        <w:rPr>
          <w:noProof/>
        </w:rPr>
        <w:drawing>
          <wp:anchor distT="0" distB="0" distL="114300" distR="114300" simplePos="0" relativeHeight="251664526" behindDoc="0" locked="0" layoutInCell="1" allowOverlap="1" wp14:anchorId="6CBC51AA" wp14:editId="5A9422D6">
            <wp:simplePos x="0" y="0"/>
            <wp:positionH relativeFrom="column">
              <wp:posOffset>-528158</wp:posOffset>
            </wp:positionH>
            <wp:positionV relativeFrom="paragraph">
              <wp:posOffset>-542925</wp:posOffset>
            </wp:positionV>
            <wp:extent cx="7197976" cy="7197976"/>
            <wp:effectExtent l="0" t="0" r="0" b="0"/>
            <wp:wrapNone/>
            <wp:docPr id="2020070454" name="Picture 184" descr="Cover page of a report titled &quot;National Report Card 2025&quot; focused on monitoring and reporting Australia's mental health system. Features Australian Government and National Mental Health Commission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070454" name="Picture 184" descr="Cover page of a report titled &quot;National Report Card 2025&quot; focused on monitoring and reporting Australia's mental health system. Features Australian Government and National Mental Health Commission logos,"/>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7976" cy="7197976"/>
                    </a:xfrm>
                    <a:prstGeom prst="rect">
                      <a:avLst/>
                    </a:prstGeom>
                  </pic:spPr>
                </pic:pic>
              </a:graphicData>
            </a:graphic>
            <wp14:sizeRelH relativeFrom="page">
              <wp14:pctWidth>0</wp14:pctWidth>
            </wp14:sizeRelH>
            <wp14:sizeRelV relativeFrom="page">
              <wp14:pctHeight>0</wp14:pctHeight>
            </wp14:sizeRelV>
          </wp:anchor>
        </w:drawing>
      </w:r>
      <w:r w:rsidR="0013076E">
        <w:br w:type="page"/>
      </w:r>
    </w:p>
    <w:sdt>
      <w:sdtPr>
        <w:rPr>
          <w:rFonts w:ascii="Roboto-Light" w:eastAsiaTheme="minorEastAsia" w:hAnsi="Roboto-Light" w:cs="Roboto-Light"/>
          <w:bCs w:val="0"/>
          <w:color w:val="545A60" w:themeColor="accent3"/>
          <w:sz w:val="18"/>
          <w:szCs w:val="18"/>
          <w:lang w:val="en-GB"/>
        </w:rPr>
        <w:id w:val="-1373998226"/>
        <w:docPartObj>
          <w:docPartGallery w:val="Table of Contents"/>
          <w:docPartUnique/>
        </w:docPartObj>
      </w:sdtPr>
      <w:sdtEndPr>
        <w:rPr>
          <w:rFonts w:ascii="Roboto" w:hAnsi="Roboto"/>
          <w:b/>
          <w:bCs/>
          <w:noProof/>
          <w:color w:val="5C626C"/>
        </w:rPr>
      </w:sdtEndPr>
      <w:sdtContent>
        <w:p w14:paraId="1B6B22F0" w14:textId="78082B7D" w:rsidR="00057826" w:rsidRPr="00C00D1D" w:rsidRDefault="00C86B7A">
          <w:pPr>
            <w:pStyle w:val="TOCHeading"/>
            <w:rPr>
              <w:rStyle w:val="Heading1Char"/>
              <w:rFonts w:ascii="Roboto" w:hAnsi="Roboto"/>
            </w:rPr>
          </w:pPr>
          <w:r>
            <w:rPr>
              <w:noProof/>
            </w:rPr>
            <mc:AlternateContent>
              <mc:Choice Requires="wps">
                <w:drawing>
                  <wp:anchor distT="0" distB="0" distL="114300" distR="114300" simplePos="0" relativeHeight="251658356" behindDoc="1" locked="0" layoutInCell="1" allowOverlap="1" wp14:anchorId="54BC0B02" wp14:editId="12DE1A4C">
                    <wp:simplePos x="0" y="0"/>
                    <wp:positionH relativeFrom="page">
                      <wp:posOffset>9525</wp:posOffset>
                    </wp:positionH>
                    <wp:positionV relativeFrom="page">
                      <wp:posOffset>3634</wp:posOffset>
                    </wp:positionV>
                    <wp:extent cx="7559675" cy="9899650"/>
                    <wp:effectExtent l="0" t="0" r="0" b="6350"/>
                    <wp:wrapNone/>
                    <wp:docPr id="1699526985" name="Rectangle 169952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9899650"/>
                            </a:xfrm>
                            <a:prstGeom prst="rect">
                              <a:avLst/>
                            </a:prstGeom>
                            <a:solidFill>
                              <a:srgbClr val="F9F9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7C9431A" id="Rectangle 1699526985" o:spid="_x0000_s1026" alt="&quot;&quot;" style="position:absolute;margin-left:.75pt;margin-top:.3pt;width:595.25pt;height:779.5pt;z-index:-2516581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" fillcolor="#f9f9e5" stroked="f" strokeweight="1pt">
                    <w10:wrap anchorx="page" anchory="page"/>
                  </v:rect>
                </w:pict>
              </mc:Fallback>
            </mc:AlternateContent>
          </w:r>
          <w:r w:rsidR="00057826" w:rsidRPr="00676974">
            <w:rPr>
              <w:rStyle w:val="Heading1Char"/>
            </w:rPr>
            <w:t>Table of Contents</w:t>
          </w:r>
        </w:p>
        <w:p w14:paraId="089EF6C0" w14:textId="292B29DA" w:rsidR="00C00D1D" w:rsidRPr="00C00D1D" w:rsidRDefault="00057826">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r w:rsidRPr="00C00D1D">
            <w:rPr>
              <w:rFonts w:ascii="Roboto" w:hAnsi="Roboto"/>
              <w:b w:val="0"/>
              <w:i w:val="0"/>
              <w:iCs w:val="0"/>
            </w:rPr>
            <w:fldChar w:fldCharType="begin"/>
          </w:r>
          <w:r w:rsidRPr="00C00D1D">
            <w:rPr>
              <w:rFonts w:ascii="Roboto" w:hAnsi="Roboto"/>
              <w:b w:val="0"/>
              <w:i w:val="0"/>
              <w:iCs w:val="0"/>
            </w:rPr>
            <w:instrText xml:space="preserve"> TOC \o "1-1" \h \z \u </w:instrText>
          </w:r>
          <w:r w:rsidRPr="00C00D1D">
            <w:rPr>
              <w:rFonts w:ascii="Roboto" w:hAnsi="Roboto"/>
              <w:b w:val="0"/>
              <w:i w:val="0"/>
              <w:iCs w:val="0"/>
            </w:rPr>
            <w:fldChar w:fldCharType="separate"/>
          </w:r>
          <w:hyperlink w:anchor="_Toc237878280" w:history="1">
            <w:r w:rsidR="00C00D1D" w:rsidRPr="00C00D1D">
              <w:rPr>
                <w:rStyle w:val="Hyperlink"/>
                <w:rFonts w:ascii="Roboto" w:hAnsi="Roboto"/>
                <w:b w:val="0"/>
                <w:i w:val="0"/>
                <w:iCs w:val="0"/>
                <w:noProof/>
              </w:rPr>
              <w:t>Acknowledgements</w:t>
            </w:r>
            <w:r w:rsidR="00C00D1D" w:rsidRPr="00C00D1D">
              <w:rPr>
                <w:rFonts w:ascii="Roboto" w:hAnsi="Roboto"/>
                <w:b w:val="0"/>
                <w:i w:val="0"/>
                <w:iCs w:val="0"/>
                <w:noProof/>
                <w:webHidden/>
              </w:rPr>
              <w:tab/>
            </w:r>
            <w:r w:rsidR="00C00D1D" w:rsidRPr="00C00D1D">
              <w:rPr>
                <w:rFonts w:ascii="Roboto" w:hAnsi="Roboto"/>
                <w:b w:val="0"/>
                <w:i w:val="0"/>
                <w:iCs w:val="0"/>
                <w:noProof/>
                <w:webHidden/>
              </w:rPr>
              <w:fldChar w:fldCharType="begin"/>
            </w:r>
            <w:r w:rsidR="00C00D1D" w:rsidRPr="00C00D1D">
              <w:rPr>
                <w:rFonts w:ascii="Roboto" w:hAnsi="Roboto"/>
                <w:b w:val="0"/>
                <w:i w:val="0"/>
                <w:iCs w:val="0"/>
                <w:noProof/>
                <w:webHidden/>
              </w:rPr>
              <w:instrText xml:space="preserve"> PAGEREF _Toc237878280 \h </w:instrText>
            </w:r>
            <w:r w:rsidR="00C00D1D" w:rsidRPr="00C00D1D">
              <w:rPr>
                <w:rFonts w:ascii="Roboto" w:hAnsi="Roboto"/>
                <w:b w:val="0"/>
                <w:i w:val="0"/>
                <w:iCs w:val="0"/>
                <w:noProof/>
                <w:webHidden/>
              </w:rPr>
            </w:r>
            <w:r w:rsidR="00C00D1D" w:rsidRPr="00C00D1D">
              <w:rPr>
                <w:rFonts w:ascii="Roboto" w:hAnsi="Roboto"/>
                <w:b w:val="0"/>
                <w:i w:val="0"/>
                <w:iCs w:val="0"/>
                <w:noProof/>
                <w:webHidden/>
              </w:rPr>
              <w:fldChar w:fldCharType="separate"/>
            </w:r>
            <w:r w:rsidR="001225CE">
              <w:rPr>
                <w:rFonts w:ascii="Roboto" w:hAnsi="Roboto"/>
                <w:b w:val="0"/>
                <w:i w:val="0"/>
                <w:iCs w:val="0"/>
                <w:noProof/>
                <w:webHidden/>
              </w:rPr>
              <w:t>3</w:t>
            </w:r>
            <w:r w:rsidR="00C00D1D" w:rsidRPr="00C00D1D">
              <w:rPr>
                <w:rFonts w:ascii="Roboto" w:hAnsi="Roboto"/>
                <w:b w:val="0"/>
                <w:i w:val="0"/>
                <w:iCs w:val="0"/>
                <w:noProof/>
                <w:webHidden/>
              </w:rPr>
              <w:fldChar w:fldCharType="end"/>
            </w:r>
          </w:hyperlink>
        </w:p>
        <w:p w14:paraId="556CDBDF" w14:textId="7642E40A"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81" w:history="1">
            <w:r w:rsidRPr="00C00D1D">
              <w:rPr>
                <w:rStyle w:val="Hyperlink"/>
                <w:rFonts w:ascii="Roboto" w:hAnsi="Roboto"/>
                <w:b w:val="0"/>
                <w:i w:val="0"/>
                <w:iCs w:val="0"/>
                <w:noProof/>
              </w:rPr>
              <w:t>CEO’s Foreword</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_Toc237878281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4</w:t>
            </w:r>
            <w:r w:rsidRPr="00C00D1D">
              <w:rPr>
                <w:rFonts w:ascii="Roboto" w:hAnsi="Roboto"/>
                <w:b w:val="0"/>
                <w:i w:val="0"/>
                <w:iCs w:val="0"/>
                <w:noProof/>
                <w:webHidden/>
              </w:rPr>
              <w:fldChar w:fldCharType="end"/>
            </w:r>
          </w:hyperlink>
        </w:p>
        <w:p w14:paraId="4C3BD5B9" w14:textId="6F40C931"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82" w:history="1">
            <w:r w:rsidRPr="00C00D1D">
              <w:rPr>
                <w:rStyle w:val="Hyperlink"/>
                <w:rFonts w:ascii="Roboto" w:hAnsi="Roboto"/>
                <w:b w:val="0"/>
                <w:i w:val="0"/>
                <w:iCs w:val="0"/>
                <w:noProof/>
                <w:lang w:eastAsia="en-AU"/>
              </w:rPr>
              <w:t>Key Insights</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_Toc237878282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5</w:t>
            </w:r>
            <w:r w:rsidRPr="00C00D1D">
              <w:rPr>
                <w:rFonts w:ascii="Roboto" w:hAnsi="Roboto"/>
                <w:b w:val="0"/>
                <w:i w:val="0"/>
                <w:iCs w:val="0"/>
                <w:noProof/>
                <w:webHidden/>
              </w:rPr>
              <w:fldChar w:fldCharType="end"/>
            </w:r>
          </w:hyperlink>
        </w:p>
        <w:p w14:paraId="2E8300A3" w14:textId="1C537AA5"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83" w:history="1">
            <w:r w:rsidRPr="00C00D1D">
              <w:rPr>
                <w:rStyle w:val="Hyperlink"/>
                <w:rFonts w:ascii="Roboto" w:hAnsi="Roboto"/>
                <w:b w:val="0"/>
                <w:i w:val="0"/>
                <w:iCs w:val="0"/>
                <w:noProof/>
              </w:rPr>
              <w:t>Looking Forward</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_Toc237878283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11</w:t>
            </w:r>
            <w:r w:rsidRPr="00C00D1D">
              <w:rPr>
                <w:rFonts w:ascii="Roboto" w:hAnsi="Roboto"/>
                <w:b w:val="0"/>
                <w:i w:val="0"/>
                <w:iCs w:val="0"/>
                <w:noProof/>
                <w:webHidden/>
              </w:rPr>
              <w:fldChar w:fldCharType="end"/>
            </w:r>
          </w:hyperlink>
        </w:p>
        <w:p w14:paraId="72BC2C4D" w14:textId="6F17E8A5"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84" w:history="1">
            <w:r w:rsidRPr="00C00D1D">
              <w:rPr>
                <w:rStyle w:val="Hyperlink"/>
                <w:rFonts w:ascii="Roboto" w:hAnsi="Roboto"/>
                <w:b w:val="0"/>
                <w:i w:val="0"/>
                <w:iCs w:val="0"/>
                <w:noProof/>
              </w:rPr>
              <w:t>Introduction</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_Toc237878284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12</w:t>
            </w:r>
            <w:r w:rsidRPr="00C00D1D">
              <w:rPr>
                <w:rFonts w:ascii="Roboto" w:hAnsi="Roboto"/>
                <w:b w:val="0"/>
                <w:i w:val="0"/>
                <w:iCs w:val="0"/>
                <w:noProof/>
                <w:webHidden/>
              </w:rPr>
              <w:fldChar w:fldCharType="end"/>
            </w:r>
          </w:hyperlink>
        </w:p>
        <w:p w14:paraId="37FC83EE" w14:textId="09BDB3A0"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85" w:history="1">
            <w:r w:rsidRPr="00C00D1D">
              <w:rPr>
                <w:rStyle w:val="Hyperlink"/>
                <w:rFonts w:ascii="Roboto" w:hAnsi="Roboto"/>
                <w:b w:val="0"/>
                <w:i w:val="0"/>
                <w:iCs w:val="0"/>
                <w:noProof/>
              </w:rPr>
              <w:t>2025 Retrospective Calendar Year  Environmental Scan</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_Toc237878285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15</w:t>
            </w:r>
            <w:r w:rsidRPr="00C00D1D">
              <w:rPr>
                <w:rFonts w:ascii="Roboto" w:hAnsi="Roboto"/>
                <w:b w:val="0"/>
                <w:i w:val="0"/>
                <w:iCs w:val="0"/>
                <w:noProof/>
                <w:webHidden/>
              </w:rPr>
              <w:fldChar w:fldCharType="end"/>
            </w:r>
          </w:hyperlink>
        </w:p>
        <w:p w14:paraId="6D5E01F9" w14:textId="29BEBACB"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86" w:history="1">
            <w:r w:rsidRPr="00C00D1D">
              <w:rPr>
                <w:rStyle w:val="Hyperlink"/>
                <w:rFonts w:ascii="Roboto" w:hAnsi="Roboto"/>
                <w:b w:val="0"/>
                <w:i w:val="0"/>
                <w:iCs w:val="0"/>
                <w:noProof/>
                <w:lang w:val="en-AU"/>
              </w:rPr>
              <w:t>Domain 1 Mental Health</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_Toc237878286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18</w:t>
            </w:r>
            <w:r w:rsidRPr="00C00D1D">
              <w:rPr>
                <w:rFonts w:ascii="Roboto" w:hAnsi="Roboto"/>
                <w:b w:val="0"/>
                <w:i w:val="0"/>
                <w:iCs w:val="0"/>
                <w:noProof/>
                <w:webHidden/>
              </w:rPr>
              <w:fldChar w:fldCharType="end"/>
            </w:r>
          </w:hyperlink>
        </w:p>
        <w:p w14:paraId="4A7E965B" w14:textId="3F6846FB"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87" w:history="1">
            <w:r w:rsidRPr="00C00D1D">
              <w:rPr>
                <w:rStyle w:val="Hyperlink"/>
                <w:rFonts w:ascii="Roboto" w:hAnsi="Roboto"/>
                <w:b w:val="0"/>
                <w:i w:val="0"/>
                <w:iCs w:val="0"/>
                <w:noProof/>
              </w:rPr>
              <w:t>Domain 2 Social Determinants</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_Toc237878287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28</w:t>
            </w:r>
            <w:r w:rsidRPr="00C00D1D">
              <w:rPr>
                <w:rFonts w:ascii="Roboto" w:hAnsi="Roboto"/>
                <w:b w:val="0"/>
                <w:i w:val="0"/>
                <w:iCs w:val="0"/>
                <w:noProof/>
                <w:webHidden/>
              </w:rPr>
              <w:fldChar w:fldCharType="end"/>
            </w:r>
          </w:hyperlink>
        </w:p>
        <w:p w14:paraId="755B0649" w14:textId="753B8FA5"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88" w:history="1">
            <w:r w:rsidRPr="00C00D1D">
              <w:rPr>
                <w:rStyle w:val="Hyperlink"/>
                <w:rFonts w:ascii="Roboto" w:hAnsi="Roboto"/>
                <w:b w:val="0"/>
                <w:i w:val="0"/>
                <w:iCs w:val="0"/>
                <w:noProof/>
                <w:lang w:val="en-AU"/>
              </w:rPr>
              <w:t>Domain 3 Mental Health System</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_Toc237878288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38</w:t>
            </w:r>
            <w:r w:rsidRPr="00C00D1D">
              <w:rPr>
                <w:rFonts w:ascii="Roboto" w:hAnsi="Roboto"/>
                <w:b w:val="0"/>
                <w:i w:val="0"/>
                <w:iCs w:val="0"/>
                <w:noProof/>
                <w:webHidden/>
              </w:rPr>
              <w:fldChar w:fldCharType="end"/>
            </w:r>
          </w:hyperlink>
        </w:p>
        <w:p w14:paraId="400D0792" w14:textId="47F567F6"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89" w:history="1">
            <w:r w:rsidRPr="00C00D1D">
              <w:rPr>
                <w:rStyle w:val="Hyperlink"/>
                <w:rFonts w:ascii="Roboto" w:hAnsi="Roboto"/>
                <w:b w:val="0"/>
                <w:i w:val="0"/>
                <w:iCs w:val="0"/>
                <w:noProof/>
              </w:rPr>
              <w:t>Developing the National Report Card</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_Toc237878289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69</w:t>
            </w:r>
            <w:r w:rsidRPr="00C00D1D">
              <w:rPr>
                <w:rFonts w:ascii="Roboto" w:hAnsi="Roboto"/>
                <w:b w:val="0"/>
                <w:i w:val="0"/>
                <w:iCs w:val="0"/>
                <w:noProof/>
                <w:webHidden/>
              </w:rPr>
              <w:fldChar w:fldCharType="end"/>
            </w:r>
          </w:hyperlink>
        </w:p>
        <w:p w14:paraId="4EE838D7" w14:textId="650F6584"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90" w:history="1">
            <w:r w:rsidRPr="00C00D1D">
              <w:rPr>
                <w:rStyle w:val="Hyperlink"/>
                <w:rFonts w:ascii="Roboto" w:hAnsi="Roboto"/>
                <w:b w:val="0"/>
                <w:i w:val="0"/>
                <w:iCs w:val="0"/>
                <w:noProof/>
              </w:rPr>
              <w:t>How are things tracking overall?</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_Toc237878290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73</w:t>
            </w:r>
            <w:r w:rsidRPr="00C00D1D">
              <w:rPr>
                <w:rFonts w:ascii="Roboto" w:hAnsi="Roboto"/>
                <w:b w:val="0"/>
                <w:i w:val="0"/>
                <w:iCs w:val="0"/>
                <w:noProof/>
                <w:webHidden/>
              </w:rPr>
              <w:fldChar w:fldCharType="end"/>
            </w:r>
          </w:hyperlink>
        </w:p>
        <w:p w14:paraId="3DD970EA" w14:textId="62B50356"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91" w:history="1">
            <w:r w:rsidRPr="00C00D1D">
              <w:rPr>
                <w:rStyle w:val="Hyperlink"/>
                <w:rFonts w:ascii="Roboto" w:hAnsi="Roboto"/>
                <w:b w:val="0"/>
                <w:i w:val="0"/>
                <w:iCs w:val="0"/>
                <w:noProof/>
              </w:rPr>
              <w:t>Acronyms and abbreviations</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_Toc237878291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74</w:t>
            </w:r>
            <w:r w:rsidRPr="00C00D1D">
              <w:rPr>
                <w:rFonts w:ascii="Roboto" w:hAnsi="Roboto"/>
                <w:b w:val="0"/>
                <w:i w:val="0"/>
                <w:iCs w:val="0"/>
                <w:noProof/>
                <w:webHidden/>
              </w:rPr>
              <w:fldChar w:fldCharType="end"/>
            </w:r>
          </w:hyperlink>
        </w:p>
        <w:p w14:paraId="59CD8E8F" w14:textId="25E7DA24"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92" w:history="1">
            <w:r w:rsidRPr="00C00D1D">
              <w:rPr>
                <w:rStyle w:val="Hyperlink"/>
                <w:rFonts w:ascii="Roboto" w:hAnsi="Roboto"/>
                <w:b w:val="0"/>
                <w:i w:val="0"/>
                <w:iCs w:val="0"/>
                <w:noProof/>
              </w:rPr>
              <w:t>Glossary</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_Toc237878292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75</w:t>
            </w:r>
            <w:r w:rsidRPr="00C00D1D">
              <w:rPr>
                <w:rFonts w:ascii="Roboto" w:hAnsi="Roboto"/>
                <w:b w:val="0"/>
                <w:i w:val="0"/>
                <w:iCs w:val="0"/>
                <w:noProof/>
                <w:webHidden/>
              </w:rPr>
              <w:fldChar w:fldCharType="end"/>
            </w:r>
          </w:hyperlink>
        </w:p>
        <w:p w14:paraId="3DE2DDB7" w14:textId="356099D6"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93" w:history="1">
            <w:r w:rsidRPr="00C00D1D">
              <w:rPr>
                <w:rStyle w:val="Hyperlink"/>
                <w:rFonts w:ascii="Roboto" w:hAnsi="Roboto"/>
                <w:b w:val="0"/>
                <w:i w:val="0"/>
                <w:iCs w:val="0"/>
                <w:noProof/>
              </w:rPr>
              <w:t>References</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_Toc237878293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76</w:t>
            </w:r>
            <w:r w:rsidRPr="00C00D1D">
              <w:rPr>
                <w:rFonts w:ascii="Roboto" w:hAnsi="Roboto"/>
                <w:b w:val="0"/>
                <w:i w:val="0"/>
                <w:iCs w:val="0"/>
                <w:noProof/>
                <w:webHidden/>
              </w:rPr>
              <w:fldChar w:fldCharType="end"/>
            </w:r>
          </w:hyperlink>
        </w:p>
        <w:p w14:paraId="4360802F" w14:textId="0507129C" w:rsidR="00C00D1D" w:rsidRPr="00C00D1D" w:rsidRDefault="00C00D1D">
          <w:pPr>
            <w:pStyle w:val="TOC1"/>
            <w:tabs>
              <w:tab w:val="right" w:leader="dot" w:pos="9622"/>
            </w:tabs>
            <w:rPr>
              <w:rFonts w:ascii="Roboto" w:eastAsiaTheme="minorEastAsia" w:hAnsi="Roboto" w:cstheme="minorBidi"/>
              <w:b w:val="0"/>
              <w:i w:val="0"/>
              <w:iCs w:val="0"/>
              <w:noProof/>
              <w:color w:val="auto"/>
              <w:kern w:val="2"/>
              <w:lang w:val="en-AU" w:eastAsia="en-GB"/>
              <w14:ligatures w14:val="standardContextual"/>
            </w:rPr>
          </w:pPr>
          <w:hyperlink w:anchor="_Toc237878294" w:history="1">
            <w:r w:rsidRPr="00C00D1D">
              <w:rPr>
                <w:rStyle w:val="Hyperlink"/>
                <w:rFonts w:ascii="Roboto" w:hAnsi="Roboto"/>
                <w:b w:val="0"/>
                <w:i w:val="0"/>
                <w:iCs w:val="0"/>
                <w:noProof/>
              </w:rPr>
              <w:t>Appendix 1</w:t>
            </w:r>
            <w:r w:rsidRPr="00C00D1D">
              <w:rPr>
                <w:rFonts w:ascii="Roboto" w:hAnsi="Roboto"/>
                <w:b w:val="0"/>
                <w:i w:val="0"/>
                <w:iCs w:val="0"/>
                <w:noProof/>
                <w:webHidden/>
              </w:rPr>
              <w:tab/>
            </w:r>
            <w:r w:rsidRPr="00C00D1D">
              <w:rPr>
                <w:rFonts w:ascii="Roboto" w:hAnsi="Roboto"/>
                <w:b w:val="0"/>
                <w:i w:val="0"/>
                <w:iCs w:val="0"/>
                <w:noProof/>
                <w:webHidden/>
              </w:rPr>
              <w:fldChar w:fldCharType="begin"/>
            </w:r>
            <w:r w:rsidRPr="00C00D1D">
              <w:rPr>
                <w:rFonts w:ascii="Roboto" w:hAnsi="Roboto"/>
                <w:b w:val="0"/>
                <w:i w:val="0"/>
                <w:iCs w:val="0"/>
                <w:noProof/>
                <w:webHidden/>
              </w:rPr>
              <w:instrText xml:space="preserve"> PAGEREF _Toc237878294 \h </w:instrText>
            </w:r>
            <w:r w:rsidRPr="00C00D1D">
              <w:rPr>
                <w:rFonts w:ascii="Roboto" w:hAnsi="Roboto"/>
                <w:b w:val="0"/>
                <w:i w:val="0"/>
                <w:iCs w:val="0"/>
                <w:noProof/>
                <w:webHidden/>
              </w:rPr>
            </w:r>
            <w:r w:rsidRPr="00C00D1D">
              <w:rPr>
                <w:rFonts w:ascii="Roboto" w:hAnsi="Roboto"/>
                <w:b w:val="0"/>
                <w:i w:val="0"/>
                <w:iCs w:val="0"/>
                <w:noProof/>
                <w:webHidden/>
              </w:rPr>
              <w:fldChar w:fldCharType="separate"/>
            </w:r>
            <w:r w:rsidR="001225CE">
              <w:rPr>
                <w:rFonts w:ascii="Roboto" w:hAnsi="Roboto"/>
                <w:b w:val="0"/>
                <w:i w:val="0"/>
                <w:iCs w:val="0"/>
                <w:noProof/>
                <w:webHidden/>
              </w:rPr>
              <w:t>86</w:t>
            </w:r>
            <w:r w:rsidRPr="00C00D1D">
              <w:rPr>
                <w:rFonts w:ascii="Roboto" w:hAnsi="Roboto"/>
                <w:b w:val="0"/>
                <w:i w:val="0"/>
                <w:iCs w:val="0"/>
                <w:noProof/>
                <w:webHidden/>
              </w:rPr>
              <w:fldChar w:fldCharType="end"/>
            </w:r>
          </w:hyperlink>
        </w:p>
        <w:p w14:paraId="0152D701" w14:textId="68226895" w:rsidR="000117CB" w:rsidRDefault="00057826" w:rsidP="004E5D44">
          <w:r w:rsidRPr="00C00D1D">
            <w:rPr>
              <w:rFonts w:cstheme="minorHAnsi"/>
              <w:bCs/>
              <w:sz w:val="24"/>
              <w:szCs w:val="24"/>
            </w:rPr>
            <w:fldChar w:fldCharType="end"/>
          </w:r>
        </w:p>
      </w:sdtContent>
    </w:sdt>
    <w:p w14:paraId="620F03AC" w14:textId="1B655EA8" w:rsidR="00254862" w:rsidRDefault="00254862">
      <w:pPr>
        <w:suppressAutoHyphens w:val="0"/>
        <w:autoSpaceDE/>
        <w:autoSpaceDN/>
        <w:adjustRightInd/>
        <w:spacing w:after="0" w:line="240" w:lineRule="auto"/>
        <w:textAlignment w:val="auto"/>
        <w:sectPr w:rsidR="00254862" w:rsidSect="00BD5B9A">
          <w:headerReference w:type="even" r:id="rId10"/>
          <w:headerReference w:type="default" r:id="rId11"/>
          <w:footerReference w:type="even" r:id="rId12"/>
          <w:footerReference w:type="default" r:id="rId13"/>
          <w:headerReference w:type="first" r:id="rId14"/>
          <w:footerReference w:type="first" r:id="rId15"/>
          <w:footnotePr>
            <w:numFmt w:val="lowerRoman"/>
          </w:footnotePr>
          <w:endnotePr>
            <w:numFmt w:val="decimal"/>
          </w:endnotePr>
          <w:pgSz w:w="11900" w:h="16840"/>
          <w:pgMar w:top="1701" w:right="1134" w:bottom="1701" w:left="1134" w:header="1134" w:footer="567" w:gutter="0"/>
          <w:cols w:space="708"/>
          <w:titlePg/>
          <w:docGrid w:linePitch="360"/>
        </w:sectPr>
      </w:pPr>
      <w:r>
        <w:br w:type="page"/>
      </w:r>
    </w:p>
    <w:p w14:paraId="750CD42B" w14:textId="4D1C8D8E" w:rsidR="00254862" w:rsidRDefault="00254862" w:rsidP="00254862">
      <w:pPr>
        <w:pStyle w:val="Heading1"/>
        <w:rPr>
          <w:rFonts w:eastAsiaTheme="minorHAnsi"/>
        </w:rPr>
        <w:sectPr w:rsidR="00254862" w:rsidSect="00BD5B9A">
          <w:headerReference w:type="even" r:id="rId16"/>
          <w:headerReference w:type="default" r:id="rId17"/>
          <w:headerReference w:type="first" r:id="rId18"/>
          <w:footnotePr>
            <w:numFmt w:val="lowerRoman"/>
          </w:footnotePr>
          <w:endnotePr>
            <w:numFmt w:val="decimal"/>
          </w:endnotePr>
          <w:pgSz w:w="11900" w:h="16840"/>
          <w:pgMar w:top="1701" w:right="1134" w:bottom="1701" w:left="1134" w:header="1134" w:footer="567" w:gutter="0"/>
          <w:cols w:space="709"/>
          <w:docGrid w:linePitch="360"/>
        </w:sectPr>
      </w:pPr>
      <w:bookmarkStart w:id="0" w:name="Acknowledgements"/>
      <w:bookmarkStart w:id="1" w:name="_Toc164671271"/>
      <w:bookmarkStart w:id="2" w:name="_Toc237878280"/>
      <w:r w:rsidRPr="00301B90">
        <w:rPr>
          <w:rFonts w:eastAsiaTheme="minorHAnsi"/>
        </w:rPr>
        <w:lastRenderedPageBreak/>
        <w:t>Acknowledgement</w:t>
      </w:r>
      <w:r w:rsidR="00F92EB7">
        <w:rPr>
          <w:rFonts w:eastAsiaTheme="minorHAnsi"/>
        </w:rPr>
        <w:t>s</w:t>
      </w:r>
      <w:bookmarkEnd w:id="0"/>
      <w:r>
        <w:rPr>
          <w:noProof/>
        </w:rPr>
        <mc:AlternateContent>
          <mc:Choice Requires="wps">
            <w:drawing>
              <wp:anchor distT="0" distB="0" distL="114300" distR="114300" simplePos="0" relativeHeight="251658244" behindDoc="1" locked="0" layoutInCell="1" allowOverlap="1" wp14:anchorId="2AE355C6" wp14:editId="5979DE71">
                <wp:simplePos x="0" y="0"/>
                <wp:positionH relativeFrom="page">
                  <wp:align>left</wp:align>
                </wp:positionH>
                <wp:positionV relativeFrom="page">
                  <wp:align>top</wp:align>
                </wp:positionV>
                <wp:extent cx="7560000" cy="9900000"/>
                <wp:effectExtent l="0" t="0" r="0" b="6350"/>
                <wp:wrapNone/>
                <wp:docPr id="427541151" name="Rectangle 4275411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9900000"/>
                        </a:xfrm>
                        <a:prstGeom prst="rect">
                          <a:avLst/>
                        </a:prstGeom>
                        <a:solidFill>
                          <a:srgbClr val="F9F9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B2CA2" id="Rectangle 427541151" o:spid="_x0000_s1026" alt="&quot;&quot;" style="position:absolute;margin-left:0;margin-top:0;width:595.3pt;height:779.55pt;z-index:-2516582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" fillcolor="#f9f9e5" stroked="f" strokeweight="1pt">
                <w10:wrap anchorx="page" anchory="page"/>
              </v:rect>
            </w:pict>
          </mc:Fallback>
        </mc:AlternateContent>
      </w:r>
      <w:bookmarkEnd w:id="1"/>
      <w:bookmarkEnd w:id="2"/>
    </w:p>
    <w:p w14:paraId="61E890DA" w14:textId="77777777" w:rsidR="009C373F" w:rsidRPr="003D2876" w:rsidRDefault="009C373F" w:rsidP="007D4D5E">
      <w:pPr>
        <w:pStyle w:val="Heading3"/>
      </w:pPr>
      <w:bookmarkStart w:id="3" w:name="_Toc229659965"/>
      <w:bookmarkStart w:id="4" w:name="_Toc233982827"/>
      <w:bookmarkStart w:id="5" w:name="_Toc158198757"/>
      <w:bookmarkStart w:id="6" w:name="_Toc229660019"/>
      <w:bookmarkStart w:id="7" w:name="_Toc233982858"/>
      <w:bookmarkStart w:id="8" w:name="_Toc164671279"/>
      <w:r w:rsidRPr="003D2876">
        <w:t>Acknowledgement of Country</w:t>
      </w:r>
      <w:bookmarkEnd w:id="3"/>
      <w:bookmarkEnd w:id="4"/>
    </w:p>
    <w:p w14:paraId="317C0A9B" w14:textId="4A2E1E15" w:rsidR="00E244B5" w:rsidRDefault="00E244B5" w:rsidP="009C373F">
      <w:r w:rsidRPr="00E244B5">
        <w:t xml:space="preserve">The Commission acknowledges Aboriginal and Torres Strait Islander peoples as the Traditional Custodians of the lands and waters on which we live, work and learn. </w:t>
      </w:r>
    </w:p>
    <w:p w14:paraId="4074D277" w14:textId="77777777" w:rsidR="009C373F" w:rsidRPr="00C65EA6" w:rsidRDefault="009C373F" w:rsidP="00A6516B">
      <w:r w:rsidRPr="00C65EA6">
        <w:t>We pay our respects to their clans, and to the elders, past and present, and acknowledge their continuing connection to land, sea and community.</w:t>
      </w:r>
    </w:p>
    <w:p w14:paraId="5CBAF266" w14:textId="77777777" w:rsidR="009C373F" w:rsidRPr="007D4D5E" w:rsidRDefault="009C373F" w:rsidP="007D4D5E">
      <w:pPr>
        <w:pStyle w:val="Heading3"/>
      </w:pPr>
      <w:bookmarkStart w:id="9" w:name="_Toc229659966"/>
      <w:bookmarkStart w:id="10" w:name="_Toc233982828"/>
      <w:r w:rsidRPr="007D4D5E">
        <w:t>Recognition of Lived Experience</w:t>
      </w:r>
      <w:bookmarkEnd w:id="9"/>
      <w:bookmarkEnd w:id="10"/>
    </w:p>
    <w:p w14:paraId="0AF224B9" w14:textId="77777777" w:rsidR="009C373F" w:rsidRDefault="009C373F" w:rsidP="009C373F">
      <w:r w:rsidRPr="00D00A31">
        <w:t xml:space="preserve">We recognise the individual and collective contributions of people with lived and living experience of mental ill-health and suicide, and of those who love, have loved and care for them. Each person’s journey is unique and contributes to Australia’s commitment to mental health and suicide prevention </w:t>
      </w:r>
      <w:r w:rsidRPr="009F3D58">
        <w:t xml:space="preserve">reform. </w:t>
      </w:r>
    </w:p>
    <w:p w14:paraId="067795BE" w14:textId="77777777" w:rsidR="009C373F" w:rsidRPr="00D00A31" w:rsidRDefault="009C373F" w:rsidP="009C373F">
      <w:r w:rsidRPr="009F3D58">
        <w:t>The</w:t>
      </w:r>
      <w:r w:rsidRPr="00D00A31">
        <w:t xml:space="preserve"> Commission’s Report Card presents a population-level view of mental health in Australia, drawing on large-scale data and trends. We acknowledge that behind every statistic is a person and their lived experience.</w:t>
      </w:r>
    </w:p>
    <w:p w14:paraId="34B846E8" w14:textId="6644EC5D" w:rsidR="009C373F" w:rsidRPr="00D00A31" w:rsidRDefault="009C373F" w:rsidP="009C373F">
      <w:r w:rsidRPr="00D00A31">
        <w:t>We are privileged to report on high-quality data and evidence and thank everyone who has participated in surveys, shared their experiences through data collection, and contributed to advancing knowledge and practi</w:t>
      </w:r>
      <w:r w:rsidR="00EF1201">
        <w:t>c</w:t>
      </w:r>
      <w:r w:rsidRPr="00D00A31">
        <w:t>e in this field.</w:t>
      </w:r>
    </w:p>
    <w:p w14:paraId="1C85048E" w14:textId="77777777" w:rsidR="009C373F" w:rsidRPr="003D2876" w:rsidRDefault="009C373F" w:rsidP="007D4D5E">
      <w:pPr>
        <w:pStyle w:val="Heading3"/>
      </w:pPr>
      <w:bookmarkStart w:id="11" w:name="_Toc229659967"/>
      <w:bookmarkStart w:id="12" w:name="_Toc233982829"/>
      <w:r w:rsidRPr="003D2876">
        <w:t>Contributors</w:t>
      </w:r>
      <w:bookmarkEnd w:id="11"/>
      <w:bookmarkEnd w:id="12"/>
    </w:p>
    <w:p w14:paraId="360C7FFF" w14:textId="1EDF02E0" w:rsidR="009C373F" w:rsidRPr="00C65EA6" w:rsidRDefault="009C373F" w:rsidP="00A6516B">
      <w:r w:rsidRPr="00C65EA6">
        <w:t xml:space="preserve">The Commission </w:t>
      </w:r>
      <w:r>
        <w:t xml:space="preserve">greatly </w:t>
      </w:r>
      <w:r w:rsidRPr="00C65EA6">
        <w:t xml:space="preserve">acknowledges the assistance </w:t>
      </w:r>
      <w:r w:rsidRPr="00C65EA6">
        <w:br/>
        <w:t xml:space="preserve">and </w:t>
      </w:r>
      <w:r>
        <w:t xml:space="preserve">expertise </w:t>
      </w:r>
      <w:r w:rsidRPr="00C65EA6">
        <w:t xml:space="preserve">of the Australian Institute of Health and Welfare </w:t>
      </w:r>
      <w:r w:rsidR="00BF1CA2">
        <w:t xml:space="preserve">and the </w:t>
      </w:r>
      <w:r w:rsidRPr="00C65EA6">
        <w:t>Australian Bureau of Statistics</w:t>
      </w:r>
      <w:r>
        <w:t xml:space="preserve">. </w:t>
      </w:r>
      <w:r w:rsidRPr="00C65EA6">
        <w:t>The Commission also acknowledges those who helped shape this work through their engagement in the Report Card Working Group.</w:t>
      </w:r>
    </w:p>
    <w:p w14:paraId="18972D42" w14:textId="77777777" w:rsidR="009C373F" w:rsidRPr="00EA0EF9" w:rsidRDefault="009C373F" w:rsidP="007D4D5E">
      <w:pPr>
        <w:pStyle w:val="Heading3"/>
      </w:pPr>
      <w:bookmarkStart w:id="13" w:name="_Toc229659968"/>
      <w:bookmarkStart w:id="14" w:name="_Toc233982830"/>
      <w:r w:rsidRPr="00EA0EF9">
        <w:t>A note on language</w:t>
      </w:r>
      <w:bookmarkEnd w:id="13"/>
      <w:bookmarkEnd w:id="14"/>
    </w:p>
    <w:p w14:paraId="7AB00BB9" w14:textId="77777777" w:rsidR="009C373F" w:rsidRPr="00AD34C5" w:rsidRDefault="009C373F" w:rsidP="00AD34C5">
      <w:r w:rsidRPr="00AD34C5">
        <w:t xml:space="preserve">The Commission acknowledges that language relating to mental health and suicide is not neutral and evolves over time. It can influence how people experience, interpret and respond to these issues, carry different meanings for different people and communities, and may at times be contested. The Commission has been conscious to use terminology throughout this report that is respectful of those whose experiences we are describing and is well understood by the audience reading this report. </w:t>
      </w:r>
    </w:p>
    <w:p w14:paraId="4EBEB4BD" w14:textId="583881DD" w:rsidR="009C373F" w:rsidRPr="00AD34C5" w:rsidRDefault="009C373F" w:rsidP="00AD34C5">
      <w:r w:rsidRPr="00AD34C5">
        <w:t xml:space="preserve">Data collection activities and reports use terms like 'mental or behavioural conditions' and '12-month </w:t>
      </w:r>
      <w:r w:rsidRPr="00AD34C5">
        <w:t xml:space="preserve">mental disorder' to clearly define the scope of the mental health experience(s) under consideration. This publication uses the same terms as used in these original sources to not misrepresent the findings. The Commission endorses and follows the </w:t>
      </w:r>
      <w:proofErr w:type="spellStart"/>
      <w:r w:rsidRPr="00AD34C5">
        <w:t>Mindframe</w:t>
      </w:r>
      <w:proofErr w:type="spellEnd"/>
      <w:r w:rsidRPr="00AD34C5">
        <w:t xml:space="preserve"> guidelines Our Words Matter and Images Matter. The Commission also endorses the </w:t>
      </w:r>
      <w:proofErr w:type="spellStart"/>
      <w:r w:rsidRPr="004E5D44">
        <w:t>Mindframe</w:t>
      </w:r>
      <w:proofErr w:type="spellEnd"/>
      <w:r w:rsidRPr="00AD34C5">
        <w:t xml:space="preserve"> Guidelines on Media Reporting of Severe Mental Illness in the Context of </w:t>
      </w:r>
      <w:r w:rsidRPr="006049DD">
        <w:t>Violence</w:t>
      </w:r>
      <w:r w:rsidRPr="00AD34C5">
        <w:t xml:space="preserve"> and Crime and requests that media using this report do so in accordance with the Guidelines.</w:t>
      </w:r>
      <w:bookmarkStart w:id="15" w:name="_Toc229659970"/>
      <w:bookmarkStart w:id="16" w:name="_Toc233982831"/>
    </w:p>
    <w:p w14:paraId="05288C28" w14:textId="77777777" w:rsidR="009C373F" w:rsidRPr="007D4D5E" w:rsidRDefault="009C373F" w:rsidP="007D4D5E">
      <w:pPr>
        <w:pStyle w:val="Heading3"/>
      </w:pPr>
      <w:r w:rsidRPr="007D4D5E">
        <w:t>Support</w:t>
      </w:r>
    </w:p>
    <w:p w14:paraId="7F9597AB" w14:textId="77777777" w:rsidR="009C373F" w:rsidRPr="00D00A31" w:rsidRDefault="009C373F" w:rsidP="00407889">
      <w:r w:rsidRPr="00A6516B">
        <w:t xml:space="preserve">Support is available if you or someone you care for </w:t>
      </w:r>
      <w:proofErr w:type="gramStart"/>
      <w:r w:rsidRPr="00A6516B">
        <w:t>is in need of</w:t>
      </w:r>
      <w:proofErr w:type="gramEnd"/>
      <w:r w:rsidRPr="00A6516B">
        <w:t xml:space="preserve"> assistance. For information on support go to:</w:t>
      </w:r>
      <w:r w:rsidRPr="006F621A">
        <w:rPr>
          <w:rFonts w:eastAsiaTheme="minorEastAsia"/>
        </w:rPr>
        <w:t xml:space="preserve"> </w:t>
      </w:r>
      <w:hyperlink r:id="rId19" w:history="1">
        <w:r w:rsidRPr="007140DC">
          <w:rPr>
            <w:rStyle w:val="NMHCHyperlinkCharacter"/>
            <w:rFonts w:ascii="Roboto" w:hAnsi="Roboto"/>
          </w:rPr>
          <w:t>www.mentalhealthcommission.gov.au/find-support</w:t>
        </w:r>
      </w:hyperlink>
    </w:p>
    <w:p w14:paraId="28E883B8" w14:textId="77777777" w:rsidR="009C373F" w:rsidRPr="007D4D5E" w:rsidRDefault="009C373F" w:rsidP="007D4D5E">
      <w:pPr>
        <w:pStyle w:val="Heading3"/>
      </w:pPr>
      <w:r w:rsidRPr="007D4D5E">
        <w:t>About this report</w:t>
      </w:r>
      <w:bookmarkEnd w:id="15"/>
      <w:bookmarkEnd w:id="16"/>
    </w:p>
    <w:p w14:paraId="3F42AAF8" w14:textId="77777777" w:rsidR="001D2713" w:rsidRDefault="009C373F" w:rsidP="004E5D44">
      <w:pPr>
        <w:spacing w:after="0"/>
        <w:rPr>
          <w:rFonts w:cs="Segoe UI"/>
          <w:color w:val="auto"/>
          <w:szCs w:val="18"/>
        </w:rPr>
      </w:pPr>
      <w:r w:rsidRPr="001D2713">
        <w:t>This report can be downloaded from our website:</w:t>
      </w:r>
      <w:r w:rsidRPr="00C65EA6">
        <w:rPr>
          <w:rFonts w:cs="Segoe UI"/>
          <w:color w:val="auto"/>
          <w:szCs w:val="18"/>
        </w:rPr>
        <w:t xml:space="preserve"> </w:t>
      </w:r>
    </w:p>
    <w:p w14:paraId="7B11E269" w14:textId="530083A5" w:rsidR="009C373F" w:rsidRPr="00EA0EF9" w:rsidRDefault="001D2713" w:rsidP="009C373F">
      <w:pPr>
        <w:rPr>
          <w:rFonts w:ascii="Aptos" w:hAnsi="Aptos"/>
          <w:sz w:val="22"/>
        </w:rPr>
      </w:pPr>
      <w:hyperlink r:id="rId20" w:history="1">
        <w:r w:rsidRPr="007140DC">
          <w:rPr>
            <w:rStyle w:val="NMHCHyperlinkCharacter"/>
            <w:rFonts w:ascii="Roboto" w:hAnsi="Roboto"/>
          </w:rPr>
          <w:t>https://www.mentalhealthcommission.gov.au</w:t>
        </w:r>
      </w:hyperlink>
      <w:r w:rsidR="009C373F" w:rsidRPr="00EA0EF9">
        <w:rPr>
          <w:rFonts w:ascii="Aptos" w:hAnsi="Aptos"/>
          <w:sz w:val="22"/>
        </w:rPr>
        <w:br/>
      </w:r>
      <w:r w:rsidR="00BF0F82" w:rsidRPr="004E5D44">
        <w:rPr>
          <w:color w:val="545A60" w:themeColor="accent3"/>
        </w:rPr>
        <w:t>ISSN: 2209-8321</w:t>
      </w:r>
      <w:r w:rsidR="009C373F" w:rsidRPr="004E5D44">
        <w:rPr>
          <w:color w:val="545A60" w:themeColor="accent3"/>
        </w:rPr>
        <w:t xml:space="preserve">(online) </w:t>
      </w:r>
      <w:r w:rsidR="009C373F" w:rsidRPr="004E5D44">
        <w:rPr>
          <w:color w:val="545A60" w:themeColor="accent3"/>
        </w:rPr>
        <w:br/>
      </w:r>
      <w:r w:rsidR="00BF0F82" w:rsidRPr="004E5D44">
        <w:rPr>
          <w:color w:val="545A60" w:themeColor="accent3"/>
        </w:rPr>
        <w:t>ISBN: 978-1-7646373-3-6</w:t>
      </w:r>
      <w:r w:rsidR="00BF0F82" w:rsidRPr="004E5D44" w:rsidDel="00BF0F82">
        <w:rPr>
          <w:color w:val="545A60" w:themeColor="accent3"/>
        </w:rPr>
        <w:t xml:space="preserve"> </w:t>
      </w:r>
      <w:r w:rsidR="009C373F" w:rsidRPr="004E5D44">
        <w:rPr>
          <w:color w:val="545A60" w:themeColor="accent3"/>
        </w:rPr>
        <w:t>(online)</w:t>
      </w:r>
      <w:r w:rsidR="009C373F" w:rsidRPr="00EA0EF9">
        <w:rPr>
          <w:rFonts w:ascii="Aptos" w:hAnsi="Aptos"/>
          <w:sz w:val="22"/>
        </w:rPr>
        <w:t xml:space="preserve"> </w:t>
      </w:r>
    </w:p>
    <w:p w14:paraId="7827DBAA" w14:textId="77777777" w:rsidR="009C373F" w:rsidRPr="00D00A31" w:rsidRDefault="009C373F" w:rsidP="007D4D5E">
      <w:pPr>
        <w:pStyle w:val="Heading3"/>
      </w:pPr>
      <w:bookmarkStart w:id="17" w:name="_Toc229659971"/>
      <w:bookmarkStart w:id="18" w:name="_Toc233982832"/>
      <w:r w:rsidRPr="00EA0EF9">
        <w:t>Suggested citation</w:t>
      </w:r>
      <w:bookmarkEnd w:id="17"/>
      <w:bookmarkEnd w:id="18"/>
    </w:p>
    <w:p w14:paraId="2C22FCD3" w14:textId="77777777" w:rsidR="009C373F" w:rsidRPr="00C65EA6" w:rsidRDefault="009C373F" w:rsidP="00A6516B">
      <w:r w:rsidRPr="00C65EA6">
        <w:t>National Mental Health Commission. National Report Card 2025. Canberra: NMHC; 2026.</w:t>
      </w:r>
    </w:p>
    <w:p w14:paraId="5549EC10" w14:textId="77777777" w:rsidR="009C373F" w:rsidRPr="00EA0EF9" w:rsidRDefault="009C373F" w:rsidP="007D4D5E">
      <w:pPr>
        <w:pStyle w:val="Heading3"/>
      </w:pPr>
      <w:bookmarkStart w:id="19" w:name="_Toc229659972"/>
      <w:bookmarkStart w:id="20" w:name="_Toc233982833"/>
      <w:r w:rsidRPr="00EA0EF9">
        <w:t>Learn more about our work</w:t>
      </w:r>
      <w:bookmarkEnd w:id="19"/>
      <w:bookmarkEnd w:id="20"/>
    </w:p>
    <w:p w14:paraId="0FF2119C" w14:textId="2DB93FB8" w:rsidR="009C373F" w:rsidRPr="00EA0EF9" w:rsidRDefault="001D2713" w:rsidP="009C373F">
      <w:pPr>
        <w:spacing w:after="0"/>
        <w:rPr>
          <w:rStyle w:val="NMHCHyperlinkCharacter"/>
          <w:rFonts w:ascii="Aptos" w:hAnsi="Aptos"/>
        </w:rPr>
      </w:pPr>
      <w:hyperlink r:id="rId21" w:history="1">
        <w:r>
          <w:rPr>
            <w:rStyle w:val="Hyperlink"/>
          </w:rPr>
          <w:t>https://www.mentalhealthcommission.gov.au</w:t>
        </w:r>
      </w:hyperlink>
      <w:r w:rsidR="00407889">
        <w:br/>
      </w:r>
    </w:p>
    <w:p w14:paraId="07997228" w14:textId="1A16F300" w:rsidR="009C373F" w:rsidRPr="007D4D5E" w:rsidRDefault="00A02E50" w:rsidP="00A6516B">
      <w:pPr>
        <w:rPr>
          <w:rFonts w:ascii="Aptos" w:hAnsi="Aptos"/>
        </w:rPr>
      </w:pPr>
      <w:r w:rsidRPr="00EA0EF9">
        <w:rPr>
          <w:rFonts w:ascii="Aptos" w:hAnsi="Aptos"/>
          <w:noProof/>
        </w:rPr>
        <w:drawing>
          <wp:anchor distT="0" distB="0" distL="114300" distR="114300" simplePos="0" relativeHeight="251658245" behindDoc="1" locked="0" layoutInCell="1" allowOverlap="1" wp14:anchorId="777169AC" wp14:editId="36779E46">
            <wp:simplePos x="0" y="0"/>
            <wp:positionH relativeFrom="column">
              <wp:posOffset>1634614</wp:posOffset>
            </wp:positionH>
            <wp:positionV relativeFrom="paragraph">
              <wp:posOffset>4058</wp:posOffset>
            </wp:positionV>
            <wp:extent cx="744467" cy="262255"/>
            <wp:effectExtent l="0" t="0" r="5080" b="4445"/>
            <wp:wrapNone/>
            <wp:docPr id="1672543099" name="Picture 1672543099" descr="Creative Commons BY 3.0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21118" name="Picture 466021118" descr="Creative Commons BY 3.0 Licence Logo"/>
                    <pic:cNvPicPr/>
                  </pic:nvPicPr>
                  <pic:blipFill>
                    <a:blip r:embed="rId22" cstate="email">
                      <a:extLst>
                        <a:ext uri="{28A0092B-C50C-407E-A947-70E740481C1C}">
                          <a14:useLocalDpi xmlns:a14="http://schemas.microsoft.com/office/drawing/2010/main"/>
                        </a:ext>
                      </a:extLst>
                    </a:blip>
                    <a:stretch>
                      <a:fillRect/>
                    </a:stretch>
                  </pic:blipFill>
                  <pic:spPr>
                    <a:xfrm>
                      <a:off x="0" y="0"/>
                      <a:ext cx="771532" cy="271789"/>
                    </a:xfrm>
                    <a:prstGeom prst="rect">
                      <a:avLst/>
                    </a:prstGeom>
                  </pic:spPr>
                </pic:pic>
              </a:graphicData>
            </a:graphic>
            <wp14:sizeRelH relativeFrom="margin">
              <wp14:pctWidth>0</wp14:pctWidth>
            </wp14:sizeRelH>
            <wp14:sizeRelV relativeFrom="margin">
              <wp14:pctHeight>0</wp14:pctHeight>
            </wp14:sizeRelV>
          </wp:anchor>
        </w:drawing>
      </w:r>
      <w:r w:rsidR="009C373F">
        <w:rPr>
          <w:noProof/>
        </w:rPr>
        <w:drawing>
          <wp:inline distT="0" distB="0" distL="0" distR="0" wp14:anchorId="14C9BE53" wp14:editId="2D3AFBBB">
            <wp:extent cx="266700" cy="266700"/>
            <wp:effectExtent l="0" t="0" r="0" b="0"/>
            <wp:docPr id="685743800" name="Graphic 685743800" descr="Instagram icon">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716236" name="Graphic 2" descr="Instagram icon">
                      <a:hlinkClick r:id="rId23"/>
                    </pic:cNvPr>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66700" cy="266700"/>
                    </a:xfrm>
                    <a:prstGeom prst="rect">
                      <a:avLst/>
                    </a:prstGeom>
                  </pic:spPr>
                </pic:pic>
              </a:graphicData>
            </a:graphic>
          </wp:inline>
        </w:drawing>
      </w:r>
      <w:r w:rsidR="009C373F" w:rsidRPr="00EA0EF9">
        <w:rPr>
          <w:rFonts w:ascii="Aptos" w:hAnsi="Aptos"/>
        </w:rPr>
        <w:t xml:space="preserve">  </w:t>
      </w:r>
      <w:r w:rsidR="009C373F" w:rsidRPr="00EA0EF9">
        <w:rPr>
          <w:rFonts w:ascii="Aptos" w:hAnsi="Aptos"/>
          <w:noProof/>
        </w:rPr>
        <w:drawing>
          <wp:inline distT="0" distB="0" distL="0" distR="0" wp14:anchorId="01235DF4" wp14:editId="44D80C38">
            <wp:extent cx="266700" cy="266700"/>
            <wp:effectExtent l="0" t="0" r="0" b="0"/>
            <wp:docPr id="337688965" name="Graphic 337688965" descr="Facebook icon">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324237" name="Graphic 5" descr="Facebook icon">
                      <a:hlinkClick r:id="rId26"/>
                    </pic:cNvPr>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66700" cy="266700"/>
                    </a:xfrm>
                    <a:prstGeom prst="rect">
                      <a:avLst/>
                    </a:prstGeom>
                  </pic:spPr>
                </pic:pic>
              </a:graphicData>
            </a:graphic>
          </wp:inline>
        </w:drawing>
      </w:r>
      <w:r w:rsidR="006049DD" w:rsidRPr="00EA0EF9">
        <w:rPr>
          <w:rFonts w:ascii="Aptos" w:hAnsi="Aptos"/>
        </w:rPr>
        <w:t xml:space="preserve">  </w:t>
      </w:r>
      <w:r w:rsidR="009C373F" w:rsidRPr="00EA0EF9">
        <w:rPr>
          <w:rFonts w:ascii="Aptos" w:hAnsi="Aptos"/>
          <w:noProof/>
        </w:rPr>
        <w:drawing>
          <wp:inline distT="0" distB="0" distL="0" distR="0" wp14:anchorId="2F598B20" wp14:editId="193B1435">
            <wp:extent cx="266700" cy="266700"/>
            <wp:effectExtent l="0" t="0" r="0" b="0"/>
            <wp:docPr id="624277802" name="Graphic 624277802" descr="LinkedIn ico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05888" name="Graphic 6" descr="LinkedIn icon">
                      <a:hlinkClick r:id="rId29"/>
                    </pic:cNvPr>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266700" cy="266700"/>
                    </a:xfrm>
                    <a:prstGeom prst="rect">
                      <a:avLst/>
                    </a:prstGeom>
                  </pic:spPr>
                </pic:pic>
              </a:graphicData>
            </a:graphic>
          </wp:inline>
        </w:drawing>
      </w:r>
      <w:r w:rsidR="006049DD" w:rsidRPr="00EA0EF9">
        <w:rPr>
          <w:rFonts w:ascii="Aptos" w:hAnsi="Aptos"/>
        </w:rPr>
        <w:t xml:space="preserve">  </w:t>
      </w:r>
      <w:r w:rsidR="006049DD" w:rsidRPr="00EA0EF9">
        <w:rPr>
          <w:rFonts w:ascii="Aptos" w:hAnsi="Aptos"/>
          <w:noProof/>
        </w:rPr>
        <w:drawing>
          <wp:inline distT="0" distB="0" distL="0" distR="0" wp14:anchorId="116A8288" wp14:editId="3E1E4D75">
            <wp:extent cx="266700" cy="266700"/>
            <wp:effectExtent l="0" t="0" r="0" b="0"/>
            <wp:docPr id="1207093730" name="Graphic 1207093730" descr="Twitter icon&#10;">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578224" name="Graphic 3" descr="Twitter icon&#10;">
                      <a:hlinkClick r:id="rId32"/>
                    </pic:cNvPr>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266700" cy="266700"/>
                    </a:xfrm>
                    <a:prstGeom prst="rect">
                      <a:avLst/>
                    </a:prstGeom>
                  </pic:spPr>
                </pic:pic>
              </a:graphicData>
            </a:graphic>
          </wp:inline>
        </w:drawing>
      </w:r>
      <w:r w:rsidR="006049DD" w:rsidRPr="00EA0EF9">
        <w:rPr>
          <w:rFonts w:ascii="Aptos" w:hAnsi="Aptos"/>
        </w:rPr>
        <w:t xml:space="preserve">  </w:t>
      </w:r>
      <w:r w:rsidR="00407889">
        <w:rPr>
          <w:rFonts w:ascii="Aptos" w:hAnsi="Aptos"/>
        </w:rPr>
        <w:br/>
      </w:r>
      <w:r w:rsidR="007D4D5E">
        <w:br/>
      </w:r>
      <w:r w:rsidR="009C373F" w:rsidRPr="00C65EA6">
        <w:t>© National Mental Health Commission </w:t>
      </w:r>
      <w:r w:rsidR="009C373F">
        <w:t>2</w:t>
      </w:r>
      <w:r w:rsidR="007E7CF5">
        <w:t>026</w:t>
      </w:r>
      <w:r w:rsidR="007D4D5E">
        <w:rPr>
          <w:rFonts w:ascii="Aptos" w:hAnsi="Aptos"/>
        </w:rPr>
        <w:br/>
      </w:r>
      <w:r w:rsidR="009C373F" w:rsidRPr="00C65EA6">
        <w:t>This product, excluding the National Mental Health Commission logo, Commonwealth Coat of Arms and material owned by a third party or protected by a trademark, has been released under a Creative Commons BY 3.0 (CC BY 3.0) licence. The excluded material owned by a third party includes data, images, accounts of personal experiences and artwork sourced from third parties, including private individuals.</w:t>
      </w:r>
    </w:p>
    <w:p w14:paraId="50E34593" w14:textId="12F1F235" w:rsidR="009C373F" w:rsidRPr="006049DD" w:rsidRDefault="009C373F" w:rsidP="00BF0F82">
      <w:pPr>
        <w:sectPr w:rsidR="009C373F" w:rsidRPr="006049DD" w:rsidSect="001D15E1">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0" w:h="16840"/>
          <w:pgMar w:top="1701" w:right="1134" w:bottom="1701" w:left="1134" w:header="1134" w:footer="567" w:gutter="0"/>
          <w:cols w:num="2" w:space="709"/>
          <w:noEndnote/>
          <w:docGrid w:linePitch="360"/>
        </w:sectPr>
      </w:pPr>
      <w:r w:rsidRPr="00BF0F82">
        <w:t>You may distribute, remix and build upon this work. However, you must attribute the National Mental Health Commission as the copyright holder of the work in compliance with our attribution policy. Address enquiries and requests concerning reproduction or copyright to:</w:t>
      </w:r>
      <w:r w:rsidR="00A02E50" w:rsidRPr="00BF0F82">
        <w:t xml:space="preserve"> </w:t>
      </w:r>
      <w:r w:rsidRPr="004E5D44">
        <w:rPr>
          <w:color w:val="545A60" w:themeColor="accent3"/>
        </w:rPr>
        <w:t>Director of the Office of the CEO</w:t>
      </w:r>
      <w:r w:rsidR="00A02E50" w:rsidRPr="004E5D44">
        <w:rPr>
          <w:color w:val="545A60" w:themeColor="accent3"/>
        </w:rPr>
        <w:t xml:space="preserve">, </w:t>
      </w:r>
      <w:r w:rsidRPr="004E5D44">
        <w:rPr>
          <w:color w:val="545A60" w:themeColor="accent3"/>
        </w:rPr>
        <w:t xml:space="preserve">National Mental Health Commission </w:t>
      </w:r>
      <w:r w:rsidR="00BF0F82" w:rsidRPr="004E5D44">
        <w:rPr>
          <w:color w:val="545A60" w:themeColor="accent3"/>
        </w:rPr>
        <w:t>GPO Box 9848, Sydney, NSW 2001</w:t>
      </w:r>
    </w:p>
    <w:p w14:paraId="39F0F337" w14:textId="77777777" w:rsidR="009C373F" w:rsidRPr="00EA0EF9" w:rsidRDefault="009C373F" w:rsidP="009C373F">
      <w:pPr>
        <w:rPr>
          <w:rFonts w:ascii="Aptos" w:hAnsi="Aptos"/>
        </w:rPr>
        <w:sectPr w:rsidR="009C373F" w:rsidRPr="00EA0EF9" w:rsidSect="00BD5B9A">
          <w:endnotePr>
            <w:numFmt w:val="decimal"/>
          </w:endnotePr>
          <w:type w:val="continuous"/>
          <w:pgSz w:w="11900" w:h="16840"/>
          <w:pgMar w:top="1701" w:right="1134" w:bottom="1701" w:left="1134" w:header="1134" w:footer="567" w:gutter="0"/>
          <w:cols w:space="708"/>
          <w:docGrid w:linePitch="360"/>
        </w:sectPr>
      </w:pPr>
      <w:bookmarkStart w:id="21" w:name="_Toc229659973"/>
    </w:p>
    <w:bookmarkStart w:id="22" w:name="_Toc233982836"/>
    <w:bookmarkStart w:id="23" w:name="_Toc237878281"/>
    <w:p w14:paraId="23D83FDF" w14:textId="18E1EDC7" w:rsidR="002F1112" w:rsidRDefault="00666A5E" w:rsidP="004E5D44">
      <w:pPr>
        <w:pStyle w:val="Heading1"/>
        <w:sectPr w:rsidR="002F1112" w:rsidSect="00BD5B9A">
          <w:headerReference w:type="even" r:id="rId41"/>
          <w:headerReference w:type="default" r:id="rId42"/>
          <w:headerReference w:type="first" r:id="rId43"/>
          <w:footnotePr>
            <w:numFmt w:val="lowerRoman"/>
          </w:footnotePr>
          <w:endnotePr>
            <w:numFmt w:val="decimal"/>
          </w:endnotePr>
          <w:type w:val="continuous"/>
          <w:pgSz w:w="11906" w:h="16838" w:code="9"/>
          <w:pgMar w:top="1440" w:right="1440" w:bottom="1440" w:left="1440" w:header="1134" w:footer="567" w:gutter="0"/>
          <w:cols w:space="708"/>
          <w:docGrid w:linePitch="360"/>
        </w:sectPr>
      </w:pPr>
      <w:r>
        <w:rPr>
          <w:noProof/>
        </w:rPr>
        <w:lastRenderedPageBreak/>
        <mc:AlternateContent>
          <mc:Choice Requires="wps">
            <w:drawing>
              <wp:anchor distT="0" distB="0" distL="114300" distR="114300" simplePos="0" relativeHeight="251658338" behindDoc="1" locked="0" layoutInCell="1" allowOverlap="1" wp14:anchorId="4BD86BF2" wp14:editId="55506081">
                <wp:simplePos x="0" y="0"/>
                <wp:positionH relativeFrom="page">
                  <wp:posOffset>0</wp:posOffset>
                </wp:positionH>
                <wp:positionV relativeFrom="page">
                  <wp:posOffset>468</wp:posOffset>
                </wp:positionV>
                <wp:extent cx="7560000" cy="9900000"/>
                <wp:effectExtent l="0" t="0" r="0" b="6350"/>
                <wp:wrapNone/>
                <wp:docPr id="1398610045" name="Rectangle 13986100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9900000"/>
                        </a:xfrm>
                        <a:prstGeom prst="rect">
                          <a:avLst/>
                        </a:prstGeom>
                        <a:solidFill>
                          <a:srgbClr val="F9F9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DCE6F86" id="Rectangle 1398610045" o:spid="_x0000_s1026" alt="&quot;&quot;" style="position:absolute;margin-left:0;margin-top:.05pt;width:595.3pt;height:779.55pt;z-index:-2516581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" fillcolor="#f9f9e5" stroked="f" strokeweight="1pt">
                <w10:wrap anchorx="page" anchory="page"/>
              </v:rect>
            </w:pict>
          </mc:Fallback>
        </mc:AlternateContent>
      </w:r>
      <w:r w:rsidR="009C373F" w:rsidRPr="00676974">
        <w:t>CEO’s Foreword</w:t>
      </w:r>
      <w:bookmarkEnd w:id="21"/>
      <w:bookmarkEnd w:id="22"/>
      <w:bookmarkEnd w:id="23"/>
      <w:r w:rsidR="009C373F" w:rsidRPr="00676974">
        <w:t xml:space="preserve"> </w:t>
      </w:r>
    </w:p>
    <w:p w14:paraId="42AFE622" w14:textId="144338F8" w:rsidR="009C373F" w:rsidRPr="004A473C" w:rsidRDefault="00A46501" w:rsidP="007338BC">
      <w:pPr>
        <w:pStyle w:val="NMHCIntroParagraph"/>
        <w:rPr>
          <w:color w:val="008142" w:themeColor="accent5"/>
          <w:lang w:val="en-AU"/>
        </w:rPr>
      </w:pPr>
      <w:r w:rsidRPr="004A473C">
        <w:rPr>
          <w:b/>
          <w:bCs/>
          <w:noProof/>
          <w:color w:val="008142" w:themeColor="accent5"/>
        </w:rPr>
        <w:drawing>
          <wp:anchor distT="0" distB="0" distL="114300" distR="114300" simplePos="0" relativeHeight="251658249" behindDoc="1" locked="0" layoutInCell="1" allowOverlap="1" wp14:anchorId="4E6C94B9" wp14:editId="32C7F3A1">
            <wp:simplePos x="0" y="0"/>
            <wp:positionH relativeFrom="margin">
              <wp:posOffset>22860</wp:posOffset>
            </wp:positionH>
            <wp:positionV relativeFrom="paragraph">
              <wp:posOffset>47625</wp:posOffset>
            </wp:positionV>
            <wp:extent cx="879475" cy="955040"/>
            <wp:effectExtent l="0" t="0" r="0" b="0"/>
            <wp:wrapTight wrapText="bothSides">
              <wp:wrapPolygon edited="0">
                <wp:start x="0" y="0"/>
                <wp:lineTo x="0" y="21255"/>
                <wp:lineTo x="21210" y="21255"/>
                <wp:lineTo x="21210" y="0"/>
                <wp:lineTo x="0" y="0"/>
              </wp:wrapPolygon>
            </wp:wrapTight>
            <wp:docPr id="20620370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037063" name="Picture 1">
                      <a:extLst>
                        <a:ext uri="{C183D7F6-B498-43B3-948B-1728B52AA6E4}">
                          <adec:decorative xmlns:adec="http://schemas.microsoft.com/office/drawing/2017/decorative" val="1"/>
                        </a:ext>
                      </a:extLst>
                    </pic:cNvPr>
                    <pic:cNvPicPr/>
                  </pic:nvPicPr>
                  <pic:blipFill rotWithShape="1">
                    <a:blip r:embed="rId44" cstate="print">
                      <a:extLst>
                        <a:ext uri="{28A0092B-C50C-407E-A947-70E740481C1C}">
                          <a14:useLocalDpi xmlns:a14="http://schemas.microsoft.com/office/drawing/2010/main" val="0"/>
                        </a:ext>
                      </a:extLst>
                    </a:blip>
                    <a:srcRect l="18487" t="1" b="32886"/>
                    <a:stretch>
                      <a:fillRect/>
                    </a:stretch>
                  </pic:blipFill>
                  <pic:spPr bwMode="auto">
                    <a:xfrm>
                      <a:off x="0" y="0"/>
                      <a:ext cx="879475" cy="955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373F" w:rsidRPr="004A473C">
        <w:rPr>
          <w:color w:val="008142" w:themeColor="accent5"/>
        </w:rPr>
        <w:t xml:space="preserve">I am pleased to present the National Mental Health Commission’s National Report Card 2025 on mental health and wellbeing. </w:t>
      </w:r>
      <w:r w:rsidR="009C373F" w:rsidRPr="004A473C">
        <w:rPr>
          <w:color w:val="008142" w:themeColor="accent5"/>
          <w:lang w:val="en-AU"/>
        </w:rPr>
        <w:t xml:space="preserve">The National Report Card is Australia’s key mechanism for monitoring mental health system performance. It brings together evidence on mental health outcomes, the factors that shape wellbeing, and the services that support people experiencing mental health challenges. </w:t>
      </w:r>
    </w:p>
    <w:p w14:paraId="711C7972" w14:textId="664A57B7" w:rsidR="009C373F" w:rsidRPr="00D00A31" w:rsidRDefault="009C373F" w:rsidP="00AA26EC">
      <w:pPr>
        <w:rPr>
          <w:lang w:val="en-AU"/>
        </w:rPr>
      </w:pPr>
      <w:r w:rsidRPr="00EA0EF9">
        <w:t xml:space="preserve">In </w:t>
      </w:r>
      <w:r w:rsidRPr="00C65EA6">
        <w:t>our last National Report Card 2024</w:t>
      </w:r>
      <w:r>
        <w:t xml:space="preserve"> we saw a society experiencing </w:t>
      </w:r>
      <w:r w:rsidR="00BF1CA2">
        <w:t xml:space="preserve">a </w:t>
      </w:r>
      <w:r>
        <w:t xml:space="preserve">declining sense of control and continued high levels of psychological distress. Signs of financial stress were elevated, discrimination remained common, and experiences of loneliness were all too high. </w:t>
      </w:r>
      <w:r w:rsidRPr="00386784">
        <w:t>We also noted that the available data provided only a limited view of the extent to which care was improving outcomes for people.</w:t>
      </w:r>
    </w:p>
    <w:p w14:paraId="6C6BF51C" w14:textId="67E5673A" w:rsidR="009C373F" w:rsidRPr="00D47AD0" w:rsidRDefault="009C373F" w:rsidP="00AA26EC">
      <w:pPr>
        <w:rPr>
          <w:lang w:val="en-AU"/>
        </w:rPr>
      </w:pPr>
      <w:r w:rsidRPr="00CC2AFF">
        <w:rPr>
          <w:lang w:val="en-AU"/>
        </w:rPr>
        <w:t xml:space="preserve">This year’s Report Card highlights both progress and opportunity. </w:t>
      </w:r>
      <w:r>
        <w:t>Promisingly, we are seeing more investment in the mental health system announced in 2025, and more people accessing support. However, the impact of this investment is unevenly distributed across society. There are signs that our service system isn’t facilitating access early enough for those experiencing mental health challenges</w:t>
      </w:r>
      <w:r w:rsidR="001D2713">
        <w:t xml:space="preserve"> </w:t>
      </w:r>
      <w:r>
        <w:t xml:space="preserve">and a workforce projected to continue to fall short of need. </w:t>
      </w:r>
      <w:r>
        <w:rPr>
          <w:lang w:val="en-AU"/>
        </w:rPr>
        <w:t>P</w:t>
      </w:r>
      <w:r w:rsidRPr="00D47AD0">
        <w:rPr>
          <w:lang w:val="en-AU"/>
        </w:rPr>
        <w:t>eople experiencing mental health challenges continue to report lower life satisfaction and higher levels of loneliness, discrimination and financial stress than the broader population.</w:t>
      </w:r>
      <w:r>
        <w:rPr>
          <w:lang w:val="en-AU"/>
        </w:rPr>
        <w:t xml:space="preserve"> </w:t>
      </w:r>
    </w:p>
    <w:p w14:paraId="04A72631" w14:textId="2BF7D237" w:rsidR="009C373F" w:rsidRPr="001B796F" w:rsidRDefault="009C373F" w:rsidP="00AA26EC">
      <w:pPr>
        <w:rPr>
          <w:lang w:val="en-AU"/>
        </w:rPr>
      </w:pPr>
      <w:r w:rsidRPr="009B4C63">
        <w:rPr>
          <w:lang w:val="en-AU"/>
        </w:rPr>
        <w:t>These findings reinforce that mental health is shaped by more than healthcare alone. Financial strain, housing stress, climate change, technological shifts and the strength of our communities all influence mental health and wellbeing.</w:t>
      </w:r>
      <w:r>
        <w:rPr>
          <w:lang w:val="en-AU"/>
        </w:rPr>
        <w:t xml:space="preserve"> </w:t>
      </w:r>
    </w:p>
    <w:p w14:paraId="1B70D263" w14:textId="6C2F2085" w:rsidR="009C373F" w:rsidRPr="00C65EA6" w:rsidRDefault="009C373F" w:rsidP="00AA26EC">
      <w:r>
        <w:t xml:space="preserve">Our service system must be reformed to better meet the diverse needs of those it serves. The National Agreement on Mental Health and Suicide Prevention is due to expire </w:t>
      </w:r>
      <w:r w:rsidRPr="00053D27">
        <w:t xml:space="preserve">on </w:t>
      </w:r>
      <w:r w:rsidRPr="00C65EA6">
        <w:t>1 July</w:t>
      </w:r>
      <w:r w:rsidRPr="00053D27">
        <w:t xml:space="preserve"> 2027</w:t>
      </w:r>
      <w:r>
        <w:t>. T</w:t>
      </w:r>
      <w:r w:rsidRPr="00053D27">
        <w:t>his</w:t>
      </w:r>
      <w:r>
        <w:t xml:space="preserve"> presents a critical opportunity for governments to come together to set a fresh vision for</w:t>
      </w:r>
      <w:r w:rsidRPr="0B80FB46">
        <w:t xml:space="preserve"> </w:t>
      </w:r>
      <w:r>
        <w:t xml:space="preserve">our mental health system. Achieving these reforms requires us to work in partnership with people with a lived experience of mental health challenges, and those who care for them. </w:t>
      </w:r>
    </w:p>
    <w:p w14:paraId="5243D65D" w14:textId="6FBE86A6" w:rsidR="009C373F" w:rsidRPr="00F832ED" w:rsidRDefault="009C373F" w:rsidP="00AA26EC">
      <w:pPr>
        <w:rPr>
          <w:rFonts w:eastAsia="Aptos" w:cs="Aptos"/>
          <w:lang w:val="en-AU"/>
        </w:rPr>
      </w:pPr>
      <w:r>
        <w:t>T</w:t>
      </w:r>
      <w:r w:rsidRPr="00576ABD">
        <w:t xml:space="preserve">his Report Card also highlights the critical need to improve our national evidence base. </w:t>
      </w:r>
      <w:r w:rsidRPr="00F832ED">
        <w:rPr>
          <w:rFonts w:eastAsia="Aptos" w:cs="Aptos"/>
          <w:lang w:val="en-AU"/>
        </w:rPr>
        <w:t>Significant gaps remain in data on outcomes, service experiences, continuity of care and the contribution of non-government services. Better information will support better decisions, more targeted investment and a clearer understanding of what improves people’s lives.</w:t>
      </w:r>
    </w:p>
    <w:p w14:paraId="0F8382AF" w14:textId="3252067F" w:rsidR="009C373F" w:rsidRPr="00E018C5" w:rsidRDefault="009C373F" w:rsidP="00AA26EC">
      <w:pPr>
        <w:rPr>
          <w:lang w:val="en-AU"/>
        </w:rPr>
      </w:pPr>
      <w:r w:rsidRPr="00E018C5">
        <w:rPr>
          <w:lang w:val="en-AU"/>
        </w:rPr>
        <w:t xml:space="preserve">I thank the Australian Institute of Health and Welfare, the Australian Bureau of Statistics, Mental Health Australia, the National Mental Health Consumer Alliance, </w:t>
      </w:r>
      <w:r>
        <w:rPr>
          <w:lang w:val="en-AU"/>
        </w:rPr>
        <w:t xml:space="preserve">the Indigenous Australian Lived Experience Centre, </w:t>
      </w:r>
      <w:r w:rsidRPr="00E018C5">
        <w:rPr>
          <w:lang w:val="en-AU"/>
        </w:rPr>
        <w:t>Mental Health Carers Australia, members of the Report Card Working Group, and the many organisations and individuals who contributed their expertise to this report.</w:t>
      </w:r>
    </w:p>
    <w:p w14:paraId="43391F55" w14:textId="5825B216" w:rsidR="009C373F" w:rsidRPr="0071212A" w:rsidRDefault="009C373F" w:rsidP="00AA26EC">
      <w:pPr>
        <w:rPr>
          <w:lang w:val="en-AU"/>
        </w:rPr>
      </w:pPr>
      <w:r w:rsidRPr="0071212A">
        <w:rPr>
          <w:lang w:val="en-AU"/>
        </w:rPr>
        <w:t>The Commission remains committed to continually improving our reporting framework to ensure it reflects emerging issues and advances in data availability</w:t>
      </w:r>
      <w:r>
        <w:rPr>
          <w:lang w:val="en-AU"/>
        </w:rPr>
        <w:t xml:space="preserve">. </w:t>
      </w:r>
      <w:r w:rsidRPr="0071212A">
        <w:rPr>
          <w:lang w:val="en-AU"/>
        </w:rPr>
        <w:t xml:space="preserve">I encourage you to explore the findings of the </w:t>
      </w:r>
      <w:r w:rsidRPr="0071212A">
        <w:rPr>
          <w:i/>
          <w:iCs/>
          <w:lang w:val="en-AU"/>
        </w:rPr>
        <w:t>National Report Card 2025</w:t>
      </w:r>
      <w:r w:rsidRPr="0071212A">
        <w:rPr>
          <w:lang w:val="en-AU"/>
        </w:rPr>
        <w:t xml:space="preserve"> and consider the opportunities they present to build a mentally healthier Australia.</w:t>
      </w:r>
    </w:p>
    <w:p w14:paraId="473A2201" w14:textId="77777777" w:rsidR="002F1112" w:rsidRDefault="009C373F" w:rsidP="00BF1CA2">
      <w:pPr>
        <w:suppressAutoHyphens w:val="0"/>
        <w:autoSpaceDE/>
        <w:autoSpaceDN/>
        <w:adjustRightInd/>
        <w:spacing w:before="120" w:after="0" w:line="240" w:lineRule="auto"/>
        <w:textAlignment w:val="auto"/>
        <w:rPr>
          <w:lang w:val="en-AU"/>
        </w:rPr>
      </w:pPr>
      <w:r w:rsidRPr="00EA74EC">
        <w:rPr>
          <w:b/>
          <w:bCs/>
          <w:color w:val="008142" w:themeColor="accent5"/>
        </w:rPr>
        <w:t>David McGrath</w:t>
      </w:r>
      <w:r w:rsidR="00AA26EC">
        <w:br/>
      </w:r>
      <w:r w:rsidRPr="00D00A31">
        <w:rPr>
          <w:lang w:val="en-AU"/>
        </w:rPr>
        <w:t xml:space="preserve">Chief Executive Officer of the </w:t>
      </w:r>
      <w:r w:rsidR="00AA26EC">
        <w:rPr>
          <w:lang w:val="en-AU"/>
        </w:rPr>
        <w:br/>
      </w:r>
      <w:r w:rsidRPr="00D00A31">
        <w:rPr>
          <w:lang w:val="en-AU"/>
        </w:rPr>
        <w:t>National Mental Health Commission</w:t>
      </w:r>
    </w:p>
    <w:p w14:paraId="2FF20882" w14:textId="77777777" w:rsidR="002F1112" w:rsidRDefault="002F1112" w:rsidP="002F1112">
      <w:pPr>
        <w:suppressAutoHyphens w:val="0"/>
        <w:autoSpaceDE/>
        <w:autoSpaceDN/>
        <w:adjustRightInd/>
        <w:spacing w:after="0" w:line="240" w:lineRule="auto"/>
        <w:textAlignment w:val="auto"/>
        <w:rPr>
          <w:rFonts w:ascii="Aptos" w:hAnsi="Aptos"/>
          <w:b/>
          <w:bCs/>
          <w:color w:val="008142" w:themeColor="accent5"/>
          <w:sz w:val="32"/>
          <w:szCs w:val="32"/>
          <w:lang w:eastAsia="en-AU"/>
        </w:rPr>
        <w:sectPr w:rsidR="002F1112" w:rsidSect="001D15E1">
          <w:footnotePr>
            <w:numFmt w:val="lowerRoman"/>
          </w:footnotePr>
          <w:endnotePr>
            <w:numFmt w:val="decimal"/>
          </w:endnotePr>
          <w:type w:val="continuous"/>
          <w:pgSz w:w="11906" w:h="16838" w:code="9"/>
          <w:pgMar w:top="1440" w:right="1440" w:bottom="1440" w:left="1440" w:header="1134" w:footer="567" w:gutter="0"/>
          <w:cols w:num="2" w:space="708"/>
          <w:noEndnote/>
          <w:docGrid w:linePitch="360"/>
        </w:sectPr>
      </w:pPr>
    </w:p>
    <w:p w14:paraId="702D16FC" w14:textId="380231B8" w:rsidR="002F1112" w:rsidRDefault="002F1112" w:rsidP="002F1112">
      <w:pPr>
        <w:suppressAutoHyphens w:val="0"/>
        <w:autoSpaceDE/>
        <w:autoSpaceDN/>
        <w:adjustRightInd/>
        <w:spacing w:after="0" w:line="240" w:lineRule="auto"/>
        <w:textAlignment w:val="auto"/>
        <w:rPr>
          <w:rFonts w:ascii="Aptos" w:eastAsia="Times New Roman" w:hAnsi="Aptos"/>
          <w:b/>
          <w:bCs/>
          <w:color w:val="008142" w:themeColor="accent5"/>
          <w:sz w:val="32"/>
          <w:szCs w:val="32"/>
          <w:lang w:eastAsia="en-AU"/>
        </w:rPr>
      </w:pPr>
      <w:r>
        <w:rPr>
          <w:rFonts w:ascii="Aptos" w:hAnsi="Aptos"/>
          <w:b/>
          <w:bCs/>
          <w:color w:val="008142" w:themeColor="accent5"/>
          <w:sz w:val="32"/>
          <w:szCs w:val="32"/>
          <w:lang w:eastAsia="en-AU"/>
        </w:rPr>
        <w:br w:type="page"/>
      </w:r>
    </w:p>
    <w:p w14:paraId="03DB71CA" w14:textId="77777777" w:rsidR="002F1112" w:rsidRDefault="002F1112">
      <w:pPr>
        <w:suppressAutoHyphens w:val="0"/>
        <w:autoSpaceDE/>
        <w:autoSpaceDN/>
        <w:adjustRightInd/>
        <w:spacing w:after="0" w:line="240" w:lineRule="auto"/>
        <w:textAlignment w:val="auto"/>
        <w:rPr>
          <w:rFonts w:ascii="Aptos" w:hAnsi="Aptos"/>
          <w:b/>
          <w:bCs/>
          <w:color w:val="008142" w:themeColor="accent5"/>
          <w:sz w:val="32"/>
          <w:szCs w:val="32"/>
          <w:lang w:eastAsia="en-AU"/>
        </w:rPr>
      </w:pPr>
    </w:p>
    <w:p w14:paraId="1CE5D827" w14:textId="4EFA6502" w:rsidR="00264403" w:rsidRDefault="006049DD" w:rsidP="002F1112">
      <w:pPr>
        <w:pStyle w:val="Heading1"/>
        <w:rPr>
          <w:rFonts w:ascii="Aptos" w:eastAsia="Times New Roman" w:hAnsi="Aptos" w:cs="Roboto-Light"/>
          <w:b/>
          <w:bCs/>
          <w:sz w:val="32"/>
          <w:lang w:eastAsia="en-AU"/>
        </w:rPr>
      </w:pPr>
      <w:bookmarkStart w:id="24" w:name="_Toc237878282"/>
      <w:r>
        <w:rPr>
          <w:noProof/>
        </w:rPr>
        <w:drawing>
          <wp:anchor distT="0" distB="720090" distL="114300" distR="114300" simplePos="0" relativeHeight="251658247" behindDoc="0" locked="0" layoutInCell="1" allowOverlap="1" wp14:anchorId="4A8C26AF" wp14:editId="35C99E98">
            <wp:simplePos x="0" y="0"/>
            <wp:positionH relativeFrom="margin">
              <wp:posOffset>-2615703</wp:posOffset>
            </wp:positionH>
            <wp:positionV relativeFrom="margin">
              <wp:posOffset>-961390</wp:posOffset>
            </wp:positionV>
            <wp:extent cx="9319895" cy="5613400"/>
            <wp:effectExtent l="0" t="0" r="1905" b="0"/>
            <wp:wrapSquare wrapText="bothSides"/>
            <wp:docPr id="950323731"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23731" name="Picture 60">
                      <a:extLst>
                        <a:ext uri="{C183D7F6-B498-43B3-948B-1728B52AA6E4}">
                          <adec:decorative xmlns:adec="http://schemas.microsoft.com/office/drawing/2017/decorative" val="1"/>
                        </a:ext>
                      </a:extLst>
                    </pic:cNvPr>
                    <pic:cNvPicPr/>
                  </pic:nvPicPr>
                  <pic:blipFill rotWithShape="1">
                    <a:blip r:embed="rId45" cstate="email">
                      <a:extLst>
                        <a:ext uri="{28A0092B-C50C-407E-A947-70E740481C1C}">
                          <a14:useLocalDpi xmlns:a14="http://schemas.microsoft.com/office/drawing/2010/main"/>
                        </a:ext>
                      </a:extLst>
                    </a:blip>
                    <a:srcRect l="-3788" r="8299" b="8992"/>
                    <a:stretch>
                      <a:fillRect/>
                    </a:stretch>
                  </pic:blipFill>
                  <pic:spPr bwMode="auto">
                    <a:xfrm>
                      <a:off x="0" y="0"/>
                      <a:ext cx="9319895" cy="561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3D4E">
        <w:rPr>
          <w:noProof/>
        </w:rPr>
        <mc:AlternateContent>
          <mc:Choice Requires="wps">
            <w:drawing>
              <wp:anchor distT="0" distB="0" distL="114300" distR="114300" simplePos="0" relativeHeight="251658321" behindDoc="1" locked="0" layoutInCell="1" allowOverlap="1" wp14:anchorId="10BC1412" wp14:editId="218D1BDB">
                <wp:simplePos x="0" y="0"/>
                <wp:positionH relativeFrom="page">
                  <wp:posOffset>-801757</wp:posOffset>
                </wp:positionH>
                <wp:positionV relativeFrom="page">
                  <wp:posOffset>-936929</wp:posOffset>
                </wp:positionV>
                <wp:extent cx="7560000" cy="153909"/>
                <wp:effectExtent l="0" t="0" r="0" b="0"/>
                <wp:wrapNone/>
                <wp:docPr id="965276802" name="Rectangle 9652768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rgbClr val="00A0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6B0A407" id="Rectangle 965276802" o:spid="_x0000_s1026" alt="&quot;&quot;" style="position:absolute;margin-left:-63.15pt;margin-top:-73.75pt;width:595.3pt;height:12.1pt;z-index:-2516581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" fillcolor="#00a04e" stroked="f" strokeweight="1pt">
                <w10:wrap anchorx="page" anchory="page"/>
              </v:rect>
            </w:pict>
          </mc:Fallback>
        </mc:AlternateContent>
      </w:r>
      <w:r w:rsidR="00283D4E">
        <w:rPr>
          <w:noProof/>
        </w:rPr>
        <mc:AlternateContent>
          <mc:Choice Requires="wps">
            <w:drawing>
              <wp:anchor distT="0" distB="0" distL="114300" distR="114300" simplePos="0" relativeHeight="251658319" behindDoc="1" locked="0" layoutInCell="1" allowOverlap="1" wp14:anchorId="74005B8D" wp14:editId="45FAD0DC">
                <wp:simplePos x="0" y="0"/>
                <wp:positionH relativeFrom="page">
                  <wp:posOffset>-954157</wp:posOffset>
                </wp:positionH>
                <wp:positionV relativeFrom="page">
                  <wp:posOffset>-1089329</wp:posOffset>
                </wp:positionV>
                <wp:extent cx="7560000" cy="153909"/>
                <wp:effectExtent l="0" t="0" r="0" b="0"/>
                <wp:wrapNone/>
                <wp:docPr id="219859967" name="Rectangle 2198599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rgbClr val="00A0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4384FC6" id="Rectangle 219859967" o:spid="_x0000_s1026" alt="&quot;&quot;" style="position:absolute;margin-left:-75.15pt;margin-top:-85.75pt;width:595.3pt;height:12.1pt;z-index:-2516581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" fillcolor="#00a04e" stroked="f" strokeweight="1pt">
                <w10:wrap anchorx="page" anchory="page"/>
              </v:rect>
            </w:pict>
          </mc:Fallback>
        </mc:AlternateContent>
      </w:r>
      <w:r w:rsidR="009C373F" w:rsidRPr="00EA0EF9">
        <w:rPr>
          <w:lang w:eastAsia="en-AU"/>
        </w:rPr>
        <w:t xml:space="preserve">Key </w:t>
      </w:r>
      <w:r w:rsidR="009C373F">
        <w:rPr>
          <w:lang w:eastAsia="en-AU"/>
        </w:rPr>
        <w:t>Insights</w:t>
      </w:r>
      <w:bookmarkEnd w:id="24"/>
    </w:p>
    <w:p w14:paraId="5CDB7E9F" w14:textId="3E6276DA" w:rsidR="00773C42" w:rsidRPr="004B6789" w:rsidRDefault="009C373F" w:rsidP="00773C42">
      <w:pPr>
        <w:pStyle w:val="NMHCIntroParagraph"/>
      </w:pPr>
      <w:r w:rsidRPr="004B6789">
        <w:t xml:space="preserve">Each year, the National Mental Health Commission delivers a Report Card, which is Australia’s key monitoring and reporting mechanism to assess the performance of our mental health system. </w:t>
      </w:r>
    </w:p>
    <w:p w14:paraId="3B2E190E" w14:textId="071A4939" w:rsidR="00773C42" w:rsidRPr="004B6789" w:rsidRDefault="009C373F" w:rsidP="00C175D4">
      <w:r w:rsidRPr="004B6789">
        <w:t xml:space="preserve">Since 2023, our Report Card has utilised a clear, evidence-informed reporting framework to monitor and report on mental health outcomes, social determinants and system performance. </w:t>
      </w:r>
    </w:p>
    <w:p w14:paraId="2D9B9CF9" w14:textId="1FE0AC25" w:rsidR="00BC0BDD" w:rsidRPr="004B6789" w:rsidRDefault="009C373F" w:rsidP="00C175D4">
      <w:r w:rsidRPr="004B6789">
        <w:t xml:space="preserve">We continue to evolve our framework over time to ensure it asks the questions that matter and draws on latest available data and evidence. </w:t>
      </w:r>
    </w:p>
    <w:p w14:paraId="28056B5E" w14:textId="77777777" w:rsidR="000B318B" w:rsidRDefault="009C373F" w:rsidP="00C175D4">
      <w:r w:rsidRPr="67596D41">
        <w:t xml:space="preserve">Here we explore this year’s key </w:t>
      </w:r>
      <w:r>
        <w:t>insights</w:t>
      </w:r>
      <w:r w:rsidRPr="67596D41">
        <w:t xml:space="preserve"> across our 3 </w:t>
      </w:r>
      <w:r>
        <w:t>d</w:t>
      </w:r>
      <w:r w:rsidRPr="67596D41">
        <w:t>omains, highlighting insights based on updated data since our last Report Card. More detail against each of our indicators is explored throughout this report.</w:t>
      </w:r>
    </w:p>
    <w:p w14:paraId="33CCBC0F" w14:textId="77777777" w:rsidR="000B318B" w:rsidRDefault="000B318B" w:rsidP="004E5D44">
      <w:pPr>
        <w:suppressAutoHyphens w:val="0"/>
        <w:autoSpaceDE/>
        <w:autoSpaceDN/>
        <w:adjustRightInd/>
        <w:spacing w:after="0" w:line="240" w:lineRule="auto"/>
        <w:ind w:right="-46"/>
        <w:textAlignment w:val="auto"/>
      </w:pPr>
      <w:r>
        <w:br w:type="page"/>
      </w:r>
    </w:p>
    <w:p w14:paraId="4F92E5C4" w14:textId="1A35835F" w:rsidR="00773C42" w:rsidRDefault="00494DF1" w:rsidP="004E5D44">
      <w:pPr>
        <w:suppressAutoHyphens w:val="0"/>
        <w:autoSpaceDE/>
        <w:autoSpaceDN/>
        <w:adjustRightInd/>
        <w:spacing w:after="0" w:line="240" w:lineRule="auto"/>
        <w:textAlignment w:val="auto"/>
      </w:pPr>
      <w:r>
        <w:rPr>
          <w:rFonts w:ascii="Aptos" w:eastAsia="Times New Roman" w:hAnsi="Aptos"/>
          <w:b/>
          <w:bCs/>
          <w:noProof/>
          <w:color w:val="008142" w:themeColor="accent5"/>
          <w:sz w:val="32"/>
          <w:szCs w:val="32"/>
          <w:lang w:eastAsia="en-AU"/>
        </w:rPr>
        <w:lastRenderedPageBreak/>
        <w:drawing>
          <wp:anchor distT="0" distB="0" distL="114300" distR="114300" simplePos="0" relativeHeight="251665550" behindDoc="1" locked="0" layoutInCell="1" allowOverlap="1" wp14:anchorId="0FC4BAF0" wp14:editId="0D91111C">
            <wp:simplePos x="0" y="0"/>
            <wp:positionH relativeFrom="column">
              <wp:posOffset>-552376</wp:posOffset>
            </wp:positionH>
            <wp:positionV relativeFrom="paragraph">
              <wp:posOffset>-587803</wp:posOffset>
            </wp:positionV>
            <wp:extent cx="6889898" cy="9541803"/>
            <wp:effectExtent l="0" t="0" r="0" b="0"/>
            <wp:wrapNone/>
            <wp:docPr id="515685262" name="Picture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685262" name="Picture 186">
                      <a:extLst>
                        <a:ext uri="{C183D7F6-B498-43B3-948B-1728B52AA6E4}">
                          <adec:decorative xmlns:adec="http://schemas.microsoft.com/office/drawing/2017/decorative" val="1"/>
                        </a:ext>
                      </a:extLst>
                    </pic:cNvPr>
                    <pic:cNvPicPr/>
                  </pic:nvPicPr>
                  <pic:blipFill rotWithShape="1">
                    <a:blip r:embed="rId46" cstate="print">
                      <a:extLst>
                        <a:ext uri="{28A0092B-C50C-407E-A947-70E740481C1C}">
                          <a14:useLocalDpi xmlns:a14="http://schemas.microsoft.com/office/drawing/2010/main" val="0"/>
                        </a:ext>
                      </a:extLst>
                    </a:blip>
                    <a:srcRect l="5101" t="3149" r="4741" b="8515"/>
                    <a:stretch>
                      <a:fillRect/>
                    </a:stretch>
                  </pic:blipFill>
                  <pic:spPr bwMode="auto">
                    <a:xfrm>
                      <a:off x="0" y="0"/>
                      <a:ext cx="6889898" cy="95418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373F" w:rsidRPr="67596D41">
        <w:t xml:space="preserve"> </w:t>
      </w:r>
    </w:p>
    <w:p w14:paraId="49EE7627" w14:textId="401D4043" w:rsidR="00676974" w:rsidRDefault="00676974" w:rsidP="00407889"/>
    <w:p w14:paraId="2C800839" w14:textId="11FDA663" w:rsidR="001B10D1" w:rsidRDefault="00676974" w:rsidP="004E5D44">
      <w:pPr>
        <w:pStyle w:val="Heading3"/>
      </w:pPr>
      <w:r>
        <w:br w:type="page"/>
      </w:r>
      <w:r w:rsidR="001B10D1" w:rsidRPr="00F621B1">
        <w:lastRenderedPageBreak/>
        <w:t>Key Insights Continued</w:t>
      </w:r>
    </w:p>
    <w:p w14:paraId="669720F3" w14:textId="77777777" w:rsidR="00665FD8" w:rsidRDefault="00665FD8" w:rsidP="00195E0F">
      <w:pPr>
        <w:pStyle w:val="Heading2"/>
        <w:rPr>
          <w:color w:val="008142" w:themeColor="accent5"/>
        </w:rPr>
      </w:pPr>
    </w:p>
    <w:p w14:paraId="46968C89" w14:textId="7E89DB89" w:rsidR="00665FD8" w:rsidRPr="004E5D44" w:rsidRDefault="004F6E7A" w:rsidP="004E5D44">
      <w:r>
        <w:rPr>
          <w:noProof/>
          <w:lang w:eastAsia="en-AU"/>
        </w:rPr>
        <w:drawing>
          <wp:inline distT="0" distB="0" distL="0" distR="0" wp14:anchorId="09B8236A" wp14:editId="71560F2C">
            <wp:extent cx="5539868" cy="308472"/>
            <wp:effectExtent l="0" t="0" r="0" b="0"/>
            <wp:docPr id="1835220430" name="Picture 196" descr="Domain 1 Mental Healt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20430" name="Picture 196" descr="Domain 1 Mental Health">
                      <a:extLst>
                        <a:ext uri="{C183D7F6-B498-43B3-948B-1728B52AA6E4}">
                          <adec:decorative xmlns:adec="http://schemas.microsoft.com/office/drawing/2017/decorative" val="0"/>
                        </a:ext>
                      </a:extLst>
                    </pic:cNvPr>
                    <pic:cNvPicPr/>
                  </pic:nvPicPr>
                  <pic:blipFill rotWithShape="1">
                    <a:blip r:embed="rId47" cstate="print">
                      <a:extLst>
                        <a:ext uri="{28A0092B-C50C-407E-A947-70E740481C1C}">
                          <a14:useLocalDpi xmlns:a14="http://schemas.microsoft.com/office/drawing/2010/main" val="0"/>
                        </a:ext>
                      </a:extLst>
                    </a:blip>
                    <a:srcRect l="5976" t="37602" r="6033" b="38099"/>
                    <a:stretch>
                      <a:fillRect/>
                    </a:stretch>
                  </pic:blipFill>
                  <pic:spPr bwMode="auto">
                    <a:xfrm>
                      <a:off x="0" y="0"/>
                      <a:ext cx="5639953" cy="314045"/>
                    </a:xfrm>
                    <a:prstGeom prst="rect">
                      <a:avLst/>
                    </a:prstGeom>
                    <a:ln>
                      <a:noFill/>
                    </a:ln>
                    <a:extLst>
                      <a:ext uri="{53640926-AAD7-44D8-BBD7-CCE9431645EC}">
                        <a14:shadowObscured xmlns:a14="http://schemas.microsoft.com/office/drawing/2010/main"/>
                      </a:ext>
                    </a:extLst>
                  </pic:spPr>
                </pic:pic>
              </a:graphicData>
            </a:graphic>
          </wp:inline>
        </w:drawing>
      </w:r>
    </w:p>
    <w:p w14:paraId="7BD31D16" w14:textId="478EA2B5" w:rsidR="009C373F" w:rsidRPr="00506B40" w:rsidRDefault="003A1B1F" w:rsidP="00195E0F">
      <w:pPr>
        <w:pStyle w:val="Heading2"/>
      </w:pPr>
      <w:r>
        <w:br/>
      </w:r>
      <w:r w:rsidR="009C373F" w:rsidRPr="005A7752">
        <w:t>Need remains high but is not fully visible in the data</w:t>
      </w:r>
    </w:p>
    <w:p w14:paraId="6D0FCB60" w14:textId="4D201D2B" w:rsidR="009C373F" w:rsidRPr="009F46B4" w:rsidRDefault="009C373F" w:rsidP="003B776C">
      <w:pPr>
        <w:pStyle w:val="Heading3"/>
      </w:pPr>
      <w:r w:rsidRPr="009F46B4">
        <w:t xml:space="preserve">Experiences of psychological distress are common, but this doesn’t tell us everything about community need </w:t>
      </w:r>
    </w:p>
    <w:p w14:paraId="5FD71A36" w14:textId="77777777" w:rsidR="00F61C63" w:rsidRPr="005512F9" w:rsidRDefault="00F61C63" w:rsidP="00F61C63">
      <w:pPr>
        <w:pStyle w:val="ListBullet"/>
        <w:rPr>
          <w:b/>
          <w:bCs/>
        </w:rPr>
      </w:pPr>
      <w:r w:rsidRPr="00040BD9">
        <w:t>We know that</w:t>
      </w:r>
      <w:r>
        <w:t xml:space="preserve"> in 2025</w:t>
      </w:r>
      <w:r w:rsidRPr="00040BD9">
        <w:t xml:space="preserve"> </w:t>
      </w:r>
      <w:r w:rsidRPr="00040BD9">
        <w:rPr>
          <w:b/>
          <w:bCs/>
        </w:rPr>
        <w:t>psychological distress</w:t>
      </w:r>
      <w:r>
        <w:rPr>
          <w:b/>
          <w:bCs/>
        </w:rPr>
        <w:t xml:space="preserve"> is </w:t>
      </w:r>
      <w:r w:rsidRPr="00040BD9">
        <w:rPr>
          <w:b/>
          <w:bCs/>
        </w:rPr>
        <w:t>common</w:t>
      </w:r>
      <w:r w:rsidRPr="00040BD9">
        <w:t xml:space="preserve"> (14.9% of people aged 15 experienced high psychological distress, and 9.2% experienced very high psychological distress</w:t>
      </w:r>
      <w:r>
        <w:t>)</w:t>
      </w:r>
      <w:r w:rsidR="00C3448D">
        <w:rPr>
          <w:rStyle w:val="EndnoteReference"/>
          <w:rFonts w:ascii="Aptos" w:hAnsi="Aptos"/>
          <w:sz w:val="22"/>
        </w:rPr>
        <w:endnoteReference w:id="2"/>
      </w:r>
    </w:p>
    <w:p w14:paraId="43EEAB88" w14:textId="1FD9A8C1" w:rsidR="009C373F" w:rsidRPr="00A02E50" w:rsidRDefault="009C373F" w:rsidP="00A02E50">
      <w:pPr>
        <w:pStyle w:val="ListBullet"/>
      </w:pPr>
      <w:r w:rsidRPr="00A02E50">
        <w:t xml:space="preserve">We know that people with a mental health condition were: </w:t>
      </w:r>
    </w:p>
    <w:p w14:paraId="36374AE3" w14:textId="01357CAF" w:rsidR="009C373F" w:rsidRPr="00A02E50" w:rsidRDefault="009C373F" w:rsidP="00A02E50">
      <w:pPr>
        <w:pStyle w:val="ListBullet2"/>
      </w:pPr>
      <w:r w:rsidRPr="007736BC">
        <w:rPr>
          <w:b/>
          <w:bCs/>
        </w:rPr>
        <w:t>Five times as likely to experience very high psychological distress</w:t>
      </w:r>
      <w:r w:rsidRPr="000A5F9C">
        <w:rPr>
          <w:rStyle w:val="FootnoteReference"/>
        </w:rPr>
        <w:footnoteReference w:id="2"/>
      </w:r>
      <w:r w:rsidRPr="000A5F9C">
        <w:rPr>
          <w:vertAlign w:val="superscript"/>
        </w:rPr>
        <w:t xml:space="preserve"> </w:t>
      </w:r>
      <w:r w:rsidRPr="00A02E50">
        <w:t>(30.7% compared with 5.9% of people who do not have a mental health condition)</w:t>
      </w:r>
      <w:r w:rsidR="00DA2BE0">
        <w:t>.</w:t>
      </w:r>
    </w:p>
    <w:p w14:paraId="0240AF13" w14:textId="63573710" w:rsidR="009C373F" w:rsidRPr="00A02E50" w:rsidRDefault="009C373F" w:rsidP="00A02E50">
      <w:pPr>
        <w:pStyle w:val="ListBullet2"/>
      </w:pPr>
      <w:r w:rsidRPr="00A02E50">
        <w:t>And twice as likely to experience high psychological distress (29.4% compared with 12.6% of people who do not have a mental health condition).</w:t>
      </w:r>
      <w:r w:rsidR="00C3448D" w:rsidRPr="00407889">
        <w:rPr>
          <w:rStyle w:val="EndnoteReference"/>
        </w:rPr>
        <w:endnoteReference w:id="3"/>
      </w:r>
    </w:p>
    <w:p w14:paraId="5593FD44" w14:textId="7FBDB50A" w:rsidR="009C373F" w:rsidRPr="00F0446D" w:rsidRDefault="009C373F" w:rsidP="00F0446D">
      <w:r w:rsidRPr="00040BD9">
        <w:t>However, looking at psychological distress alone cannot tell us about the full extent of need in the community. National mental health prevalence data has not been updated since 2020-2022.</w:t>
      </w:r>
    </w:p>
    <w:p w14:paraId="2967F57D" w14:textId="3658A8A7" w:rsidR="009C373F" w:rsidRPr="003B776C" w:rsidRDefault="009C373F" w:rsidP="003B776C">
      <w:pPr>
        <w:pStyle w:val="Heading3"/>
      </w:pPr>
      <w:r w:rsidRPr="003B776C">
        <w:t xml:space="preserve">People who experience mental health conditions continued to report lower satisfaction with life overall </w:t>
      </w:r>
    </w:p>
    <w:p w14:paraId="14417BCD" w14:textId="77777777" w:rsidR="009C373F" w:rsidRPr="00A02E50" w:rsidRDefault="009C373F" w:rsidP="00A02E50">
      <w:pPr>
        <w:pStyle w:val="ListBullet"/>
      </w:pPr>
      <w:r w:rsidRPr="00A02E50">
        <w:t xml:space="preserve">In 2025, people who have a mental health condition had an overall </w:t>
      </w:r>
      <w:r w:rsidRPr="00AC60AC">
        <w:rPr>
          <w:b/>
          <w:bCs/>
        </w:rPr>
        <w:t>life satisfaction</w:t>
      </w:r>
      <w:r w:rsidRPr="00A02E50">
        <w:rPr>
          <w:b/>
          <w:bCs/>
        </w:rPr>
        <w:t xml:space="preserve"> </w:t>
      </w:r>
      <w:r w:rsidRPr="00AC60AC">
        <w:t>rating</w:t>
      </w:r>
      <w:r w:rsidRPr="00A02E50">
        <w:t xml:space="preserve"> of </w:t>
      </w:r>
      <w:r w:rsidRPr="00A02E50">
        <w:rPr>
          <w:b/>
          <w:bCs/>
        </w:rPr>
        <w:t>5.8</w:t>
      </w:r>
      <w:r w:rsidRPr="00A02E50">
        <w:t>, compared with people who do not have a mental health condition (7.4).</w:t>
      </w:r>
      <w:r w:rsidRPr="00407889">
        <w:rPr>
          <w:rStyle w:val="FootnoteReference"/>
        </w:rPr>
        <w:footnoteReference w:id="3"/>
      </w:r>
      <w:r w:rsidRPr="00A02E50">
        <w:t xml:space="preserve"> This gap has not narrowed since 2020.  </w:t>
      </w:r>
    </w:p>
    <w:p w14:paraId="2F373493" w14:textId="6E6809E0" w:rsidR="009C373F" w:rsidRDefault="009C373F" w:rsidP="00A02E50">
      <w:pPr>
        <w:pStyle w:val="ListBullet"/>
      </w:pPr>
      <w:r w:rsidRPr="00A02E50">
        <w:t xml:space="preserve">This gap is even </w:t>
      </w:r>
      <w:r w:rsidRPr="00A02E50">
        <w:rPr>
          <w:b/>
          <w:bCs/>
        </w:rPr>
        <w:t>more pronounced in young people</w:t>
      </w:r>
      <w:r w:rsidRPr="00A02E50">
        <w:t xml:space="preserve"> aged 15-24 years with a mental health condition, compared to young people of the same age without a mental health condition.</w:t>
      </w:r>
      <w:r w:rsidR="00C3448D" w:rsidRPr="00407889">
        <w:rPr>
          <w:rStyle w:val="EndnoteReference"/>
        </w:rPr>
        <w:endnoteReference w:id="4"/>
      </w:r>
    </w:p>
    <w:p w14:paraId="19E486DC" w14:textId="77777777" w:rsidR="00E605D2" w:rsidRDefault="00E605D2" w:rsidP="00E605D2">
      <w:pPr>
        <w:pStyle w:val="ListBullet"/>
        <w:numPr>
          <w:ilvl w:val="0"/>
          <w:numId w:val="0"/>
        </w:numPr>
        <w:ind w:left="170" w:hanging="170"/>
      </w:pPr>
    </w:p>
    <w:p w14:paraId="4033C59D" w14:textId="590BE189" w:rsidR="00D44BC7" w:rsidRDefault="00D42F0E">
      <w:pPr>
        <w:suppressAutoHyphens w:val="0"/>
        <w:autoSpaceDE/>
        <w:autoSpaceDN/>
        <w:adjustRightInd/>
        <w:spacing w:after="0" w:line="240" w:lineRule="auto"/>
        <w:textAlignment w:val="auto"/>
        <w:rPr>
          <w:rFonts w:eastAsiaTheme="majorEastAsia" w:cstheme="majorBidi"/>
          <w:color w:val="008142" w:themeColor="accent5"/>
          <w:sz w:val="24"/>
          <w:szCs w:val="26"/>
          <w:lang w:eastAsia="en-AU"/>
        </w:rPr>
      </w:pPr>
      <w:r>
        <w:rPr>
          <w:noProof/>
        </w:rPr>
        <w:drawing>
          <wp:anchor distT="0" distB="0" distL="114300" distR="114300" simplePos="0" relativeHeight="251719822" behindDoc="0" locked="0" layoutInCell="1" allowOverlap="1" wp14:anchorId="3FB85CF8" wp14:editId="18BCE3DC">
            <wp:simplePos x="0" y="0"/>
            <wp:positionH relativeFrom="column">
              <wp:posOffset>-357533</wp:posOffset>
            </wp:positionH>
            <wp:positionV relativeFrom="paragraph">
              <wp:posOffset>1085850</wp:posOffset>
            </wp:positionV>
            <wp:extent cx="2560955" cy="2560955"/>
            <wp:effectExtent l="0" t="0" r="0" b="0"/>
            <wp:wrapNone/>
            <wp:docPr id="2015604683" name="Graphic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604683" name="Graphic 202">
                      <a:extLst>
                        <a:ext uri="{C183D7F6-B498-43B3-948B-1728B52AA6E4}">
                          <adec:decorative xmlns:adec="http://schemas.microsoft.com/office/drawing/2017/decorative" val="1"/>
                        </a:ext>
                      </a:extLst>
                    </pic:cNvPr>
                    <pic:cNvPicPr/>
                  </pic:nvPicPr>
                  <pic:blipFill>
                    <a:blip r:embed="rId48">
                      <a:extLst>
                        <a:ext uri="{96DAC541-7B7A-43D3-8B79-37D633B846F1}">
                          <asvg:svgBlip xmlns:asvg="http://schemas.microsoft.com/office/drawing/2016/SVG/main" r:embed="rId49"/>
                        </a:ext>
                      </a:extLst>
                    </a:blip>
                    <a:stretch>
                      <a:fillRect/>
                    </a:stretch>
                  </pic:blipFill>
                  <pic:spPr>
                    <a:xfrm>
                      <a:off x="0" y="0"/>
                      <a:ext cx="2560955" cy="2560955"/>
                    </a:xfrm>
                    <a:prstGeom prst="rect">
                      <a:avLst/>
                    </a:prstGeom>
                  </pic:spPr>
                </pic:pic>
              </a:graphicData>
            </a:graphic>
            <wp14:sizeRelH relativeFrom="page">
              <wp14:pctWidth>0</wp14:pctWidth>
            </wp14:sizeRelH>
            <wp14:sizeRelV relativeFrom="page">
              <wp14:pctHeight>0</wp14:pctHeight>
            </wp14:sizeRelV>
          </wp:anchor>
        </w:drawing>
      </w:r>
      <w:r w:rsidR="00D44BC7">
        <w:rPr>
          <w:color w:val="008142" w:themeColor="accent5"/>
        </w:rPr>
        <w:br w:type="page"/>
      </w:r>
    </w:p>
    <w:p w14:paraId="3B243C2D" w14:textId="77777777" w:rsidR="002530E3" w:rsidRDefault="002530E3" w:rsidP="00195E0F">
      <w:pPr>
        <w:pStyle w:val="Heading2"/>
        <w:rPr>
          <w:color w:val="008142" w:themeColor="accent5"/>
        </w:rPr>
      </w:pPr>
      <w:r>
        <w:rPr>
          <w:noProof/>
        </w:rPr>
        <w:lastRenderedPageBreak/>
        <w:drawing>
          <wp:inline distT="0" distB="0" distL="0" distR="0" wp14:anchorId="1C8D95F9" wp14:editId="1AD05080">
            <wp:extent cx="5639953" cy="314045"/>
            <wp:effectExtent l="0" t="0" r="0" b="3810"/>
            <wp:docPr id="452218607" name="Picture 196" descr="Domain 2 Social Determinan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18607" name="Picture 196" descr="Domain 2 Social Determinants">
                      <a:extLst>
                        <a:ext uri="{C183D7F6-B498-43B3-948B-1728B52AA6E4}">
                          <adec:decorative xmlns:adec="http://schemas.microsoft.com/office/drawing/2017/decorative" val="0"/>
                        </a:ext>
                      </a:extLst>
                    </pic:cNvPr>
                    <pic:cNvPicPr/>
                  </pic:nvPicPr>
                  <pic:blipFill rotWithShape="1">
                    <a:blip r:embed="rId50" cstate="print">
                      <a:extLst>
                        <a:ext uri="{28A0092B-C50C-407E-A947-70E740481C1C}">
                          <a14:useLocalDpi xmlns:a14="http://schemas.microsoft.com/office/drawing/2010/main" val="0"/>
                        </a:ext>
                      </a:extLst>
                    </a:blip>
                    <a:srcRect l="5840" t="37721" r="5919" b="37915"/>
                    <a:stretch>
                      <a:fillRect/>
                    </a:stretch>
                  </pic:blipFill>
                  <pic:spPr bwMode="auto">
                    <a:xfrm>
                      <a:off x="0" y="0"/>
                      <a:ext cx="5639953" cy="314045"/>
                    </a:xfrm>
                    <a:prstGeom prst="rect">
                      <a:avLst/>
                    </a:prstGeom>
                    <a:ln>
                      <a:noFill/>
                    </a:ln>
                    <a:extLst>
                      <a:ext uri="{53640926-AAD7-44D8-BBD7-CCE9431645EC}">
                        <a14:shadowObscured xmlns:a14="http://schemas.microsoft.com/office/drawing/2010/main"/>
                      </a:ext>
                    </a:extLst>
                  </pic:spPr>
                </pic:pic>
              </a:graphicData>
            </a:graphic>
          </wp:inline>
        </w:drawing>
      </w:r>
      <w:r w:rsidRPr="007D31FF" w:rsidDel="002530E3">
        <w:rPr>
          <w:color w:val="008142" w:themeColor="accent5"/>
        </w:rPr>
        <w:t xml:space="preserve"> </w:t>
      </w:r>
    </w:p>
    <w:p w14:paraId="059A62E2" w14:textId="77777777" w:rsidR="0045031E" w:rsidRDefault="00195E0F" w:rsidP="00195E0F">
      <w:pPr>
        <w:pStyle w:val="Heading2"/>
      </w:pPr>
      <w:r>
        <w:rPr>
          <w:color w:val="008143"/>
        </w:rPr>
        <w:br/>
      </w:r>
      <w:r w:rsidR="009C373F" w:rsidRPr="005A7752">
        <w:t>Overall, people with mental health conditions face greater social pressures and poorer wellbeing outcomes</w:t>
      </w:r>
    </w:p>
    <w:p w14:paraId="52EBAC27" w14:textId="445508E1" w:rsidR="009C373F" w:rsidRPr="00C67F87" w:rsidRDefault="009C373F" w:rsidP="00C67F87">
      <w:pPr>
        <w:pStyle w:val="Heading3"/>
      </w:pPr>
      <w:r w:rsidRPr="00C67F87">
        <w:t>People with mental health conditions are disproportionately experiencing loneliness and discrimination</w:t>
      </w:r>
    </w:p>
    <w:p w14:paraId="363827DD" w14:textId="456E7FF9" w:rsidR="009C373F" w:rsidRPr="0032543B" w:rsidRDefault="009C373F" w:rsidP="0032543B">
      <w:pPr>
        <w:pStyle w:val="ListBullet"/>
      </w:pPr>
      <w:r w:rsidRPr="0032543B">
        <w:t>Overall, the estimated proportion of people aged 15 and over experiencing loneliness has remained relatively steady between 2011 (15.3%) and 2024 (15.4%).</w:t>
      </w:r>
      <w:r w:rsidR="00C3448D" w:rsidRPr="00407889">
        <w:rPr>
          <w:rStyle w:val="EndnoteReference"/>
        </w:rPr>
        <w:endnoteReference w:id="5"/>
      </w:r>
    </w:p>
    <w:p w14:paraId="235E1F01" w14:textId="38F2C066" w:rsidR="009C373F" w:rsidRDefault="009C373F" w:rsidP="0032543B">
      <w:pPr>
        <w:pStyle w:val="ListBullet"/>
      </w:pPr>
      <w:r w:rsidRPr="67596D41">
        <w:t xml:space="preserve">In 2024, </w:t>
      </w:r>
      <w:r w:rsidRPr="0032543B">
        <w:rPr>
          <w:b/>
          <w:bCs/>
        </w:rPr>
        <w:t>people with a long-term mental health condition were almost 3 times as likely to report loneliness</w:t>
      </w:r>
      <w:r w:rsidRPr="67596D41">
        <w:t xml:space="preserve"> </w:t>
      </w:r>
      <w:r>
        <w:t>as</w:t>
      </w:r>
      <w:r w:rsidRPr="67596D41">
        <w:t xml:space="preserve"> those without a long-term health condition (35.0% compared with 12.2%).</w:t>
      </w:r>
      <w:r w:rsidR="00C3448D">
        <w:rPr>
          <w:rStyle w:val="EndnoteReference"/>
          <w:rFonts w:ascii="Aptos" w:hAnsi="Aptos"/>
          <w:sz w:val="22"/>
        </w:rPr>
        <w:endnoteReference w:id="6"/>
      </w:r>
    </w:p>
    <w:p w14:paraId="6CD83B68" w14:textId="0582671E" w:rsidR="009C373F" w:rsidRDefault="009C373F" w:rsidP="0032543B">
      <w:pPr>
        <w:pStyle w:val="ListBullet"/>
        <w:rPr>
          <w:rFonts w:eastAsia="Calibri"/>
        </w:rPr>
      </w:pPr>
      <w:r w:rsidRPr="67596D41">
        <w:rPr>
          <w:rFonts w:eastAsia="Calibri"/>
        </w:rPr>
        <w:t>In 2025,</w:t>
      </w:r>
      <w:r w:rsidRPr="67596D41">
        <w:rPr>
          <w:rFonts w:eastAsia="Calibri"/>
          <w:b/>
          <w:bCs/>
        </w:rPr>
        <w:t xml:space="preserve"> people with a mental health condition were almost twice as likely to experience </w:t>
      </w:r>
      <w:r w:rsidRPr="67596D41">
        <w:rPr>
          <w:rFonts w:eastAsia="Calibri"/>
        </w:rPr>
        <w:t>discrimination or be treated unfairly, compared with those without a mental health condition (31.2% and 16.3%, respectively).</w:t>
      </w:r>
      <w:r w:rsidR="00C3448D">
        <w:rPr>
          <w:rStyle w:val="EndnoteReference"/>
          <w:rFonts w:ascii="Aptos" w:eastAsia="Calibri" w:hAnsi="Aptos" w:cs="Calibri"/>
          <w:sz w:val="22"/>
        </w:rPr>
        <w:endnoteReference w:id="7"/>
      </w:r>
    </w:p>
    <w:p w14:paraId="3E6C0103" w14:textId="4586B338" w:rsidR="009C373F" w:rsidRDefault="009C373F" w:rsidP="00E20DDC">
      <w:pPr>
        <w:pStyle w:val="Heading3"/>
        <w:rPr>
          <w:lang w:eastAsia="en-AU"/>
        </w:rPr>
      </w:pPr>
      <w:r>
        <w:rPr>
          <w:lang w:eastAsia="en-AU"/>
        </w:rPr>
        <w:t>Demand for homelessness support is increasing</w:t>
      </w:r>
      <w:r w:rsidRPr="67596D41">
        <w:rPr>
          <w:lang w:eastAsia="en-AU"/>
        </w:rPr>
        <w:t xml:space="preserve"> </w:t>
      </w:r>
    </w:p>
    <w:p w14:paraId="506FB013" w14:textId="77777777" w:rsidR="009C373F" w:rsidRPr="0032543B" w:rsidRDefault="009C373F" w:rsidP="0032543B">
      <w:pPr>
        <w:pStyle w:val="ListBullet"/>
        <w:rPr>
          <w:b/>
          <w:bCs/>
        </w:rPr>
      </w:pPr>
      <w:r w:rsidRPr="67596D41">
        <w:t xml:space="preserve">Persistent homelessness is increasing in Australia, </w:t>
      </w:r>
      <w:r w:rsidRPr="0032543B">
        <w:rPr>
          <w:b/>
          <w:bCs/>
        </w:rPr>
        <w:t>with the largest growth in absolute numbers among those with a current mental health issue, alongside Aboriginal and Torres Strait Islander clients.</w:t>
      </w:r>
    </w:p>
    <w:p w14:paraId="67C29687" w14:textId="42272479" w:rsidR="009C373F" w:rsidRDefault="009C373F" w:rsidP="0032543B">
      <w:pPr>
        <w:pStyle w:val="ListBullet"/>
      </w:pPr>
      <w:r w:rsidRPr="67596D41">
        <w:t xml:space="preserve">Between 2018–19 and 2024–25, the number of Specialist Homelessness Services clients experiencing persistent homelessness rose by </w:t>
      </w:r>
      <w:r w:rsidRPr="67596D41">
        <w:rPr>
          <w:b/>
          <w:bCs/>
        </w:rPr>
        <w:t>39%</w:t>
      </w:r>
      <w:r w:rsidRPr="67596D41">
        <w:t>, from around 29,500 to 41,100 clients.</w:t>
      </w:r>
      <w:r w:rsidR="00C3448D">
        <w:rPr>
          <w:rStyle w:val="EndnoteReference"/>
          <w:rFonts w:ascii="Aptos" w:hAnsi="Aptos"/>
          <w:sz w:val="22"/>
        </w:rPr>
        <w:endnoteReference w:id="8"/>
      </w:r>
      <w:r w:rsidR="00C3448D" w:rsidRPr="67596D41">
        <w:t xml:space="preserve"> </w:t>
      </w:r>
    </w:p>
    <w:p w14:paraId="2F1599C7" w14:textId="272322D0" w:rsidR="009C373F" w:rsidRDefault="009C373F" w:rsidP="0032543B">
      <w:pPr>
        <w:pStyle w:val="ListBullet"/>
      </w:pPr>
      <w:r w:rsidRPr="67596D41">
        <w:t xml:space="preserve">In 2024-25, </w:t>
      </w:r>
      <w:r w:rsidRPr="0032543B">
        <w:rPr>
          <w:b/>
          <w:bCs/>
        </w:rPr>
        <w:t>31% of all Specialist Homelessness Services clients (around 88,800 clients) had a current mental health issue, up from 25%</w:t>
      </w:r>
      <w:r w:rsidRPr="67596D41">
        <w:t xml:space="preserve"> in 2014-15 (around 62,900 clients).</w:t>
      </w:r>
      <w:r w:rsidR="00C3448D">
        <w:rPr>
          <w:rStyle w:val="EndnoteReference"/>
          <w:rFonts w:ascii="Aptos" w:hAnsi="Aptos"/>
          <w:sz w:val="22"/>
        </w:rPr>
        <w:endnoteReference w:id="9"/>
      </w:r>
      <w:r w:rsidR="00C3448D" w:rsidRPr="67596D41">
        <w:t> </w:t>
      </w:r>
      <w:r w:rsidRPr="67596D41">
        <w:t> </w:t>
      </w:r>
    </w:p>
    <w:p w14:paraId="6AB92DE0" w14:textId="30893B07" w:rsidR="009C373F" w:rsidRDefault="009C373F" w:rsidP="00E20DDC">
      <w:pPr>
        <w:pStyle w:val="Heading3"/>
        <w:rPr>
          <w:lang w:eastAsia="en-AU"/>
        </w:rPr>
      </w:pPr>
      <w:r w:rsidRPr="67596D41">
        <w:rPr>
          <w:lang w:eastAsia="en-AU"/>
        </w:rPr>
        <w:t>Financial stress is increasing, especially for people experiencing mental health c</w:t>
      </w:r>
      <w:r>
        <w:rPr>
          <w:lang w:eastAsia="en-AU"/>
        </w:rPr>
        <w:t>onditions</w:t>
      </w:r>
    </w:p>
    <w:p w14:paraId="5D21C842" w14:textId="77777777" w:rsidR="009C373F" w:rsidRDefault="009C373F" w:rsidP="0032543B">
      <w:pPr>
        <w:pStyle w:val="ListBullet"/>
      </w:pPr>
      <w:r w:rsidRPr="67596D41">
        <w:t>In 2025, more than 1 in 5 (</w:t>
      </w:r>
      <w:r w:rsidRPr="00730AD1">
        <w:t>21.2%)</w:t>
      </w:r>
      <w:r w:rsidRPr="67596D41">
        <w:t xml:space="preserve"> people in Australia aged 15 years and over could not raise $2,000 within a week</w:t>
      </w:r>
      <w:r>
        <w:t>, a proportion</w:t>
      </w:r>
      <w:r w:rsidRPr="67596D41">
        <w:t xml:space="preserve"> which has steadily increased over time</w:t>
      </w:r>
      <w:r>
        <w:t xml:space="preserve"> </w:t>
      </w:r>
      <w:r w:rsidRPr="67596D41">
        <w:t>(</w:t>
      </w:r>
      <w:r>
        <w:t xml:space="preserve">13.1% in 2014 and 18.8% in </w:t>
      </w:r>
      <w:r w:rsidRPr="67596D41">
        <w:t>2020).</w:t>
      </w:r>
      <w:r>
        <w:rPr>
          <w:rStyle w:val="FootnoteReference"/>
          <w:rFonts w:ascii="Aptos" w:hAnsi="Aptos"/>
          <w:sz w:val="22"/>
        </w:rPr>
        <w:footnoteReference w:id="4"/>
      </w:r>
      <w:r w:rsidRPr="67596D41">
        <w:t xml:space="preserve"> </w:t>
      </w:r>
    </w:p>
    <w:p w14:paraId="40AFA96A" w14:textId="10FF0EB1" w:rsidR="00AE41CB" w:rsidRDefault="009C373F" w:rsidP="00AE41CB">
      <w:pPr>
        <w:pStyle w:val="ListBullet"/>
        <w:rPr>
          <w:b/>
          <w:bCs/>
        </w:rPr>
      </w:pPr>
      <w:r w:rsidRPr="0032543B">
        <w:t>Between 2011 and 2024, people living in areas classified as the most disadvantaged were the most likely to experience financial stress.</w:t>
      </w:r>
      <w:r w:rsidRPr="000B7778">
        <w:rPr>
          <w:rStyle w:val="FootnoteReference"/>
        </w:rPr>
        <w:footnoteReference w:id="5"/>
      </w:r>
    </w:p>
    <w:p w14:paraId="088EF3B4" w14:textId="0ED29BCC" w:rsidR="009C373F" w:rsidRPr="007140DC" w:rsidRDefault="009C373F" w:rsidP="007140DC">
      <w:pPr>
        <w:pStyle w:val="Heading3"/>
        <w:rPr>
          <w:b w:val="0"/>
        </w:rPr>
      </w:pPr>
      <w:r w:rsidRPr="007140DC">
        <w:rPr>
          <w:lang w:eastAsia="en-AU"/>
        </w:rPr>
        <w:t xml:space="preserve">We continue to see a heightened gap in financial stress for people experiencing mental health conditions.  </w:t>
      </w:r>
    </w:p>
    <w:p w14:paraId="6F27EE65" w14:textId="29E36988" w:rsidR="009C373F" w:rsidRDefault="009C373F" w:rsidP="007140DC">
      <w:pPr>
        <w:pStyle w:val="ListBullet"/>
      </w:pPr>
      <w:r w:rsidRPr="00C633E8">
        <w:t>In 2025, almost 1 in 3 (31.6%) people who had a mental health condition could not raise $2,000 within a week</w:t>
      </w:r>
      <w:r w:rsidRPr="67596D41">
        <w:t xml:space="preserve">, compared with almost </w:t>
      </w:r>
      <w:r w:rsidRPr="006C771D">
        <w:t>1 in 5 (19.6%) people</w:t>
      </w:r>
      <w:r w:rsidRPr="67596D41">
        <w:t xml:space="preserve"> who d</w:t>
      </w:r>
      <w:r>
        <w:t>id</w:t>
      </w:r>
      <w:r w:rsidRPr="67596D41">
        <w:t xml:space="preserve"> not have a mental health condition. </w:t>
      </w:r>
      <w:r w:rsidRPr="67596D41">
        <w:rPr>
          <w:b/>
          <w:bCs/>
        </w:rPr>
        <w:t>This gap has not improved</w:t>
      </w:r>
      <w:r w:rsidRPr="67596D41">
        <w:t xml:space="preserve"> compared to previous years.</w:t>
      </w:r>
      <w:r w:rsidR="00B36A7F">
        <w:rPr>
          <w:rStyle w:val="EndnoteReference"/>
        </w:rPr>
        <w:endnoteReference w:id="10"/>
      </w:r>
    </w:p>
    <w:p w14:paraId="7CA0AC04" w14:textId="65E7EF64" w:rsidR="0072793F" w:rsidRDefault="00C00D1D" w:rsidP="00195E0F">
      <w:pPr>
        <w:pStyle w:val="Heading2"/>
      </w:pPr>
      <w:r>
        <w:rPr>
          <w:noProof/>
        </w:rPr>
        <w:drawing>
          <wp:anchor distT="0" distB="0" distL="114300" distR="114300" simplePos="0" relativeHeight="251826318" behindDoc="0" locked="0" layoutInCell="1" allowOverlap="1" wp14:anchorId="455EFE13" wp14:editId="2210EB03">
            <wp:simplePos x="0" y="0"/>
            <wp:positionH relativeFrom="column">
              <wp:posOffset>3552731</wp:posOffset>
            </wp:positionH>
            <wp:positionV relativeFrom="paragraph">
              <wp:posOffset>321945</wp:posOffset>
            </wp:positionV>
            <wp:extent cx="2560955" cy="2560955"/>
            <wp:effectExtent l="0" t="0" r="0" b="0"/>
            <wp:wrapNone/>
            <wp:docPr id="892068453" name="Graphic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68453" name="Graphic 202">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2560955" cy="2560955"/>
                    </a:xfrm>
                    <a:prstGeom prst="rect">
                      <a:avLst/>
                    </a:prstGeom>
                  </pic:spPr>
                </pic:pic>
              </a:graphicData>
            </a:graphic>
            <wp14:sizeRelH relativeFrom="page">
              <wp14:pctWidth>0</wp14:pctWidth>
            </wp14:sizeRelH>
            <wp14:sizeRelV relativeFrom="page">
              <wp14:pctHeight>0</wp14:pctHeight>
            </wp14:sizeRelV>
          </wp:anchor>
        </w:drawing>
      </w:r>
      <w:r w:rsidR="00D44BC7">
        <w:rPr>
          <w:color w:val="008142" w:themeColor="accent5"/>
        </w:rPr>
        <w:br w:type="page"/>
      </w:r>
      <w:r w:rsidR="0072793F">
        <w:rPr>
          <w:noProof/>
        </w:rPr>
        <w:lastRenderedPageBreak/>
        <w:drawing>
          <wp:inline distT="0" distB="0" distL="0" distR="0" wp14:anchorId="0ED1CDB0" wp14:editId="25634500">
            <wp:extent cx="5639953" cy="314045"/>
            <wp:effectExtent l="0" t="0" r="0" b="3810"/>
            <wp:docPr id="1139678762" name="Picture 196" descr="Domain 3 Mental Health Syste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78762" name="Picture 196" descr="Domain 3 Mental Health System">
                      <a:extLst>
                        <a:ext uri="{C183D7F6-B498-43B3-948B-1728B52AA6E4}">
                          <adec:decorative xmlns:adec="http://schemas.microsoft.com/office/drawing/2017/decorative" val="0"/>
                        </a:ext>
                      </a:extLst>
                    </pic:cNvPr>
                    <pic:cNvPicPr/>
                  </pic:nvPicPr>
                  <pic:blipFill rotWithShape="1">
                    <a:blip r:embed="rId53" cstate="print">
                      <a:extLst>
                        <a:ext uri="{28A0092B-C50C-407E-A947-70E740481C1C}">
                          <a14:useLocalDpi xmlns:a14="http://schemas.microsoft.com/office/drawing/2010/main" val="0"/>
                        </a:ext>
                      </a:extLst>
                    </a:blip>
                    <a:srcRect l="5756" t="37706" r="5977" b="37924"/>
                    <a:stretch>
                      <a:fillRect/>
                    </a:stretch>
                  </pic:blipFill>
                  <pic:spPr bwMode="auto">
                    <a:xfrm>
                      <a:off x="0" y="0"/>
                      <a:ext cx="5639953" cy="314045"/>
                    </a:xfrm>
                    <a:prstGeom prst="rect">
                      <a:avLst/>
                    </a:prstGeom>
                    <a:ln>
                      <a:noFill/>
                    </a:ln>
                    <a:extLst>
                      <a:ext uri="{53640926-AAD7-44D8-BBD7-CCE9431645EC}">
                        <a14:shadowObscured xmlns:a14="http://schemas.microsoft.com/office/drawing/2010/main"/>
                      </a:ext>
                    </a:extLst>
                  </pic:spPr>
                </pic:pic>
              </a:graphicData>
            </a:graphic>
          </wp:inline>
        </w:drawing>
      </w:r>
      <w:r w:rsidR="00195E0F">
        <w:br/>
      </w:r>
    </w:p>
    <w:p w14:paraId="3839B8E5" w14:textId="43E328CA" w:rsidR="009C373F" w:rsidRPr="00B13350" w:rsidRDefault="009C373F" w:rsidP="00195E0F">
      <w:pPr>
        <w:pStyle w:val="Heading2"/>
      </w:pPr>
      <w:r w:rsidRPr="00B13350">
        <w:t xml:space="preserve">The service system is doing more, but uneven access, system fragmentation, workforce pressures and data gaps limit impact and opportunity to improve </w:t>
      </w:r>
    </w:p>
    <w:p w14:paraId="1976FD90" w14:textId="77777777" w:rsidR="009C373F" w:rsidRPr="0032543B" w:rsidRDefault="009C373F" w:rsidP="00E20DDC">
      <w:pPr>
        <w:pStyle w:val="Heading3"/>
      </w:pPr>
      <w:r w:rsidRPr="0032543B">
        <w:t xml:space="preserve">There are indications that service use is increasing, alongside investment, but we need a clearer picture of whether this is meeting need </w:t>
      </w:r>
    </w:p>
    <w:p w14:paraId="04EA4506" w14:textId="3A4324DA" w:rsidR="009C373F" w:rsidRPr="00A02679" w:rsidRDefault="009C373F" w:rsidP="00A0571A">
      <w:pPr>
        <w:pStyle w:val="ListBullet"/>
      </w:pPr>
      <w:r w:rsidRPr="00A02679">
        <w:t xml:space="preserve">For example, between 2013-14 and 2023-24 there was </w:t>
      </w:r>
      <w:r w:rsidRPr="00BE207D">
        <w:rPr>
          <w:b/>
          <w:bCs/>
        </w:rPr>
        <w:t>an increase</w:t>
      </w:r>
      <w:r w:rsidRPr="00A02679">
        <w:t xml:space="preserve"> in the proportion of Australians who received one or more Medicare/Department of Veterans’ Affairs subsidised mental health-related services (from 8.4% to 10.6% of the population).</w:t>
      </w:r>
      <w:r w:rsidR="001E236C">
        <w:rPr>
          <w:rStyle w:val="EndnoteReference"/>
        </w:rPr>
        <w:endnoteReference w:id="11"/>
      </w:r>
    </w:p>
    <w:p w14:paraId="3EB3ABF4" w14:textId="1990FC86" w:rsidR="009C373F" w:rsidRPr="00A02679" w:rsidRDefault="009C373F" w:rsidP="00A02679">
      <w:pPr>
        <w:pStyle w:val="ListBullet"/>
      </w:pPr>
      <w:r w:rsidRPr="00A02679">
        <w:t xml:space="preserve">Over the same period, we have seen increased government spending on mental health-related services from $10.7 billion to $14.5 billion, representing </w:t>
      </w:r>
      <w:r w:rsidRPr="00DA1A3B">
        <w:rPr>
          <w:b/>
          <w:bCs/>
        </w:rPr>
        <w:t>an increase of 35% in real terms</w:t>
      </w:r>
      <w:r w:rsidRPr="00A02679">
        <w:t>. Over this period, per capita spending increased from $460 to $537.</w:t>
      </w:r>
      <w:r w:rsidR="00A71FC3" w:rsidRPr="00A02679">
        <w:rPr>
          <w:vertAlign w:val="superscript"/>
        </w:rPr>
        <w:endnoteReference w:id="12"/>
      </w:r>
    </w:p>
    <w:p w14:paraId="0DD8964C" w14:textId="0DD7ADAB" w:rsidR="009C373F" w:rsidRPr="0032543B" w:rsidRDefault="009C373F" w:rsidP="009F46B4">
      <w:pPr>
        <w:pStyle w:val="Heading2"/>
      </w:pPr>
      <w:r w:rsidRPr="0032543B">
        <w:t>Despite growth in services, access still depends on where you live and your circumstances </w:t>
      </w:r>
    </w:p>
    <w:p w14:paraId="490A8F3E" w14:textId="77777777" w:rsidR="009C373F" w:rsidRDefault="009C373F" w:rsidP="00E20DDC">
      <w:pPr>
        <w:pStyle w:val="Heading3"/>
      </w:pPr>
      <w:r w:rsidRPr="67596D41">
        <w:t>In 2024-25:</w:t>
      </w:r>
    </w:p>
    <w:p w14:paraId="352608C1" w14:textId="2EDEE20E" w:rsidR="009C373F" w:rsidRPr="0032543B" w:rsidRDefault="009C373F" w:rsidP="0032543B">
      <w:pPr>
        <w:pStyle w:val="ListBullet"/>
      </w:pPr>
      <w:r w:rsidRPr="0032543B">
        <w:rPr>
          <w:b/>
          <w:bCs/>
        </w:rPr>
        <w:t>People living in Major cities still used Medicare mental health-related services at a higher rate</w:t>
      </w:r>
      <w:r w:rsidRPr="0032543B">
        <w:t xml:space="preserve"> (507 mental health services per 1,000 </w:t>
      </w:r>
      <w:r w:rsidR="00977D8D">
        <w:t>people</w:t>
      </w:r>
      <w:r w:rsidR="0088783C">
        <w:t xml:space="preserve"> </w:t>
      </w:r>
      <w:r w:rsidRPr="0032543B">
        <w:t>living in Major cities), compared to the rate for the overall population (473 mental health services per 1,000 of Australian</w:t>
      </w:r>
      <w:r w:rsidR="00F37174">
        <w:t>s</w:t>
      </w:r>
      <w:r w:rsidRPr="0032543B">
        <w:t>).</w:t>
      </w:r>
      <w:r w:rsidR="00A71FC3" w:rsidRPr="000F3ED5">
        <w:rPr>
          <w:rStyle w:val="EndnoteReference"/>
        </w:rPr>
        <w:endnoteReference w:id="13"/>
      </w:r>
    </w:p>
    <w:p w14:paraId="6FBCE536" w14:textId="262E2089" w:rsidR="009C373F" w:rsidRPr="0032543B" w:rsidRDefault="009C373F" w:rsidP="00A0571A">
      <w:pPr>
        <w:pStyle w:val="ListBullet"/>
      </w:pPr>
      <w:r w:rsidRPr="0032543B">
        <w:t xml:space="preserve">This contrasts sharply to </w:t>
      </w:r>
      <w:r w:rsidRPr="0032543B">
        <w:rPr>
          <w:b/>
          <w:bCs/>
        </w:rPr>
        <w:t xml:space="preserve">people living in Remote/Very remote areas, who used these services at a much lower rate (156 mental health services per 1,000 </w:t>
      </w:r>
      <w:r w:rsidR="00977D8D">
        <w:rPr>
          <w:b/>
          <w:bCs/>
        </w:rPr>
        <w:t>people</w:t>
      </w:r>
      <w:r w:rsidR="00990665">
        <w:rPr>
          <w:b/>
          <w:bCs/>
        </w:rPr>
        <w:t xml:space="preserve"> </w:t>
      </w:r>
      <w:r w:rsidRPr="0032543B">
        <w:rPr>
          <w:b/>
          <w:bCs/>
        </w:rPr>
        <w:t>living in Remote/Very remote areas).</w:t>
      </w:r>
      <w:r w:rsidR="00552787" w:rsidRPr="007140DC">
        <w:rPr>
          <w:rStyle w:val="EndnoteReference"/>
        </w:rPr>
        <w:endnoteReference w:id="14"/>
      </w:r>
    </w:p>
    <w:p w14:paraId="3CB240E1" w14:textId="5387C24F" w:rsidR="009C373F" w:rsidRDefault="009C373F" w:rsidP="000910CC">
      <w:pPr>
        <w:pStyle w:val="ListBullet"/>
      </w:pPr>
      <w:r w:rsidRPr="67596D41">
        <w:t xml:space="preserve">During 2024-25, </w:t>
      </w:r>
      <w:r w:rsidRPr="67596D41">
        <w:rPr>
          <w:b/>
          <w:bCs/>
        </w:rPr>
        <w:t xml:space="preserve">people living in the most disadvantaged areas </w:t>
      </w:r>
      <w:r>
        <w:rPr>
          <w:b/>
          <w:bCs/>
        </w:rPr>
        <w:t>used</w:t>
      </w:r>
      <w:r w:rsidRPr="67596D41">
        <w:rPr>
          <w:b/>
          <w:bCs/>
        </w:rPr>
        <w:t xml:space="preserve"> fewer Medicare mental health-related services</w:t>
      </w:r>
      <w:r w:rsidRPr="67596D41">
        <w:t xml:space="preserve"> (300 services per 1,000 </w:t>
      </w:r>
      <w:r>
        <w:t>people living in areas classified as SEIFA Quintile 1</w:t>
      </w:r>
      <w:r w:rsidRPr="67596D41">
        <w:t xml:space="preserve">), compared to people </w:t>
      </w:r>
      <w:r w:rsidRPr="00525A3B">
        <w:t>living</w:t>
      </w:r>
      <w:r w:rsidRPr="67596D41">
        <w:t xml:space="preserve"> in areas of least disadvantage </w:t>
      </w:r>
      <w:r w:rsidRPr="67596D41">
        <w:rPr>
          <w:b/>
          <w:bCs/>
        </w:rPr>
        <w:t>who</w:t>
      </w:r>
      <w:r>
        <w:rPr>
          <w:b/>
          <w:bCs/>
        </w:rPr>
        <w:t xml:space="preserve"> used services at more than twice this rate</w:t>
      </w:r>
      <w:r w:rsidRPr="67596D41">
        <w:t xml:space="preserve"> (710 services per 1,000 </w:t>
      </w:r>
      <w:r>
        <w:t>people living in areas classified as SEIFA Quintile 5</w:t>
      </w:r>
      <w:r w:rsidRPr="67596D41">
        <w:t xml:space="preserve">). </w:t>
      </w:r>
    </w:p>
    <w:p w14:paraId="631BCB37" w14:textId="52A2F013" w:rsidR="009C373F" w:rsidRPr="000D1C5F" w:rsidRDefault="009C373F" w:rsidP="000D1C5F">
      <w:r w:rsidRPr="67596D41">
        <w:t>At the same time, people living in the most disadvantaged areas had </w:t>
      </w:r>
      <w:r w:rsidRPr="67596D41">
        <w:rPr>
          <w:b/>
          <w:bCs/>
        </w:rPr>
        <w:t>higher rates</w:t>
      </w:r>
      <w:r w:rsidRPr="67596D41">
        <w:t xml:space="preserve"> of mental health-related </w:t>
      </w:r>
      <w:r>
        <w:rPr>
          <w:b/>
          <w:bCs/>
        </w:rPr>
        <w:t>e</w:t>
      </w:r>
      <w:r w:rsidRPr="67596D41">
        <w:rPr>
          <w:b/>
          <w:bCs/>
        </w:rPr>
        <w:t xml:space="preserve">mergency </w:t>
      </w:r>
      <w:r>
        <w:rPr>
          <w:b/>
          <w:bCs/>
        </w:rPr>
        <w:t>d</w:t>
      </w:r>
      <w:r w:rsidRPr="67596D41">
        <w:rPr>
          <w:b/>
          <w:bCs/>
        </w:rPr>
        <w:t>epartment</w:t>
      </w:r>
      <w:r>
        <w:rPr>
          <w:b/>
          <w:bCs/>
        </w:rPr>
        <w:t xml:space="preserve"> (ED)</w:t>
      </w:r>
      <w:r w:rsidRPr="67596D41">
        <w:rPr>
          <w:b/>
          <w:bCs/>
        </w:rPr>
        <w:t xml:space="preserve"> presentations </w:t>
      </w:r>
      <w:r w:rsidRPr="67596D41">
        <w:t>(155 per 10,000</w:t>
      </w:r>
      <w:r w:rsidR="009827C1">
        <w:t xml:space="preserve"> </w:t>
      </w:r>
      <w:r w:rsidR="00977D8D">
        <w:t>people</w:t>
      </w:r>
      <w:r w:rsidRPr="67596D41">
        <w:t xml:space="preserve">), compared to people living in the least disadvantaged areas who had the lowest </w:t>
      </w:r>
      <w:r w:rsidRPr="00EF694A">
        <w:t>rates (72 per 10,000</w:t>
      </w:r>
      <w:r w:rsidR="009827C1" w:rsidRPr="00EF694A">
        <w:t xml:space="preserve"> </w:t>
      </w:r>
      <w:r w:rsidR="00977D8D" w:rsidRPr="00EF694A">
        <w:t>people</w:t>
      </w:r>
      <w:r w:rsidRPr="00EF694A">
        <w:t>).</w:t>
      </w:r>
      <w:r w:rsidR="00B36A7F" w:rsidRPr="007140DC">
        <w:rPr>
          <w:rStyle w:val="EndnoteReference"/>
        </w:rPr>
        <w:endnoteReference w:id="15"/>
      </w:r>
      <w:r w:rsidRPr="00EF694A">
        <w:t> This</w:t>
      </w:r>
      <w:r w:rsidRPr="00381908">
        <w:t xml:space="preserve"> can be a sign that early access to community or hospital-based services is lacking, and warrants further exploration.</w:t>
      </w:r>
    </w:p>
    <w:p w14:paraId="3C4FEC1A" w14:textId="10A086E5" w:rsidR="009C373F" w:rsidRPr="0056672B" w:rsidRDefault="009C373F" w:rsidP="000B123E">
      <w:pPr>
        <w:pStyle w:val="Heading2"/>
        <w:rPr>
          <w:color w:val="008143"/>
        </w:rPr>
      </w:pPr>
      <w:r w:rsidRPr="0038366D">
        <w:t>Mental health-related emergency department presentations are not decreasing overall, and people are waiting longer to be seen</w:t>
      </w:r>
      <w:r w:rsidRPr="0038366D">
        <w:rPr>
          <w:bCs/>
        </w:rPr>
        <w:t> </w:t>
      </w:r>
    </w:p>
    <w:p w14:paraId="6121633B" w14:textId="491ECF91" w:rsidR="009C373F" w:rsidRPr="009626B7" w:rsidRDefault="009C373F" w:rsidP="006813F4">
      <w:pPr>
        <w:pStyle w:val="ListBullet"/>
      </w:pPr>
      <w:r w:rsidRPr="009626B7">
        <w:t xml:space="preserve">Nationally, </w:t>
      </w:r>
      <w:r w:rsidRPr="00633739">
        <w:t>mental health-related</w:t>
      </w:r>
      <w:r>
        <w:t xml:space="preserve"> ED</w:t>
      </w:r>
      <w:r w:rsidRPr="00633739">
        <w:t xml:space="preserve"> presentation</w:t>
      </w:r>
      <w:r>
        <w:t xml:space="preserve"> rates decreased from </w:t>
      </w:r>
      <w:r w:rsidRPr="00633739">
        <w:t>121 presentations per 10,000</w:t>
      </w:r>
      <w:r w:rsidR="00977D8D">
        <w:t xml:space="preserve"> people</w:t>
      </w:r>
      <w:r>
        <w:t xml:space="preserve"> in 2020-21 to 109 in 2021-22 and remained stable in 2022-23, before increasing again to 116 presentations per 10,000</w:t>
      </w:r>
      <w:r w:rsidR="00977D8D">
        <w:t xml:space="preserve"> people</w:t>
      </w:r>
      <w:r>
        <w:t xml:space="preserve"> in 2024-25.</w:t>
      </w:r>
      <w:r w:rsidRPr="00633739">
        <w:t xml:space="preserve"> </w:t>
      </w:r>
    </w:p>
    <w:p w14:paraId="734F7749" w14:textId="4FE0ED9B" w:rsidR="009C373F" w:rsidRPr="00633739" w:rsidRDefault="009C373F" w:rsidP="006813F4">
      <w:pPr>
        <w:pStyle w:val="ListBullet"/>
        <w:rPr>
          <w:rFonts w:eastAsiaTheme="minorEastAsia"/>
        </w:rPr>
      </w:pPr>
      <w:r>
        <w:rPr>
          <w:rFonts w:eastAsiaTheme="minorEastAsia"/>
        </w:rPr>
        <w:t>The proportion of</w:t>
      </w:r>
      <w:r w:rsidRPr="00633739">
        <w:rPr>
          <w:rFonts w:eastAsiaTheme="minorEastAsia"/>
        </w:rPr>
        <w:t xml:space="preserve"> mental health</w:t>
      </w:r>
      <w:r>
        <w:rPr>
          <w:rFonts w:eastAsiaTheme="minorEastAsia"/>
        </w:rPr>
        <w:t>-related</w:t>
      </w:r>
      <w:r w:rsidRPr="00633739">
        <w:rPr>
          <w:rFonts w:eastAsiaTheme="minorEastAsia"/>
        </w:rPr>
        <w:t xml:space="preserve"> </w:t>
      </w:r>
      <w:r>
        <w:rPr>
          <w:rFonts w:eastAsiaTheme="minorEastAsia"/>
        </w:rPr>
        <w:t xml:space="preserve">ED </w:t>
      </w:r>
      <w:r w:rsidRPr="00633739">
        <w:rPr>
          <w:rFonts w:eastAsiaTheme="minorEastAsia"/>
        </w:rPr>
        <w:t xml:space="preserve">presentations </w:t>
      </w:r>
      <w:r w:rsidRPr="00633739">
        <w:rPr>
          <w:rFonts w:eastAsiaTheme="minorEastAsia"/>
          <w:b/>
          <w:bCs/>
        </w:rPr>
        <w:t xml:space="preserve">being seen on time has decreased from 71% during 2014-15 to </w:t>
      </w:r>
      <w:r w:rsidRPr="00633739">
        <w:rPr>
          <w:rFonts w:eastAsiaTheme="minorEastAsia"/>
          <w:b/>
        </w:rPr>
        <w:t>60% during 2023-24</w:t>
      </w:r>
      <w:r w:rsidRPr="00633739">
        <w:rPr>
          <w:rFonts w:eastAsiaTheme="minorEastAsia"/>
        </w:rPr>
        <w:t>.</w:t>
      </w:r>
      <w:r w:rsidR="009B0ECD">
        <w:rPr>
          <w:rStyle w:val="EndnoteReference"/>
          <w:rFonts w:eastAsiaTheme="minorEastAsia"/>
        </w:rPr>
        <w:endnoteReference w:id="16"/>
      </w:r>
    </w:p>
    <w:p w14:paraId="4AA01AF0" w14:textId="4A39118D" w:rsidR="009C373F" w:rsidRDefault="009C373F" w:rsidP="009F46B4">
      <w:pPr>
        <w:pStyle w:val="Heading2"/>
      </w:pPr>
      <w:r w:rsidRPr="67596D41">
        <w:t>Cost remains a persistent barrier to care</w:t>
      </w:r>
    </w:p>
    <w:p w14:paraId="7B3646EB" w14:textId="656B1AFA" w:rsidR="009C373F" w:rsidRDefault="009C373F" w:rsidP="006813F4">
      <w:pPr>
        <w:pStyle w:val="ListBullet"/>
      </w:pPr>
      <w:r w:rsidRPr="67596D41">
        <w:t>The proportion of people aged 15 years and older indicating cost as a reason for not seeing a mental health professional</w:t>
      </w:r>
      <w:r>
        <w:rPr>
          <w:rStyle w:val="FootnoteReference"/>
          <w:rFonts w:ascii="Aptos" w:hAnsi="Aptos"/>
          <w:sz w:val="22"/>
        </w:rPr>
        <w:footnoteReference w:id="6"/>
      </w:r>
      <w:r w:rsidRPr="67596D41">
        <w:t xml:space="preserve"> </w:t>
      </w:r>
      <w:r w:rsidRPr="67596D41">
        <w:rPr>
          <w:b/>
          <w:bCs/>
        </w:rPr>
        <w:t>increased from 12% during 2020-2021 to 20% during 2024-2025</w:t>
      </w:r>
      <w:r>
        <w:rPr>
          <w:b/>
          <w:bCs/>
        </w:rPr>
        <w:t>.</w:t>
      </w:r>
      <w:r w:rsidR="00A71FC3">
        <w:rPr>
          <w:rStyle w:val="EndnoteReference"/>
          <w:rFonts w:ascii="Aptos" w:hAnsi="Aptos"/>
          <w:sz w:val="22"/>
        </w:rPr>
        <w:endnoteReference w:id="17"/>
      </w:r>
      <w:r w:rsidR="00A71FC3" w:rsidRPr="67596D41">
        <w:t xml:space="preserve"> </w:t>
      </w:r>
    </w:p>
    <w:p w14:paraId="72FDD677" w14:textId="030831F2" w:rsidR="00011374" w:rsidRPr="00011374" w:rsidRDefault="009C373F" w:rsidP="00011374">
      <w:pPr>
        <w:pStyle w:val="ListBullet"/>
      </w:pPr>
      <w:r w:rsidRPr="67596D41">
        <w:t>In 2024-25, people aged 25-34 and people living in areas of most disadvantage were more likely to report cost as a reason for not seeing a mental health professional when needed</w:t>
      </w:r>
      <w:r w:rsidR="00F306F9">
        <w:t>.</w:t>
      </w:r>
      <w:r w:rsidR="001C41D1">
        <w:rPr>
          <w:rStyle w:val="EndnoteReference"/>
        </w:rPr>
        <w:endnoteReference w:id="18"/>
      </w:r>
    </w:p>
    <w:p w14:paraId="2E71DAB0" w14:textId="0B873636" w:rsidR="009C373F" w:rsidRPr="006813F4" w:rsidRDefault="009C373F" w:rsidP="009F46B4">
      <w:pPr>
        <w:pStyle w:val="Heading2"/>
      </w:pPr>
      <w:r w:rsidRPr="006813F4">
        <w:lastRenderedPageBreak/>
        <w:t>The mental health workforce is growing*, but still projected to fall short of need</w:t>
      </w:r>
    </w:p>
    <w:p w14:paraId="60DF4D5B" w14:textId="77777777" w:rsidR="009C373F" w:rsidRPr="006813F4" w:rsidRDefault="009C373F" w:rsidP="00D6428B">
      <w:pPr>
        <w:pStyle w:val="NormalBeforeBullet"/>
      </w:pPr>
      <w:r w:rsidRPr="006813F4">
        <w:t>Between 2015 and 2024 we saw:</w:t>
      </w:r>
    </w:p>
    <w:p w14:paraId="71A77778" w14:textId="2F62EB1D" w:rsidR="009C373F" w:rsidRDefault="00DF1109" w:rsidP="006813F4">
      <w:pPr>
        <w:pStyle w:val="ListBullet"/>
        <w:rPr>
          <w:rFonts w:eastAsiaTheme="minorEastAsia"/>
        </w:rPr>
      </w:pPr>
      <w:r>
        <w:rPr>
          <w:rFonts w:eastAsiaTheme="minorEastAsia"/>
          <w:lang w:val="en-GB"/>
        </w:rPr>
        <w:t>Growth in t</w:t>
      </w:r>
      <w:r w:rsidR="009C373F" w:rsidRPr="67596D41">
        <w:rPr>
          <w:rFonts w:eastAsiaTheme="minorEastAsia"/>
          <w:lang w:val="en-GB"/>
        </w:rPr>
        <w:t xml:space="preserve">he full-time equivalent </w:t>
      </w:r>
      <w:r w:rsidR="009C373F">
        <w:rPr>
          <w:rFonts w:eastAsiaTheme="minorEastAsia"/>
          <w:lang w:val="en-GB"/>
        </w:rPr>
        <w:t xml:space="preserve">(FTE) </w:t>
      </w:r>
      <w:r>
        <w:rPr>
          <w:rFonts w:eastAsiaTheme="minorEastAsia"/>
          <w:lang w:val="en-GB"/>
        </w:rPr>
        <w:t>rate per 100,000 people</w:t>
      </w:r>
      <w:r w:rsidR="009C373F" w:rsidRPr="67596D41">
        <w:rPr>
          <w:rFonts w:eastAsiaTheme="minorEastAsia"/>
          <w:lang w:val="en-GB"/>
        </w:rPr>
        <w:t xml:space="preserve"> for </w:t>
      </w:r>
      <w:r w:rsidR="009C373F">
        <w:rPr>
          <w:rFonts w:eastAsiaTheme="minorEastAsia"/>
          <w:lang w:val="en-GB"/>
        </w:rPr>
        <w:t>mental health occupational therapists (43%</w:t>
      </w:r>
      <w:r w:rsidR="008627D9">
        <w:rPr>
          <w:rFonts w:eastAsiaTheme="minorEastAsia"/>
          <w:lang w:val="en-GB"/>
        </w:rPr>
        <w:t xml:space="preserve"> increase from 7 to 10</w:t>
      </w:r>
      <w:r w:rsidR="009C373F">
        <w:rPr>
          <w:rFonts w:eastAsiaTheme="minorEastAsia"/>
          <w:lang w:val="en-GB"/>
        </w:rPr>
        <w:t xml:space="preserve">), </w:t>
      </w:r>
      <w:r w:rsidR="009C373F" w:rsidRPr="67596D41">
        <w:rPr>
          <w:rFonts w:eastAsiaTheme="minorEastAsia"/>
          <w:lang w:val="en-GB"/>
        </w:rPr>
        <w:t>psychologists</w:t>
      </w:r>
      <w:r w:rsidR="009C373F">
        <w:rPr>
          <w:rFonts w:eastAsiaTheme="minorEastAsia"/>
          <w:lang w:val="en-GB"/>
        </w:rPr>
        <w:t xml:space="preserve"> (28%</w:t>
      </w:r>
      <w:r w:rsidR="008627D9">
        <w:rPr>
          <w:rFonts w:eastAsiaTheme="minorEastAsia"/>
          <w:lang w:val="en-GB"/>
        </w:rPr>
        <w:t xml:space="preserve"> increase from 88 to 113</w:t>
      </w:r>
      <w:r w:rsidR="009C373F">
        <w:rPr>
          <w:rFonts w:eastAsiaTheme="minorEastAsia"/>
          <w:lang w:val="en-GB"/>
        </w:rPr>
        <w:t>)</w:t>
      </w:r>
      <w:r w:rsidR="009C373F" w:rsidRPr="67596D41">
        <w:rPr>
          <w:rFonts w:eastAsiaTheme="minorEastAsia"/>
          <w:lang w:val="en-GB"/>
        </w:rPr>
        <w:t>, mental health nurses</w:t>
      </w:r>
      <w:r w:rsidR="009C373F">
        <w:rPr>
          <w:rFonts w:eastAsiaTheme="minorEastAsia"/>
          <w:lang w:val="en-GB"/>
        </w:rPr>
        <w:t xml:space="preserve"> (20%</w:t>
      </w:r>
      <w:r w:rsidR="008627D9">
        <w:rPr>
          <w:rFonts w:eastAsiaTheme="minorEastAsia"/>
          <w:lang w:val="en-GB"/>
        </w:rPr>
        <w:t xml:space="preserve"> from 84</w:t>
      </w:r>
      <w:r w:rsidR="00750625">
        <w:rPr>
          <w:rFonts w:eastAsiaTheme="minorEastAsia"/>
          <w:lang w:val="en-GB"/>
        </w:rPr>
        <w:t xml:space="preserve"> to 101</w:t>
      </w:r>
      <w:r w:rsidR="009C373F">
        <w:rPr>
          <w:rFonts w:eastAsiaTheme="minorEastAsia"/>
          <w:lang w:val="en-GB"/>
        </w:rPr>
        <w:t>)</w:t>
      </w:r>
      <w:r w:rsidR="009C373F" w:rsidRPr="67596D41">
        <w:rPr>
          <w:rFonts w:eastAsiaTheme="minorEastAsia"/>
          <w:lang w:val="en-GB"/>
        </w:rPr>
        <w:t xml:space="preserve">, </w:t>
      </w:r>
      <w:r w:rsidR="009C373F">
        <w:rPr>
          <w:rFonts w:eastAsiaTheme="minorEastAsia"/>
          <w:lang w:val="en-GB"/>
        </w:rPr>
        <w:t>and</w:t>
      </w:r>
      <w:r w:rsidR="009C373F" w:rsidRPr="67596D41">
        <w:rPr>
          <w:rFonts w:eastAsiaTheme="minorEastAsia"/>
          <w:lang w:val="en-GB"/>
        </w:rPr>
        <w:t xml:space="preserve"> psychiatrists</w:t>
      </w:r>
      <w:r w:rsidR="009C373F">
        <w:rPr>
          <w:rFonts w:eastAsiaTheme="minorEastAsia"/>
          <w:lang w:val="en-GB"/>
        </w:rPr>
        <w:t xml:space="preserve"> (15%</w:t>
      </w:r>
      <w:r w:rsidR="00750625">
        <w:rPr>
          <w:rFonts w:eastAsiaTheme="minorEastAsia"/>
          <w:lang w:val="en-GB"/>
        </w:rPr>
        <w:t xml:space="preserve"> increase from 13 to 15</w:t>
      </w:r>
      <w:r w:rsidR="009C373F">
        <w:rPr>
          <w:rFonts w:eastAsiaTheme="minorEastAsia"/>
          <w:lang w:val="en-GB"/>
        </w:rPr>
        <w:t>)</w:t>
      </w:r>
      <w:r w:rsidR="009C373F" w:rsidRPr="67596D41">
        <w:rPr>
          <w:rFonts w:eastAsiaTheme="minorEastAsia"/>
          <w:lang w:val="en-GB"/>
        </w:rPr>
        <w:t>.</w:t>
      </w:r>
      <w:r w:rsidR="00A71FC3">
        <w:rPr>
          <w:rStyle w:val="EndnoteReference"/>
          <w:rFonts w:ascii="Aptos" w:eastAsiaTheme="minorEastAsia" w:hAnsi="Aptos"/>
          <w:sz w:val="22"/>
          <w:szCs w:val="22"/>
        </w:rPr>
        <w:endnoteReference w:id="19"/>
      </w:r>
    </w:p>
    <w:p w14:paraId="409F2783" w14:textId="77777777" w:rsidR="009C373F" w:rsidRDefault="009C373F" w:rsidP="006813F4">
      <w:pPr>
        <w:pStyle w:val="ListBullet"/>
        <w:rPr>
          <w:rFonts w:eastAsiaTheme="minorEastAsia"/>
        </w:rPr>
      </w:pPr>
      <w:r w:rsidRPr="67596D41">
        <w:rPr>
          <w:rFonts w:eastAsiaTheme="minorEastAsia"/>
        </w:rPr>
        <w:t>However, future gaps in supply are projected for psychiatrists and psychologists</w:t>
      </w:r>
      <w:r>
        <w:rPr>
          <w:rFonts w:eastAsiaTheme="minorEastAsia"/>
        </w:rPr>
        <w:t>.</w:t>
      </w:r>
    </w:p>
    <w:p w14:paraId="34BB9C3D" w14:textId="77777777" w:rsidR="009C373F" w:rsidRPr="006813F4" w:rsidRDefault="009C373F" w:rsidP="006813F4">
      <w:pPr>
        <w:rPr>
          <w:i/>
          <w:iCs/>
        </w:rPr>
      </w:pPr>
      <w:r w:rsidRPr="006813F4">
        <w:rPr>
          <w:i/>
          <w:iCs/>
        </w:rPr>
        <w:t>*Most of our national data represents care delivered in publicly funded settings and does not represent the full quantum or breadth of the workforce. The contributions of the peer workforce and their impact is growing, with work underway to increase knowledge and data about this sector. </w:t>
      </w:r>
    </w:p>
    <w:p w14:paraId="1C65AD39" w14:textId="6C70D433" w:rsidR="009C373F" w:rsidRDefault="009C373F" w:rsidP="009F46B4">
      <w:pPr>
        <w:pStyle w:val="Heading2"/>
      </w:pPr>
      <w:r w:rsidRPr="67596D41">
        <w:t>Key data gaps continue to limit our understanding and opportunities for system improvement</w:t>
      </w:r>
    </w:p>
    <w:p w14:paraId="03B32E1D" w14:textId="3F8986B7" w:rsidR="009C373F" w:rsidRPr="00D450E1" w:rsidRDefault="009C373F" w:rsidP="00D450E1">
      <w:pPr>
        <w:pStyle w:val="NormalBeforeBullet"/>
      </w:pPr>
      <w:r w:rsidRPr="00D450E1">
        <w:t>The current scope and scale of mental health-related activity reporting provide a broad overview of how people in Australia interact and engage with the mental health system. However, evidence-informed investments such as targeting funding to areas of greatest need are difficult with stark gaps in data and evidence. Key data gaps include:</w:t>
      </w:r>
    </w:p>
    <w:p w14:paraId="0BFCD02D" w14:textId="77777777" w:rsidR="009C373F" w:rsidRPr="0036124A" w:rsidRDefault="009C373F" w:rsidP="006813F4">
      <w:pPr>
        <w:pStyle w:val="ListBullet"/>
      </w:pPr>
      <w:r>
        <w:t>A lack of r</w:t>
      </w:r>
      <w:r w:rsidRPr="0036124A">
        <w:t>egular, longitudinal and nationally representative prevalence data to support a contemporary understanding of need and how it is changing over time.</w:t>
      </w:r>
    </w:p>
    <w:p w14:paraId="7CCB0651" w14:textId="77777777" w:rsidR="009C373F" w:rsidRPr="00601E24" w:rsidRDefault="009C373F" w:rsidP="006813F4">
      <w:pPr>
        <w:pStyle w:val="ListBullet"/>
      </w:pPr>
      <w:r>
        <w:rPr>
          <w:b/>
          <w:bCs/>
        </w:rPr>
        <w:t>O</w:t>
      </w:r>
      <w:r w:rsidRPr="00601E24">
        <w:rPr>
          <w:b/>
          <w:bCs/>
        </w:rPr>
        <w:t>utcome measurements</w:t>
      </w:r>
      <w:r w:rsidRPr="00601E24">
        <w:t xml:space="preserve"> across a broader range of care settings</w:t>
      </w:r>
      <w:r>
        <w:t xml:space="preserve">. This is required </w:t>
      </w:r>
      <w:r w:rsidRPr="00601E24">
        <w:t>to better understand the extent to which mental health services are improving outcomes for people</w:t>
      </w:r>
      <w:r>
        <w:t>. E</w:t>
      </w:r>
      <w:r w:rsidRPr="00601E24">
        <w:t>xisting nationally re</w:t>
      </w:r>
      <w:r>
        <w:t>pr</w:t>
      </w:r>
      <w:r w:rsidRPr="00601E24">
        <w:t xml:space="preserve">esentative outcome measures largely </w:t>
      </w:r>
      <w:r>
        <w:t>only include</w:t>
      </w:r>
      <w:r w:rsidRPr="00601E24">
        <w:t xml:space="preserve"> publicly funded services</w:t>
      </w:r>
      <w:r>
        <w:t>.</w:t>
      </w:r>
      <w:r w:rsidRPr="00601E24">
        <w:rPr>
          <w:b/>
          <w:bCs/>
        </w:rPr>
        <w:t xml:space="preserve"> </w:t>
      </w:r>
    </w:p>
    <w:p w14:paraId="13BE4591" w14:textId="77777777" w:rsidR="009C373F" w:rsidRDefault="009C373F" w:rsidP="006813F4">
      <w:pPr>
        <w:pStyle w:val="ListBullet"/>
      </w:pPr>
      <w:r w:rsidRPr="67596D41">
        <w:t xml:space="preserve">Lack of national data </w:t>
      </w:r>
      <w:r>
        <w:t xml:space="preserve">that </w:t>
      </w:r>
      <w:r w:rsidRPr="67596D41">
        <w:t>measur</w:t>
      </w:r>
      <w:r>
        <w:t>es</w:t>
      </w:r>
      <w:r w:rsidRPr="67596D41">
        <w:t xml:space="preserve"> service navigation, care continuity and movement between services is preventing </w:t>
      </w:r>
      <w:r w:rsidRPr="67596D41">
        <w:rPr>
          <w:b/>
          <w:bCs/>
        </w:rPr>
        <w:t>a holistic understanding of how well the system supports people</w:t>
      </w:r>
      <w:r w:rsidRPr="67596D41">
        <w:t>.</w:t>
      </w:r>
      <w:r w:rsidRPr="00601E24">
        <w:t xml:space="preserve"> </w:t>
      </w:r>
    </w:p>
    <w:p w14:paraId="057F93FC" w14:textId="6BEB3C0F" w:rsidR="009C373F" w:rsidRDefault="009C373F" w:rsidP="006813F4">
      <w:pPr>
        <w:pStyle w:val="ListBullet"/>
      </w:pPr>
      <w:r w:rsidRPr="00D00A31">
        <w:rPr>
          <w:b/>
          <w:bCs/>
        </w:rPr>
        <w:t>Carer, family and kin experiences</w:t>
      </w:r>
      <w:r w:rsidRPr="67596D41">
        <w:t xml:space="preserve"> and outcomes are integral insights into how well services are working</w:t>
      </w:r>
      <w:r>
        <w:t>.</w:t>
      </w:r>
      <w:r w:rsidRPr="67596D41">
        <w:t xml:space="preserve"> </w:t>
      </w:r>
      <w:r>
        <w:t>H</w:t>
      </w:r>
      <w:r w:rsidRPr="67596D41">
        <w:t>owever, th</w:t>
      </w:r>
      <w:r>
        <w:t>e broader impacts of mental health challenges on families, carers and kin are not consistently measured. This limits our ability to fully quantify need and to effectively plan and deliver supports. When care is not accessible or is delayed, families and carers may take on additional caring and system-navigation responsibilities, which can in turn impact their own wellbeing.</w:t>
      </w:r>
    </w:p>
    <w:p w14:paraId="0A5CE8E4" w14:textId="56A02F68" w:rsidR="009C373F" w:rsidRDefault="009C373F" w:rsidP="009C373F">
      <w:pPr>
        <w:suppressAutoHyphens w:val="0"/>
        <w:autoSpaceDE/>
        <w:adjustRightInd/>
        <w:spacing w:after="0" w:line="240" w:lineRule="auto"/>
        <w:textAlignment w:val="baseline"/>
        <w:rPr>
          <w:rFonts w:ascii="Aptos" w:hAnsi="Aptos"/>
          <w:sz w:val="22"/>
        </w:rPr>
      </w:pPr>
    </w:p>
    <w:p w14:paraId="32E2F9FC" w14:textId="326F82C1" w:rsidR="00154378" w:rsidRDefault="00EA57B7">
      <w:pPr>
        <w:suppressAutoHyphens w:val="0"/>
        <w:autoSpaceDE/>
        <w:autoSpaceDN/>
        <w:adjustRightInd/>
        <w:spacing w:after="0" w:line="240" w:lineRule="auto"/>
        <w:textAlignment w:val="auto"/>
        <w:rPr>
          <w:rFonts w:ascii="Merriweather-Regular" w:eastAsiaTheme="majorEastAsia" w:hAnsi="Merriweather-Regular" w:cstheme="majorBidi"/>
          <w:color w:val="FFFFFF" w:themeColor="background1"/>
          <w:sz w:val="40"/>
          <w:szCs w:val="32"/>
        </w:rPr>
      </w:pPr>
      <w:r>
        <w:rPr>
          <w:rFonts w:ascii="Aptos" w:hAnsi="Aptos"/>
          <w:noProof/>
          <w:sz w:val="22"/>
        </w:rPr>
        <w:drawing>
          <wp:anchor distT="0" distB="0" distL="114300" distR="114300" simplePos="0" relativeHeight="251714702" behindDoc="0" locked="0" layoutInCell="1" allowOverlap="1" wp14:anchorId="630AF931" wp14:editId="6105743C">
            <wp:simplePos x="0" y="0"/>
            <wp:positionH relativeFrom="column">
              <wp:posOffset>3315694</wp:posOffset>
            </wp:positionH>
            <wp:positionV relativeFrom="paragraph">
              <wp:posOffset>367333</wp:posOffset>
            </wp:positionV>
            <wp:extent cx="2495991" cy="2495991"/>
            <wp:effectExtent l="0" t="0" r="0" b="0"/>
            <wp:wrapNone/>
            <wp:docPr id="2140993387" name="Graphic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993387" name="Graphic 200">
                      <a:extLst>
                        <a:ext uri="{C183D7F6-B498-43B3-948B-1728B52AA6E4}">
                          <adec:decorative xmlns:adec="http://schemas.microsoft.com/office/drawing/2017/decorative" val="1"/>
                        </a:ext>
                      </a:extLst>
                    </pic:cNvPr>
                    <pic:cNvPicPr/>
                  </pic:nvPicPr>
                  <pic:blipFill>
                    <a:blip r:embed="rId54">
                      <a:extLst>
                        <a:ext uri="{96DAC541-7B7A-43D3-8B79-37D633B846F1}">
                          <asvg:svgBlip xmlns:asvg="http://schemas.microsoft.com/office/drawing/2016/SVG/main" r:embed="rId55"/>
                        </a:ext>
                      </a:extLst>
                    </a:blip>
                    <a:stretch>
                      <a:fillRect/>
                    </a:stretch>
                  </pic:blipFill>
                  <pic:spPr>
                    <a:xfrm>
                      <a:off x="0" y="0"/>
                      <a:ext cx="2501147" cy="2501147"/>
                    </a:xfrm>
                    <a:prstGeom prst="rect">
                      <a:avLst/>
                    </a:prstGeom>
                  </pic:spPr>
                </pic:pic>
              </a:graphicData>
            </a:graphic>
            <wp14:sizeRelH relativeFrom="page">
              <wp14:pctWidth>0</wp14:pctWidth>
            </wp14:sizeRelH>
            <wp14:sizeRelV relativeFrom="page">
              <wp14:pctHeight>0</wp14:pctHeight>
            </wp14:sizeRelV>
          </wp:anchor>
        </w:drawing>
      </w:r>
      <w:r w:rsidR="00154378">
        <w:rPr>
          <w:color w:val="FFFFFF" w:themeColor="background1"/>
        </w:rPr>
        <w:br w:type="page"/>
      </w:r>
    </w:p>
    <w:bookmarkStart w:id="25" w:name="_Toc237878283"/>
    <w:p w14:paraId="4FAFB8AE" w14:textId="4DA73E77" w:rsidR="007C4DF0" w:rsidRPr="004E5D44" w:rsidRDefault="004E5D44" w:rsidP="004E5D44">
      <w:pPr>
        <w:pStyle w:val="Heading1"/>
      </w:pPr>
      <w:r w:rsidRPr="004E5D44">
        <w:rPr>
          <w:noProof/>
        </w:rPr>
        <w:lastRenderedPageBreak/>
        <mc:AlternateContent>
          <mc:Choice Requires="wps">
            <w:drawing>
              <wp:anchor distT="0" distB="0" distL="114300" distR="114300" simplePos="0" relativeHeight="251726990" behindDoc="1" locked="0" layoutInCell="1" allowOverlap="1" wp14:anchorId="0101F31B" wp14:editId="3CA4FBCE">
                <wp:simplePos x="0" y="0"/>
                <wp:positionH relativeFrom="page">
                  <wp:posOffset>0</wp:posOffset>
                </wp:positionH>
                <wp:positionV relativeFrom="page">
                  <wp:posOffset>1850</wp:posOffset>
                </wp:positionV>
                <wp:extent cx="7560000" cy="9900000"/>
                <wp:effectExtent l="0" t="0" r="0" b="6350"/>
                <wp:wrapNone/>
                <wp:docPr id="611705275" name="Rectangle 6117052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9900000"/>
                        </a:xfrm>
                        <a:prstGeom prst="rect">
                          <a:avLst/>
                        </a:prstGeom>
                        <a:solidFill>
                          <a:srgbClr val="F9F9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A18F2CD" id="Rectangle 611705275" o:spid="_x0000_s1026" alt="&quot;&quot;" style="position:absolute;margin-left:0;margin-top:.15pt;width:595.3pt;height:779.55pt;z-index:-2515894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" fillcolor="#f9f9e5" stroked="f" strokeweight="1pt">
                <w10:wrap anchorx="page" anchory="page"/>
              </v:rect>
            </w:pict>
          </mc:Fallback>
        </mc:AlternateContent>
      </w:r>
      <w:r w:rsidR="007C4DF0" w:rsidRPr="004E5D44">
        <w:t>Looking Forward</w:t>
      </w:r>
      <w:bookmarkEnd w:id="25"/>
    </w:p>
    <w:p w14:paraId="36C7C414" w14:textId="77777777" w:rsidR="00817BF8" w:rsidRDefault="007C4DF0" w:rsidP="004E5D44">
      <w:pPr>
        <w:pStyle w:val="NMHCIntroParagraph"/>
        <w:rPr>
          <w:color w:val="008142" w:themeColor="accent5"/>
        </w:rPr>
      </w:pPr>
      <w:r w:rsidRPr="004E5D44">
        <w:rPr>
          <w:color w:val="008142" w:themeColor="accent5"/>
        </w:rPr>
        <w:t>Report Card 2025 shows a complex picture. Mental health need remains high, and people with mental health conditions continue to experience poorer wellbeing and greater exposure to social and economic pressures. At the same time, service use and investment have increased. Access remains uneven, cost continues to be a barrier to care, the workforce is not sufficient to meet projected need, and critical data gaps continue to limit our understanding of whether services are improving outcomes.</w:t>
      </w:r>
    </w:p>
    <w:p w14:paraId="1ED246BA" w14:textId="09B05B32" w:rsidR="00011374" w:rsidRPr="004E5D44" w:rsidRDefault="00011374" w:rsidP="004E5D44">
      <w:pPr>
        <w:pStyle w:val="NMHCIntroParagraph"/>
        <w:rPr>
          <w:color w:val="008142" w:themeColor="accent5"/>
        </w:rPr>
        <w:sectPr w:rsidR="00011374" w:rsidRPr="004E5D44" w:rsidSect="001D15E1">
          <w:headerReference w:type="even" r:id="rId56"/>
          <w:headerReference w:type="default" r:id="rId57"/>
          <w:headerReference w:type="first" r:id="rId58"/>
          <w:footnotePr>
            <w:numFmt w:val="lowerRoman"/>
          </w:footnotePr>
          <w:endnotePr>
            <w:numFmt w:val="decimal"/>
          </w:endnotePr>
          <w:type w:val="continuous"/>
          <w:pgSz w:w="11906" w:h="16838" w:code="9"/>
          <w:pgMar w:top="1440" w:right="1440" w:bottom="1440" w:left="1440" w:header="1134" w:footer="567" w:gutter="0"/>
          <w:cols w:space="708"/>
          <w:noEndnote/>
          <w:docGrid w:linePitch="360"/>
        </w:sectPr>
      </w:pPr>
    </w:p>
    <w:p w14:paraId="57B03294" w14:textId="77777777" w:rsidR="00375950" w:rsidRPr="004E5D44" w:rsidRDefault="00375950" w:rsidP="004E5D44">
      <w:pPr>
        <w:pStyle w:val="Heading2"/>
      </w:pPr>
      <w:r w:rsidRPr="004E5D44">
        <w:t>So where to from here?</w:t>
      </w:r>
    </w:p>
    <w:p w14:paraId="493D4A8B" w14:textId="77777777" w:rsidR="007C4DF0" w:rsidRPr="004E5D44" w:rsidRDefault="007C4DF0" w:rsidP="00104001">
      <w:pPr>
        <w:rPr>
          <w:b/>
          <w:bCs/>
          <w:i/>
          <w:iCs/>
        </w:rPr>
      </w:pPr>
      <w:r w:rsidRPr="004E5D44">
        <w:rPr>
          <w:b/>
          <w:bCs/>
          <w:i/>
          <w:iCs/>
        </w:rPr>
        <w:t xml:space="preserve">Future reform needs to combine prevention, service system improvement, workforce growth and more comprehensive national data. </w:t>
      </w:r>
    </w:p>
    <w:p w14:paraId="4F6188B1" w14:textId="77777777" w:rsidR="007C4DF0" w:rsidRPr="004E5D44" w:rsidRDefault="007C4DF0" w:rsidP="007C4DF0">
      <w:pPr>
        <w:rPr>
          <w:lang w:val="en-AU"/>
        </w:rPr>
      </w:pPr>
      <w:r w:rsidRPr="004E5D44">
        <w:rPr>
          <w:lang w:val="en-AU"/>
        </w:rPr>
        <w:t xml:space="preserve">Meaningful reform requires </w:t>
      </w:r>
      <w:r w:rsidRPr="004E5D44">
        <w:rPr>
          <w:b/>
          <w:bCs/>
          <w:lang w:val="en-AU"/>
        </w:rPr>
        <w:t>a clear long-term vision for Australia’s mental health system</w:t>
      </w:r>
      <w:r w:rsidRPr="004E5D44">
        <w:rPr>
          <w:lang w:val="en-AU"/>
        </w:rPr>
        <w:t>, guided by what the data and lived experience tells us about need, access and outcomes.</w:t>
      </w:r>
    </w:p>
    <w:p w14:paraId="6BC5D21A" w14:textId="7448641B" w:rsidR="007C4DF0" w:rsidRPr="004E5D44" w:rsidRDefault="007C4DF0" w:rsidP="007C4DF0">
      <w:pPr>
        <w:rPr>
          <w:lang w:val="en-AU"/>
        </w:rPr>
      </w:pPr>
      <w:r w:rsidRPr="004E5D44">
        <w:rPr>
          <w:lang w:val="en-AU"/>
        </w:rPr>
        <w:t>The findings in this Report Card point to two reform priorities. Australia needs to</w:t>
      </w:r>
      <w:r w:rsidRPr="004E5D44">
        <w:rPr>
          <w:rFonts w:ascii="Aptos" w:hAnsi="Aptos"/>
          <w:sz w:val="22"/>
          <w:lang w:val="en-AU"/>
        </w:rPr>
        <w:t xml:space="preserve"> </w:t>
      </w:r>
      <w:r w:rsidRPr="004E5D44">
        <w:rPr>
          <w:b/>
          <w:bCs/>
          <w:lang w:val="en-AU"/>
        </w:rPr>
        <w:t>strengthen prevention by addressing the social and economic conditions that shape mental health</w:t>
      </w:r>
      <w:r w:rsidRPr="004E5D44">
        <w:rPr>
          <w:rFonts w:ascii="Aptos" w:hAnsi="Aptos"/>
          <w:sz w:val="22"/>
          <w:lang w:val="en-AU"/>
        </w:rPr>
        <w:t xml:space="preserve"> </w:t>
      </w:r>
      <w:r w:rsidRPr="004E5D44">
        <w:rPr>
          <w:lang w:val="en-AU"/>
        </w:rPr>
        <w:t>and wellbeing; while also</w:t>
      </w:r>
      <w:r w:rsidRPr="004E5D44">
        <w:rPr>
          <w:rFonts w:ascii="Aptos" w:hAnsi="Aptos"/>
          <w:sz w:val="22"/>
          <w:lang w:val="en-AU"/>
        </w:rPr>
        <w:t xml:space="preserve"> </w:t>
      </w:r>
      <w:r w:rsidRPr="004E5D44">
        <w:rPr>
          <w:b/>
          <w:bCs/>
          <w:lang w:val="en-AU"/>
        </w:rPr>
        <w:t xml:space="preserve">improving the mental health service system so people can access the right support </w:t>
      </w:r>
      <w:r w:rsidRPr="004E5D44">
        <w:rPr>
          <w:lang w:val="en-AU"/>
        </w:rPr>
        <w:t>earlier, affordably and regardless of where they live or their circumstances.</w:t>
      </w:r>
    </w:p>
    <w:p w14:paraId="1F1A2D8D" w14:textId="77777777" w:rsidR="007C4DF0" w:rsidRPr="004E5D44" w:rsidRDefault="007C4DF0" w:rsidP="007C4DF0">
      <w:pPr>
        <w:rPr>
          <w:lang w:val="en-AU"/>
        </w:rPr>
      </w:pPr>
      <w:r w:rsidRPr="004E5D44">
        <w:rPr>
          <w:lang w:val="en-AU"/>
        </w:rPr>
        <w:t xml:space="preserve">This means continuing to </w:t>
      </w:r>
      <w:r w:rsidRPr="004E5D44">
        <w:rPr>
          <w:b/>
          <w:bCs/>
          <w:lang w:val="en-AU"/>
        </w:rPr>
        <w:t xml:space="preserve">strengthen social inclusion, reduce stigma and discrimination, </w:t>
      </w:r>
      <w:r w:rsidRPr="004E5D44">
        <w:rPr>
          <w:lang w:val="en-AU"/>
        </w:rPr>
        <w:t xml:space="preserve">and </w:t>
      </w:r>
      <w:r w:rsidRPr="004E5D44">
        <w:rPr>
          <w:b/>
          <w:bCs/>
          <w:lang w:val="en-AU"/>
        </w:rPr>
        <w:t xml:space="preserve">ensure critical social services </w:t>
      </w:r>
      <w:r w:rsidRPr="004E5D44">
        <w:rPr>
          <w:lang w:val="en-AU"/>
        </w:rPr>
        <w:t xml:space="preserve">— including housing, employment, education and community support — </w:t>
      </w:r>
      <w:r w:rsidRPr="004E5D44">
        <w:rPr>
          <w:b/>
          <w:bCs/>
          <w:lang w:val="en-AU"/>
        </w:rPr>
        <w:t>are equipped to respond to people with mental health needs</w:t>
      </w:r>
      <w:r w:rsidRPr="004E5D44">
        <w:rPr>
          <w:lang w:val="en-AU"/>
        </w:rPr>
        <w:t>, especially those experiencing multiple and intersecting forms of disadvantage.</w:t>
      </w:r>
    </w:p>
    <w:p w14:paraId="4A5248AC" w14:textId="77777777" w:rsidR="007C4DF0" w:rsidRPr="004E5D44" w:rsidRDefault="007C4DF0" w:rsidP="007C4DF0">
      <w:pPr>
        <w:rPr>
          <w:lang w:val="en-AU"/>
        </w:rPr>
      </w:pPr>
      <w:r w:rsidRPr="004E5D44">
        <w:rPr>
          <w:lang w:val="en-AU"/>
        </w:rPr>
        <w:t xml:space="preserve">There are clear opportunities to </w:t>
      </w:r>
      <w:r w:rsidRPr="004E5D44">
        <w:rPr>
          <w:b/>
          <w:bCs/>
          <w:lang w:val="en-AU"/>
        </w:rPr>
        <w:t>improve mental health service planning,</w:t>
      </w:r>
      <w:r w:rsidRPr="004E5D44">
        <w:rPr>
          <w:lang w:val="en-AU"/>
        </w:rPr>
        <w:t xml:space="preserve"> so services better meet need, embed earlier support, and provide timely access to low or no cost care for those who need it. Continued effort is also required to build </w:t>
      </w:r>
      <w:r w:rsidRPr="004E5D44">
        <w:rPr>
          <w:b/>
          <w:bCs/>
          <w:lang w:val="en-AU"/>
        </w:rPr>
        <w:t>an effective mental health workforce across all roles</w:t>
      </w:r>
      <w:r w:rsidRPr="004E5D44">
        <w:rPr>
          <w:lang w:val="en-AU"/>
        </w:rPr>
        <w:t>, in line with the National Mental Health Workforce Strategy 2022–2032.</w:t>
      </w:r>
    </w:p>
    <w:p w14:paraId="51BACF24" w14:textId="77777777" w:rsidR="007C4DF0" w:rsidRPr="004E5D44" w:rsidRDefault="007C4DF0" w:rsidP="00A6746F">
      <w:pPr>
        <w:pStyle w:val="NormalBeforeBullet"/>
      </w:pPr>
      <w:r w:rsidRPr="004E5D44">
        <w:rPr>
          <w:b/>
          <w:bCs/>
        </w:rPr>
        <w:t>Better data is also critical.</w:t>
      </w:r>
      <w:r w:rsidRPr="004E5D44">
        <w:t xml:space="preserve"> Current gaps make it harder to understand need, access and outcomes across the mental health system, limiting our ability to plan services, target investment and assess whether reforms are making a difference. Priorities include:</w:t>
      </w:r>
    </w:p>
    <w:p w14:paraId="06A97E0F" w14:textId="77777777" w:rsidR="007C4DF0" w:rsidRPr="004E5D44" w:rsidRDefault="007C4DF0" w:rsidP="007C4DF0">
      <w:pPr>
        <w:pStyle w:val="ListBullet"/>
      </w:pPr>
      <w:r w:rsidRPr="004E5D44">
        <w:rPr>
          <w:b/>
          <w:bCs/>
        </w:rPr>
        <w:t>Regular, longitudinal and nationally representative prevalence data</w:t>
      </w:r>
      <w:r w:rsidRPr="004E5D44">
        <w:t xml:space="preserve"> to support a contemporary understanding of need and how it is changing over time.</w:t>
      </w:r>
    </w:p>
    <w:p w14:paraId="2F55C118" w14:textId="77777777" w:rsidR="007C4DF0" w:rsidRPr="004E5D44" w:rsidRDefault="007C4DF0" w:rsidP="007C4DF0">
      <w:pPr>
        <w:pStyle w:val="ListBullet"/>
      </w:pPr>
      <w:r w:rsidRPr="004E5D44">
        <w:rPr>
          <w:b/>
          <w:bCs/>
        </w:rPr>
        <w:t>Better data on</w:t>
      </w:r>
      <w:r w:rsidRPr="004E5D44">
        <w:t xml:space="preserve"> the distinct experiences and outcomes of consumers and families, carers and kin, including how people navigate and are supported to move through the mental health system.</w:t>
      </w:r>
    </w:p>
    <w:p w14:paraId="07DD7FAD" w14:textId="77777777" w:rsidR="007C4DF0" w:rsidRPr="004E5D44" w:rsidRDefault="007C4DF0" w:rsidP="007C4DF0">
      <w:pPr>
        <w:pStyle w:val="ListBullet"/>
      </w:pPr>
      <w:r w:rsidRPr="004E5D44">
        <w:t>Outcome measures across a broader range of care settings, particularly services delivered by non-government organisations, which remain underrepresented in national data collections.</w:t>
      </w:r>
    </w:p>
    <w:p w14:paraId="5777CE09" w14:textId="77777777" w:rsidR="007C4DF0" w:rsidRPr="004E5D44" w:rsidRDefault="007C4DF0" w:rsidP="007C4DF0">
      <w:pPr>
        <w:pStyle w:val="ListBullet"/>
      </w:pPr>
      <w:r w:rsidRPr="004E5D44">
        <w:rPr>
          <w:b/>
          <w:bCs/>
        </w:rPr>
        <w:t>A stronger understanding of unmet need,</w:t>
      </w:r>
      <w:r w:rsidRPr="004E5D44">
        <w:t xml:space="preserve"> moving beyond measures of service activity and utilisation to better understand who is not accessing care and whether services are improving outcomes for people.</w:t>
      </w:r>
    </w:p>
    <w:p w14:paraId="1BAAA5B6" w14:textId="142798FA" w:rsidR="0066269A" w:rsidRPr="004E5D44" w:rsidRDefault="0066269A" w:rsidP="00C1000B">
      <w:pPr>
        <w:rPr>
          <w:b/>
          <w:bCs/>
        </w:rPr>
      </w:pPr>
      <w:r w:rsidRPr="004E5D44">
        <w:rPr>
          <w:b/>
          <w:bCs/>
        </w:rPr>
        <w:t>The Commission will continue to refine the Reporting Framework over time, so it can responsively capture the issues that shape mental health in Australia. This can support a clearer understanding of where reform is making a difference.</w:t>
      </w:r>
    </w:p>
    <w:p w14:paraId="07779048" w14:textId="2D40928B" w:rsidR="00614973" w:rsidRPr="004E5D44" w:rsidRDefault="009C373F" w:rsidP="006D0F5E">
      <w:pPr>
        <w:pStyle w:val="NMHCGlossarySubheading"/>
        <w:rPr>
          <w:color w:val="5C626C"/>
        </w:rPr>
      </w:pPr>
      <w:r w:rsidRPr="004E5D44">
        <w:rPr>
          <w:color w:val="5C626C"/>
        </w:rPr>
        <w:t>Continue reading our Report Card to explore these findings in greater detail and</w:t>
      </w:r>
      <w:r w:rsidR="00B504F2" w:rsidRPr="004E5D44">
        <w:rPr>
          <w:color w:val="5C626C"/>
        </w:rPr>
        <w:t xml:space="preserve"> </w:t>
      </w:r>
      <w:r w:rsidRPr="004E5D44">
        <w:rPr>
          <w:color w:val="5C626C"/>
        </w:rPr>
        <w:t>learn how we are building on our reporting approach.</w:t>
      </w:r>
    </w:p>
    <w:p w14:paraId="03F02338" w14:textId="77777777" w:rsidR="00817BF8" w:rsidRDefault="00817BF8">
      <w:pPr>
        <w:suppressAutoHyphens w:val="0"/>
        <w:autoSpaceDE/>
        <w:autoSpaceDN/>
        <w:adjustRightInd/>
        <w:spacing w:after="0" w:line="240" w:lineRule="auto"/>
        <w:textAlignment w:val="auto"/>
        <w:sectPr w:rsidR="00817BF8" w:rsidSect="001D15E1">
          <w:footnotePr>
            <w:numFmt w:val="lowerRoman"/>
          </w:footnotePr>
          <w:endnotePr>
            <w:numFmt w:val="decimal"/>
          </w:endnotePr>
          <w:type w:val="continuous"/>
          <w:pgSz w:w="11906" w:h="16838" w:code="9"/>
          <w:pgMar w:top="1440" w:right="1440" w:bottom="1440" w:left="1440" w:header="1134" w:footer="567" w:gutter="0"/>
          <w:cols w:num="2" w:space="708"/>
          <w:noEndnote/>
          <w:docGrid w:linePitch="360"/>
        </w:sectPr>
      </w:pPr>
    </w:p>
    <w:p w14:paraId="2142BAE3" w14:textId="5B848208" w:rsidR="00614973" w:rsidRDefault="00614973">
      <w:pPr>
        <w:suppressAutoHyphens w:val="0"/>
        <w:autoSpaceDE/>
        <w:autoSpaceDN/>
        <w:adjustRightInd/>
        <w:spacing w:after="0" w:line="240" w:lineRule="auto"/>
        <w:textAlignment w:val="auto"/>
        <w:rPr>
          <w:rFonts w:eastAsiaTheme="majorEastAsia" w:cstheme="majorBidi"/>
          <w:b/>
          <w:color w:val="008143"/>
          <w:szCs w:val="24"/>
        </w:rPr>
      </w:pPr>
      <w:r>
        <w:br w:type="page"/>
      </w:r>
    </w:p>
    <w:bookmarkStart w:id="26" w:name="_Toc237878284"/>
    <w:p w14:paraId="702D2CE1" w14:textId="0F713BBB" w:rsidR="009C373F" w:rsidRPr="00614973" w:rsidRDefault="00286BED" w:rsidP="00E22A2F">
      <w:pPr>
        <w:pStyle w:val="Heading1"/>
        <w:rPr>
          <w:rFonts w:ascii="Aptos" w:eastAsia="Times New Roman" w:hAnsi="Aptos"/>
          <w:b/>
          <w:bCs/>
          <w:kern w:val="2"/>
          <w:sz w:val="32"/>
          <w:lang w:eastAsia="en-AU"/>
          <w14:ligatures w14:val="standardContextual"/>
        </w:rPr>
      </w:pPr>
      <w:r>
        <w:rPr>
          <w:noProof/>
        </w:rPr>
        <w:lastRenderedPageBreak/>
        <mc:AlternateContent>
          <mc:Choice Requires="wps">
            <w:drawing>
              <wp:anchor distT="0" distB="0" distL="114300" distR="114300" simplePos="0" relativeHeight="251658339" behindDoc="1" locked="0" layoutInCell="1" allowOverlap="1" wp14:anchorId="7B121052" wp14:editId="407D2E21">
                <wp:simplePos x="0" y="0"/>
                <wp:positionH relativeFrom="page">
                  <wp:posOffset>11430</wp:posOffset>
                </wp:positionH>
                <wp:positionV relativeFrom="page">
                  <wp:posOffset>-1270</wp:posOffset>
                </wp:positionV>
                <wp:extent cx="7559675" cy="9899650"/>
                <wp:effectExtent l="0" t="0" r="0" b="6350"/>
                <wp:wrapNone/>
                <wp:docPr id="655806804" name="Rectangle 6558068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9899650"/>
                        </a:xfrm>
                        <a:prstGeom prst="rect">
                          <a:avLst/>
                        </a:prstGeom>
                        <a:solidFill>
                          <a:srgbClr val="F9F9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9E234C3" id="Rectangle 655806804" o:spid="_x0000_s1026" alt="&quot;&quot;" style="position:absolute;margin-left:.9pt;margin-top:-.1pt;width:595.25pt;height:779.5pt;z-index:-2516581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" fillcolor="#f9f9e5" stroked="f" strokeweight="1pt">
                <w10:wrap anchorx="page" anchory="page"/>
              </v:rect>
            </w:pict>
          </mc:Fallback>
        </mc:AlternateContent>
      </w:r>
      <w:r w:rsidR="006B3CB1">
        <w:rPr>
          <w:noProof/>
        </w:rPr>
        <mc:AlternateContent>
          <mc:Choice Requires="wps">
            <w:drawing>
              <wp:anchor distT="0" distB="0" distL="114300" distR="114300" simplePos="0" relativeHeight="251658323" behindDoc="1" locked="0" layoutInCell="1" allowOverlap="1" wp14:anchorId="31CCE13F" wp14:editId="35C1FE40">
                <wp:simplePos x="0" y="0"/>
                <wp:positionH relativeFrom="page">
                  <wp:posOffset>7951</wp:posOffset>
                </wp:positionH>
                <wp:positionV relativeFrom="page">
                  <wp:posOffset>-967</wp:posOffset>
                </wp:positionV>
                <wp:extent cx="7560000" cy="153909"/>
                <wp:effectExtent l="0" t="0" r="0" b="0"/>
                <wp:wrapNone/>
                <wp:docPr id="276561239" name="Rectangle 2765612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rgbClr val="00A0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17F3DEB" id="Rectangle 276561239" o:spid="_x0000_s1026" alt="&quot;&quot;" style="position:absolute;margin-left:.65pt;margin-top:-.1pt;width:595.3pt;height:12.1pt;z-index:-2516581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" fillcolor="#00a04e" stroked="f" strokeweight="1pt">
                <w10:wrap anchorx="page" anchory="page"/>
              </v:rect>
            </w:pict>
          </mc:Fallback>
        </mc:AlternateContent>
      </w:r>
      <w:r w:rsidR="009C373F" w:rsidRPr="00264403">
        <w:t>Introduction</w:t>
      </w:r>
      <w:bookmarkEnd w:id="26"/>
      <w:r w:rsidR="009C373F" w:rsidRPr="00264403">
        <w:t xml:space="preserve"> </w:t>
      </w:r>
    </w:p>
    <w:p w14:paraId="2BA2F229" w14:textId="0B1984E6" w:rsidR="009C373F" w:rsidRPr="00C00D1D" w:rsidRDefault="009C373F" w:rsidP="00E22A2F">
      <w:pPr>
        <w:pStyle w:val="NMHCIntroParagraph"/>
        <w:rPr>
          <w:color w:val="008142" w:themeColor="accent5"/>
        </w:rPr>
      </w:pPr>
      <w:r w:rsidRPr="00C00D1D">
        <w:rPr>
          <w:color w:val="008142" w:themeColor="accent5"/>
        </w:rPr>
        <w:t xml:space="preserve">Independent and impartial performance monitoring and reporting, supported by high quality and comprehensive data systems, is essential to improving Australia’s mental health system. It promotes transparency in how the system is meeting the needs of Australians and identifies where improvement is required. In doing so, it helps ensure approaches to preventing and responding to mental health challenges remain effective and responsive to current and future needs. As the National Mental Health Commission (the Commission) does not design, deliver or fund services, it is uniquely placed to undertake this role at a national level. </w:t>
      </w:r>
    </w:p>
    <w:p w14:paraId="59DC6C6E" w14:textId="77777777" w:rsidR="00FF4582" w:rsidRDefault="00FF4582" w:rsidP="00264403">
      <w:pPr>
        <w:rPr>
          <w:lang w:val="en-AU"/>
        </w:rPr>
        <w:sectPr w:rsidR="00FF4582" w:rsidSect="001D15E1">
          <w:footnotePr>
            <w:numFmt w:val="lowerRoman"/>
          </w:footnotePr>
          <w:endnotePr>
            <w:numFmt w:val="decimal"/>
          </w:endnotePr>
          <w:type w:val="continuous"/>
          <w:pgSz w:w="11906" w:h="16838" w:code="9"/>
          <w:pgMar w:top="1440" w:right="1440" w:bottom="1440" w:left="1440" w:header="1134" w:footer="567" w:gutter="0"/>
          <w:cols w:space="708"/>
          <w:noEndnote/>
          <w:docGrid w:linePitch="360"/>
        </w:sectPr>
      </w:pPr>
    </w:p>
    <w:p w14:paraId="2530DE78" w14:textId="262A55DD" w:rsidR="009C373F" w:rsidRPr="00BC6C90" w:rsidRDefault="009C373F" w:rsidP="00264403">
      <w:pPr>
        <w:rPr>
          <w:lang w:val="en-AU"/>
        </w:rPr>
      </w:pPr>
      <w:r w:rsidRPr="372AABEA">
        <w:rPr>
          <w:lang w:val="en-AU"/>
        </w:rPr>
        <w:t xml:space="preserve">Through our monitoring and reporting function, we provide an independent, system-level assessment of progress, performance and reform across Australia’s mental health system. By bringing together data, evidence and stakeholder and lived experience perspectives, we assess whether government actions are contributing to meaningful reform and better outcomes for people and communities. Monitoring and reporting </w:t>
      </w:r>
      <w:proofErr w:type="gramStart"/>
      <w:r w:rsidRPr="372AABEA">
        <w:rPr>
          <w:lang w:val="en-AU"/>
        </w:rPr>
        <w:t>serves</w:t>
      </w:r>
      <w:proofErr w:type="gramEnd"/>
      <w:r w:rsidRPr="372AABEA">
        <w:rPr>
          <w:lang w:val="en-AU"/>
        </w:rPr>
        <w:t xml:space="preserve"> both an accountability and reform-enabling function, helping to track progress, identify gaps, support course correction, and prepare for emerging risks and opportunities.</w:t>
      </w:r>
    </w:p>
    <w:p w14:paraId="5ED377AF" w14:textId="6F4DDD3E" w:rsidR="009C373F" w:rsidRPr="00BC6C90" w:rsidRDefault="009C373F" w:rsidP="00264403">
      <w:pPr>
        <w:rPr>
          <w:lang w:val="en-AU"/>
        </w:rPr>
      </w:pPr>
      <w:r w:rsidRPr="372AABEA">
        <w:rPr>
          <w:lang w:val="en-AU"/>
        </w:rPr>
        <w:t>Since 2012, the Commission has produced the Annual National Report Card on the performance of the mental health system. Drawing on national data collections, these reports identify what is working well, where improvement is needed, and inform efforts to strengthen outcomes for people with mental health challenges.</w:t>
      </w:r>
    </w:p>
    <w:p w14:paraId="71A36976" w14:textId="1ECA0634" w:rsidR="009C373F" w:rsidRPr="00BC6C90" w:rsidRDefault="009C373F" w:rsidP="00264403">
      <w:pPr>
        <w:rPr>
          <w:lang w:val="en-AU"/>
        </w:rPr>
      </w:pPr>
      <w:r w:rsidRPr="372AABEA">
        <w:rPr>
          <w:lang w:val="en-AU"/>
        </w:rPr>
        <w:t>The National Report Card 2023 (RC2023) introduced a refreshed approach to annual reporting and established a more consistent framework for objective monitoring of system performance over time. This framework has been continued through the National Report Card 2024 (RC2024) and National Report Card 2025 (RC2025).</w:t>
      </w:r>
    </w:p>
    <w:p w14:paraId="2511BB7F" w14:textId="122F49D0" w:rsidR="009C373F" w:rsidRPr="006D7D9A" w:rsidRDefault="00FF4582" w:rsidP="006D7D9A">
      <w:pPr>
        <w:pStyle w:val="NormalBeforeBullet"/>
      </w:pPr>
      <w:r>
        <w:br w:type="column"/>
      </w:r>
      <w:r w:rsidR="009C373F" w:rsidRPr="006D7D9A">
        <w:t xml:space="preserve">Our Report Card Framework considers three domains: </w:t>
      </w:r>
    </w:p>
    <w:p w14:paraId="3452B2B5" w14:textId="50C266B7" w:rsidR="009C373F" w:rsidRPr="006D7D9A" w:rsidRDefault="009C373F" w:rsidP="006D7D9A">
      <w:pPr>
        <w:pStyle w:val="ListBullet"/>
      </w:pPr>
      <w:r w:rsidRPr="006D7D9A">
        <w:t>the mental health and wellbeing of Australians;</w:t>
      </w:r>
    </w:p>
    <w:p w14:paraId="639E8CBD" w14:textId="77777777" w:rsidR="009C373F" w:rsidRPr="006D7D9A" w:rsidRDefault="009C373F" w:rsidP="006D7D9A">
      <w:pPr>
        <w:pStyle w:val="ListBullet"/>
      </w:pPr>
      <w:r w:rsidRPr="006D7D9A">
        <w:t xml:space="preserve">the broader social factors that influence mental health; and </w:t>
      </w:r>
    </w:p>
    <w:p w14:paraId="548A1756" w14:textId="77777777" w:rsidR="009C373F" w:rsidRPr="006D7D9A" w:rsidRDefault="009C373F" w:rsidP="006D7D9A">
      <w:pPr>
        <w:pStyle w:val="ListBullet"/>
      </w:pPr>
      <w:r w:rsidRPr="006D7D9A">
        <w:t xml:space="preserve">the performance of the mental health system. </w:t>
      </w:r>
    </w:p>
    <w:p w14:paraId="50AE0E91" w14:textId="20F66B1C" w:rsidR="009C373F" w:rsidRPr="00543A02" w:rsidRDefault="009C373F" w:rsidP="00264403">
      <w:pPr>
        <w:rPr>
          <w:lang w:val="en-AU"/>
        </w:rPr>
      </w:pPr>
      <w:r>
        <w:rPr>
          <w:lang w:val="en-AU"/>
        </w:rPr>
        <w:t>T</w:t>
      </w:r>
      <w:r w:rsidRPr="00543A02">
        <w:rPr>
          <w:lang w:val="en-AU"/>
        </w:rPr>
        <w:t>his approach reflects the interconnected nature of the factors shaping mental health outcomes.</w:t>
      </w:r>
    </w:p>
    <w:p w14:paraId="40719FBA" w14:textId="4CBB2858" w:rsidR="009C373F" w:rsidRDefault="009C373F" w:rsidP="00264403">
      <w:pPr>
        <w:rPr>
          <w:kern w:val="2"/>
          <w:lang w:val="en-AU"/>
          <w14:ligatures w14:val="standardContextual"/>
        </w:rPr>
      </w:pPr>
      <w:r>
        <w:rPr>
          <w:kern w:val="2"/>
          <w14:ligatures w14:val="standardContextual"/>
        </w:rPr>
        <w:t>Across these domains,</w:t>
      </w:r>
      <w:r w:rsidRPr="003B35CC">
        <w:rPr>
          <w:kern w:val="2"/>
          <w14:ligatures w14:val="standardContextual"/>
        </w:rPr>
        <w:t xml:space="preserve"> we consider the latest available data and information </w:t>
      </w:r>
      <w:r>
        <w:rPr>
          <w:kern w:val="2"/>
          <w14:ligatures w14:val="standardContextual"/>
        </w:rPr>
        <w:t>on</w:t>
      </w:r>
      <w:r w:rsidRPr="003B35CC">
        <w:rPr>
          <w:kern w:val="2"/>
          <w14:ligatures w14:val="standardContextual"/>
        </w:rPr>
        <w:t xml:space="preserve"> key mental health and wellbeing measures (such as prevalence of mental health conditions and psychological distress) to inform an understanding of mental health in Australia.</w:t>
      </w:r>
      <w:r w:rsidRPr="003B35CC">
        <w:rPr>
          <w:kern w:val="2"/>
          <w:lang w:val="en-AU"/>
          <w14:ligatures w14:val="standardContextual"/>
        </w:rPr>
        <w:t xml:space="preserve"> </w:t>
      </w:r>
      <w:r w:rsidRPr="372AABEA">
        <w:rPr>
          <w:kern w:val="2"/>
          <w:lang w:val="en-AU"/>
          <w14:ligatures w14:val="standardContextual"/>
        </w:rPr>
        <w:t>We examine social determinants that influence mental health</w:t>
      </w:r>
      <w:r>
        <w:rPr>
          <w:kern w:val="2"/>
          <w:lang w:val="en-AU"/>
          <w14:ligatures w14:val="standardContextual"/>
        </w:rPr>
        <w:t xml:space="preserve"> and wellbeing</w:t>
      </w:r>
      <w:r w:rsidRPr="372AABEA">
        <w:rPr>
          <w:kern w:val="2"/>
          <w:lang w:val="en-AU"/>
          <w14:ligatures w14:val="standardContextual"/>
        </w:rPr>
        <w:t xml:space="preserve"> outcomes, such as housing, education, </w:t>
      </w:r>
      <w:r w:rsidRPr="372AABEA">
        <w:rPr>
          <w:lang w:val="en-AU"/>
        </w:rPr>
        <w:t>employment and developmental vulnerability in childhood.</w:t>
      </w:r>
      <w:r>
        <w:rPr>
          <w:lang w:val="en-AU"/>
        </w:rPr>
        <w:t xml:space="preserve"> W</w:t>
      </w:r>
      <w:r w:rsidRPr="372AABEA">
        <w:rPr>
          <w:lang w:val="en-AU"/>
        </w:rPr>
        <w:t>e assess differences in experience between people with mental health c</w:t>
      </w:r>
      <w:r>
        <w:rPr>
          <w:lang w:val="en-AU"/>
        </w:rPr>
        <w:t>onditions</w:t>
      </w:r>
      <w:r w:rsidRPr="372AABEA">
        <w:rPr>
          <w:lang w:val="en-AU"/>
        </w:rPr>
        <w:t xml:space="preserve"> and the broader population to identify areas where they may be disproportionately affected by factors such as financial stress or discrimination.</w:t>
      </w:r>
      <w:r>
        <w:rPr>
          <w:kern w:val="2"/>
          <w:lang w:val="en-AU"/>
          <w14:ligatures w14:val="standardContextual"/>
        </w:rPr>
        <w:t xml:space="preserve"> </w:t>
      </w:r>
      <w:r w:rsidRPr="372AABEA">
        <w:rPr>
          <w:kern w:val="2"/>
          <w:lang w:val="en-AU"/>
          <w14:ligatures w14:val="standardContextual"/>
        </w:rPr>
        <w:t>We also assess the mental health service system, examining its accessibility, effectiveness, sustainability, and the extent to which people experience safe and integrated care.</w:t>
      </w:r>
      <w:r w:rsidRPr="00815DF5">
        <w:rPr>
          <w:kern w:val="2"/>
          <w:lang w:val="en-AU"/>
          <w14:ligatures w14:val="standardContextual"/>
        </w:rPr>
        <w:t xml:space="preserve"> </w:t>
      </w:r>
    </w:p>
    <w:p w14:paraId="62096E3F" w14:textId="77777777" w:rsidR="009C373F" w:rsidRPr="00BC6C90" w:rsidRDefault="009C373F" w:rsidP="00264403">
      <w:pPr>
        <w:rPr>
          <w:kern w:val="2"/>
          <w:lang w:val="en-AU"/>
          <w14:ligatures w14:val="standardContextual"/>
        </w:rPr>
      </w:pPr>
      <w:r>
        <w:rPr>
          <w:kern w:val="2"/>
          <w:lang w:val="en-AU"/>
          <w14:ligatures w14:val="standardContextual"/>
        </w:rPr>
        <w:t>Collectively, t</w:t>
      </w:r>
      <w:r w:rsidRPr="372AABEA">
        <w:rPr>
          <w:kern w:val="2"/>
          <w:lang w:val="en-AU"/>
          <w14:ligatures w14:val="standardContextual"/>
        </w:rPr>
        <w:t xml:space="preserve">his work helps </w:t>
      </w:r>
      <w:r w:rsidRPr="372AABEA">
        <w:rPr>
          <w:lang w:val="en-AU"/>
        </w:rPr>
        <w:t xml:space="preserve">identify where action is needed across policy sectors to support prevention efforts and improve </w:t>
      </w:r>
      <w:r>
        <w:rPr>
          <w:lang w:val="en-AU"/>
        </w:rPr>
        <w:t>care</w:t>
      </w:r>
      <w:r w:rsidRPr="372AABEA">
        <w:rPr>
          <w:lang w:val="en-AU"/>
        </w:rPr>
        <w:t xml:space="preserve"> for people experiencing mental health challenges.</w:t>
      </w:r>
    </w:p>
    <w:p w14:paraId="78389864" w14:textId="77777777" w:rsidR="00FF4582" w:rsidRDefault="00FF4582">
      <w:pPr>
        <w:suppressAutoHyphens w:val="0"/>
        <w:autoSpaceDE/>
        <w:autoSpaceDN/>
        <w:adjustRightInd/>
        <w:spacing w:after="0" w:line="240" w:lineRule="auto"/>
        <w:textAlignment w:val="auto"/>
        <w:sectPr w:rsidR="00FF4582" w:rsidSect="001D15E1">
          <w:footnotePr>
            <w:numFmt w:val="lowerRoman"/>
          </w:footnotePr>
          <w:endnotePr>
            <w:numFmt w:val="decimal"/>
          </w:endnotePr>
          <w:type w:val="continuous"/>
          <w:pgSz w:w="11906" w:h="16838" w:code="9"/>
          <w:pgMar w:top="1440" w:right="1440" w:bottom="1440" w:left="1440" w:header="1134" w:footer="567" w:gutter="0"/>
          <w:cols w:num="2" w:space="708"/>
          <w:noEndnote/>
          <w:docGrid w:linePitch="360"/>
        </w:sectPr>
      </w:pPr>
    </w:p>
    <w:p w14:paraId="78D060AD" w14:textId="02ACBE42" w:rsidR="00F25398" w:rsidRDefault="00F25398">
      <w:pPr>
        <w:suppressAutoHyphens w:val="0"/>
        <w:autoSpaceDE/>
        <w:autoSpaceDN/>
        <w:adjustRightInd/>
        <w:spacing w:after="0" w:line="240" w:lineRule="auto"/>
        <w:textAlignment w:val="auto"/>
        <w:rPr>
          <w:rFonts w:eastAsiaTheme="majorEastAsia" w:cstheme="majorBidi"/>
          <w:color w:val="008143"/>
          <w:sz w:val="24"/>
          <w:szCs w:val="26"/>
          <w:lang w:eastAsia="en-AU"/>
        </w:rPr>
      </w:pPr>
      <w:r>
        <w:br w:type="page"/>
      </w:r>
    </w:p>
    <w:p w14:paraId="1ED75243" w14:textId="060D2E55" w:rsidR="009C373F" w:rsidRPr="00BD5B9A" w:rsidRDefault="009C373F" w:rsidP="009F46B4">
      <w:pPr>
        <w:pStyle w:val="Heading2"/>
      </w:pPr>
      <w:r w:rsidRPr="00BD5B9A">
        <w:lastRenderedPageBreak/>
        <w:t>Progress since last Report Card</w:t>
      </w:r>
    </w:p>
    <w:p w14:paraId="30C27B54" w14:textId="738E32CB" w:rsidR="009C373F" w:rsidRPr="00734B4C" w:rsidRDefault="009C373F" w:rsidP="00734B4C">
      <w:r w:rsidRPr="00734B4C">
        <w:t xml:space="preserve">The Commission has been working with stakeholders to continue to improve the National Report Card each year so that it reports in a clear and compelling way. Our Reporting Framework is built on a core set of initial indicators supported by reliable national data and provides a foundation for ongoing development. </w:t>
      </w:r>
    </w:p>
    <w:p w14:paraId="30021EAE" w14:textId="1A01F153" w:rsidR="009C373F" w:rsidRPr="00EA0EF9" w:rsidRDefault="009C373F" w:rsidP="001071A4">
      <w:pPr>
        <w:pStyle w:val="NormalBeforeBullet"/>
      </w:pPr>
      <w:r w:rsidRPr="67596D41">
        <w:t xml:space="preserve">This year, we have worked to advance our Reporting Framework through evolving </w:t>
      </w:r>
      <w:r w:rsidR="00DC5A13">
        <w:t>D</w:t>
      </w:r>
      <w:r w:rsidRPr="67596D41">
        <w:t xml:space="preserve">omain 3 - the Mental Health System which previously had no </w:t>
      </w:r>
      <w:r>
        <w:t xml:space="preserve">defined </w:t>
      </w:r>
      <w:r w:rsidRPr="67596D41">
        <w:t>indicators</w:t>
      </w:r>
      <w:r>
        <w:t xml:space="preserve">. This Report Card introduces </w:t>
      </w:r>
      <w:r w:rsidRPr="67596D41">
        <w:t xml:space="preserve">key themes and measures to explore this complex area. We achieved this through: </w:t>
      </w:r>
    </w:p>
    <w:p w14:paraId="5C5FD8E5" w14:textId="77777777" w:rsidR="009C373F" w:rsidRPr="00EA0EF9" w:rsidRDefault="009C373F" w:rsidP="001071A4">
      <w:pPr>
        <w:pStyle w:val="ListBullet"/>
        <w:rPr>
          <w:rFonts w:eastAsia="Aptos"/>
        </w:rPr>
      </w:pPr>
      <w:r w:rsidRPr="67596D41">
        <w:rPr>
          <w:rFonts w:eastAsia="Aptos"/>
        </w:rPr>
        <w:t>Establishing our Report Card Working Group to improve our understanding of the complex mental health system performance, useful datasets and future measures, so we can monitor</w:t>
      </w:r>
      <w:r>
        <w:rPr>
          <w:rFonts w:eastAsia="Aptos"/>
        </w:rPr>
        <w:t xml:space="preserve"> the progress of the mental health system</w:t>
      </w:r>
      <w:r w:rsidRPr="67596D41">
        <w:rPr>
          <w:rFonts w:eastAsia="Aptos"/>
        </w:rPr>
        <w:t xml:space="preserve"> effectively over time</w:t>
      </w:r>
      <w:r>
        <w:rPr>
          <w:rFonts w:eastAsia="Aptos"/>
        </w:rPr>
        <w:t>; and</w:t>
      </w:r>
    </w:p>
    <w:p w14:paraId="6410A14E" w14:textId="77777777" w:rsidR="009C373F" w:rsidRDefault="009C373F" w:rsidP="001071A4">
      <w:pPr>
        <w:pStyle w:val="ListBullet"/>
        <w:rPr>
          <w:rFonts w:eastAsia="Aptos"/>
        </w:rPr>
      </w:pPr>
      <w:r w:rsidRPr="00EA0EF9">
        <w:rPr>
          <w:rFonts w:eastAsia="Aptos"/>
        </w:rPr>
        <w:t xml:space="preserve">Partnering with Mental Health Australia to explore </w:t>
      </w:r>
      <w:r>
        <w:rPr>
          <w:rFonts w:eastAsia="Aptos"/>
        </w:rPr>
        <w:t xml:space="preserve">opportunities </w:t>
      </w:r>
      <w:r w:rsidRPr="00EA0EF9">
        <w:rPr>
          <w:rFonts w:eastAsia="Aptos"/>
        </w:rPr>
        <w:t>to include data from non-government organisations delivering mental health services in the community</w:t>
      </w:r>
      <w:r>
        <w:rPr>
          <w:rFonts w:eastAsia="Aptos"/>
        </w:rPr>
        <w:t>.</w:t>
      </w:r>
      <w:r w:rsidRPr="00EA0EF9">
        <w:rPr>
          <w:rFonts w:eastAsia="Aptos"/>
        </w:rPr>
        <w:t xml:space="preserve"> </w:t>
      </w:r>
    </w:p>
    <w:p w14:paraId="3D9B7618" w14:textId="74CA7422" w:rsidR="009C373F" w:rsidRPr="0024605D" w:rsidRDefault="009C373F" w:rsidP="00BD5B9A">
      <w:pPr>
        <w:rPr>
          <w:lang w:val="en-AU"/>
        </w:rPr>
      </w:pPr>
      <w:r>
        <w:rPr>
          <w:lang w:val="en-AU"/>
        </w:rPr>
        <w:t>This builds on the work of previous report cards. Our 2023 and 2024 editions</w:t>
      </w:r>
      <w:r w:rsidR="0024605D">
        <w:rPr>
          <w:lang w:val="en-AU"/>
        </w:rPr>
        <w:t xml:space="preserve"> </w:t>
      </w:r>
      <w:r>
        <w:rPr>
          <w:lang w:val="en-AU"/>
        </w:rPr>
        <w:t>assessed 13 initial indicators across our first and second domains.</w:t>
      </w:r>
    </w:p>
    <w:p w14:paraId="5F881F04" w14:textId="27BB7EFB" w:rsidR="00C57E16" w:rsidRDefault="009C373F" w:rsidP="00BD5B9A">
      <w:pPr>
        <w:rPr>
          <w:lang w:val="en-AU"/>
        </w:rPr>
      </w:pPr>
      <w:r w:rsidRPr="00D00A31">
        <w:rPr>
          <w:lang w:val="en-AU"/>
        </w:rPr>
        <w:t>We will continue to strengthen our approach through engagement with governments, the sector, people with lived experience and data custodians to support robust assessment of system performance over time.</w:t>
      </w:r>
    </w:p>
    <w:p w14:paraId="4019D28C" w14:textId="0E909A6D" w:rsidR="00C57E16" w:rsidRPr="001B11C1" w:rsidRDefault="008F29AF" w:rsidP="009F46B4">
      <w:pPr>
        <w:pStyle w:val="Heading2"/>
      </w:pPr>
      <w:r>
        <w:rPr>
          <w:noProof/>
        </w:rPr>
        <mc:AlternateContent>
          <mc:Choice Requires="wps">
            <w:drawing>
              <wp:anchor distT="0" distB="0" distL="114300" distR="114300" simplePos="0" relativeHeight="251658252" behindDoc="1" locked="0" layoutInCell="1" allowOverlap="1" wp14:anchorId="275A5F34" wp14:editId="0B572618">
                <wp:simplePos x="0" y="0"/>
                <wp:positionH relativeFrom="page">
                  <wp:posOffset>756954</wp:posOffset>
                </wp:positionH>
                <wp:positionV relativeFrom="page">
                  <wp:posOffset>4178384</wp:posOffset>
                </wp:positionV>
                <wp:extent cx="6147435" cy="5419788"/>
                <wp:effectExtent l="0" t="0" r="0" b="3175"/>
                <wp:wrapNone/>
                <wp:docPr id="1390777108" name="Rectangle 1390777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5419788"/>
                        </a:xfrm>
                        <a:prstGeom prst="rect">
                          <a:avLst/>
                        </a:prstGeom>
                        <a:solidFill>
                          <a:srgbClr val="F9F9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03E42C9" id="Rectangle 1390777108" o:spid="_x0000_s1026" alt="&quot;&quot;" style="position:absolute;margin-left:59.6pt;margin-top:329pt;width:484.05pt;height:426.75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" fillcolor="#f9f9e5" stroked="f" strokeweight="1pt">
                <w10:wrap anchorx="page" anchory="page"/>
              </v:rect>
            </w:pict>
          </mc:Fallback>
        </mc:AlternateContent>
      </w:r>
      <w:r>
        <w:br/>
      </w:r>
      <w:r w:rsidR="00C57E16" w:rsidRPr="001B11C1">
        <w:t>Reading Report Card 2025</w:t>
      </w:r>
    </w:p>
    <w:p w14:paraId="39AF1D6D" w14:textId="7C6CD6F7" w:rsidR="00C57E16" w:rsidRDefault="00C57E16" w:rsidP="00C57E16">
      <w:r w:rsidRPr="009147CB">
        <w:t>The Report Card’s Reporting Framework aims to deliver a comprehensive and holistic view of mental health, informed by a range of evidence sources, while also acknowledging th</w:t>
      </w:r>
      <w:r>
        <w:t>at</w:t>
      </w:r>
      <w:r w:rsidRPr="009147CB">
        <w:t xml:space="preserve"> infrequent updates between key data sources and data gaps limit our understanding in areas.  </w:t>
      </w:r>
    </w:p>
    <w:p w14:paraId="0E08ACE7" w14:textId="1361C65E" w:rsidR="00C57E16" w:rsidRPr="009147CB" w:rsidRDefault="00C57E16" w:rsidP="00734B4C">
      <w:pPr>
        <w:pStyle w:val="Heading3"/>
      </w:pPr>
      <w:r w:rsidRPr="67596D41">
        <w:t xml:space="preserve">Environmental Scan 2025 </w:t>
      </w:r>
    </w:p>
    <w:p w14:paraId="7DDDC646" w14:textId="42B7371A" w:rsidR="00C57E16" w:rsidRDefault="00C57E16" w:rsidP="00C57E16">
      <w:r w:rsidRPr="001B11C1">
        <w:t xml:space="preserve">The National Report Card Environmental Scan reflects on the 2025 calendar year period (1 January-31 December 2025) to identify major trends and events which may have affected the mental health of people in Australia. This provides a contextual grounding against which to consider the findings through our domains. A scan summary is presented in this Report Card. The full report can be found at: </w:t>
      </w:r>
      <w:hyperlink r:id="rId59" w:history="1">
        <w:r w:rsidR="00306828" w:rsidRPr="00BF1CA2">
          <w:rPr>
            <w:rStyle w:val="Hyperlink"/>
            <w:u w:val="none"/>
          </w:rPr>
          <w:t>https://www.mentalhealthcommission.gov.au/publications/national-report-card-2025-environmental-scan</w:t>
        </w:r>
      </w:hyperlink>
      <w:r w:rsidR="00306828" w:rsidRPr="00306828">
        <w:t xml:space="preserve"> </w:t>
      </w:r>
    </w:p>
    <w:p w14:paraId="400C59A6" w14:textId="5C240B4D" w:rsidR="00C57E16" w:rsidRDefault="00C57E16" w:rsidP="00734B4C">
      <w:pPr>
        <w:pStyle w:val="Heading3"/>
      </w:pPr>
      <w:r w:rsidRPr="372AABEA">
        <w:t xml:space="preserve">Domains 1, 2 and 3 </w:t>
      </w:r>
    </w:p>
    <w:p w14:paraId="34D816A3" w14:textId="77777777" w:rsidR="00C57E16" w:rsidRPr="008F29AF" w:rsidRDefault="00C57E16" w:rsidP="008F29AF">
      <w:pPr>
        <w:pStyle w:val="NormalBeforeBullet"/>
      </w:pPr>
      <w:r w:rsidRPr="008F29AF">
        <w:t>Domains 1, 2 and 3 present a whole-of-life view of mental health, informed by analysis of data:</w:t>
      </w:r>
    </w:p>
    <w:p w14:paraId="60E9432E" w14:textId="11882025" w:rsidR="00C57E16" w:rsidRDefault="00C57E16" w:rsidP="00C57E16">
      <w:pPr>
        <w:pStyle w:val="ListBullet"/>
      </w:pPr>
      <w:r w:rsidRPr="009147CB">
        <w:t xml:space="preserve">collected up </w:t>
      </w:r>
      <w:r w:rsidR="00BF1CA2">
        <w:t xml:space="preserve">to and including </w:t>
      </w:r>
      <w:r w:rsidRPr="009147CB">
        <w:t>December 2025</w:t>
      </w:r>
      <w:r>
        <w:t>; and</w:t>
      </w:r>
    </w:p>
    <w:p w14:paraId="6FC31EFD" w14:textId="0CB0D2C5" w:rsidR="00C57E16" w:rsidRPr="001B11C1" w:rsidRDefault="00C57E16" w:rsidP="00C57E16">
      <w:pPr>
        <w:pStyle w:val="ListBullet"/>
      </w:pPr>
      <w:r>
        <w:t xml:space="preserve">data </w:t>
      </w:r>
      <w:r w:rsidRPr="004201B6">
        <w:t xml:space="preserve">released </w:t>
      </w:r>
      <w:r>
        <w:t xml:space="preserve">and published </w:t>
      </w:r>
      <w:r w:rsidRPr="004201B6">
        <w:t xml:space="preserve">up </w:t>
      </w:r>
      <w:r w:rsidR="00BF1CA2">
        <w:t xml:space="preserve">to </w:t>
      </w:r>
      <w:r w:rsidRPr="004201B6">
        <w:t xml:space="preserve">and </w:t>
      </w:r>
      <w:r w:rsidR="00BF1CA2">
        <w:t xml:space="preserve">including </w:t>
      </w:r>
      <w:r w:rsidRPr="004201B6">
        <w:t xml:space="preserve">June 2026. </w:t>
      </w:r>
    </w:p>
    <w:p w14:paraId="2B88C39A" w14:textId="77777777" w:rsidR="00C57E16" w:rsidRDefault="00C57E16" w:rsidP="00C57E16">
      <w:r>
        <w:t>A key part of the approach to the Commission’s Report Card is looking at how outcomes for people experiencing mental health challenges differ to outcomes experienced across the broader population, as represented in the data</w:t>
      </w:r>
      <w:r w:rsidRPr="001F0616">
        <w:t xml:space="preserve">. </w:t>
      </w:r>
    </w:p>
    <w:p w14:paraId="38C4AFCE" w14:textId="77777777" w:rsidR="00C57E16" w:rsidRPr="00CC385F" w:rsidRDefault="00C57E16" w:rsidP="00C57E16">
      <w:r w:rsidRPr="00FF310E">
        <w:t>We use an equity</w:t>
      </w:r>
      <w:r>
        <w:t>-</w:t>
      </w:r>
      <w:r w:rsidRPr="00FF310E">
        <w:t xml:space="preserve">focused lens through which to consider the data. </w:t>
      </w:r>
      <w:r>
        <w:t>For example, w</w:t>
      </w:r>
      <w:r w:rsidRPr="00FF310E">
        <w:t xml:space="preserve">e do this by asking </w:t>
      </w:r>
      <w:r w:rsidRPr="00757656">
        <w:rPr>
          <w:i/>
          <w:iCs/>
        </w:rPr>
        <w:t xml:space="preserve">“is it the same for everyone?” </w:t>
      </w:r>
      <w:r w:rsidRPr="00FF310E">
        <w:t xml:space="preserve">throughout our analysis, and where </w:t>
      </w:r>
      <w:r w:rsidRPr="372AABEA">
        <w:t>possible from the data</w:t>
      </w:r>
      <w:r w:rsidRPr="00FF310E">
        <w:t xml:space="preserve"> </w:t>
      </w:r>
      <w:r>
        <w:t>provide a break down</w:t>
      </w:r>
      <w:r w:rsidRPr="00FF310E">
        <w:t xml:space="preserve"> on specific population groups.</w:t>
      </w:r>
      <w:r w:rsidRPr="372AABEA">
        <w:t xml:space="preserve"> </w:t>
      </w:r>
      <w:r w:rsidRPr="67596D41">
        <w:t xml:space="preserve">Population groups are defined by a variety of factors such as geography, culture, age, and socioeconomic status. Under-representation of </w:t>
      </w:r>
      <w:r>
        <w:t xml:space="preserve">some </w:t>
      </w:r>
      <w:r w:rsidRPr="67596D41">
        <w:t>population groups in national data</w:t>
      </w:r>
      <w:r>
        <w:t xml:space="preserve">, such as people from culturally and linguistically diverse backgrounds, and people who identify as </w:t>
      </w:r>
      <w:r w:rsidRPr="00C25293">
        <w:t>LGBTIQA+</w:t>
      </w:r>
      <w:r>
        <w:t xml:space="preserve">, </w:t>
      </w:r>
      <w:r w:rsidRPr="67596D41">
        <w:t>can limit the understanding of mental health outcomes</w:t>
      </w:r>
      <w:r>
        <w:t xml:space="preserve"> for these groups</w:t>
      </w:r>
      <w:r w:rsidRPr="67596D41">
        <w:t>. Having high-quality, representative data would help identify specific mental health needs, monitor outcomes, and support improvements in policy, service planning, and access to care.</w:t>
      </w:r>
    </w:p>
    <w:p w14:paraId="6C9948E6" w14:textId="77777777" w:rsidR="00C57E16" w:rsidRDefault="00C57E16" w:rsidP="00C57E16">
      <w:r>
        <w:t xml:space="preserve">Throughout the domains, we </w:t>
      </w:r>
      <w:r w:rsidRPr="67596D41">
        <w:t xml:space="preserve">actively call out and acknowledge where data gaps are limiting our understanding. While the Commission is not a data custodian, we do play a role in creating transparency around what is known about the system, </w:t>
      </w:r>
      <w:r>
        <w:t>and</w:t>
      </w:r>
      <w:r w:rsidRPr="67596D41">
        <w:t xml:space="preserve"> what is not well understood.</w:t>
      </w:r>
    </w:p>
    <w:p w14:paraId="4F8EA24E" w14:textId="1D0B191D" w:rsidR="00C57E16" w:rsidRDefault="00BF1CA2" w:rsidP="00734B4C">
      <w:pPr>
        <w:pStyle w:val="Heading3"/>
      </w:pPr>
      <w:r>
        <w:rPr>
          <w:noProof/>
        </w:rPr>
        <w:lastRenderedPageBreak/>
        <mc:AlternateContent>
          <mc:Choice Requires="wps">
            <w:drawing>
              <wp:anchor distT="0" distB="0" distL="114300" distR="114300" simplePos="0" relativeHeight="251831438" behindDoc="1" locked="0" layoutInCell="1" allowOverlap="1" wp14:anchorId="27C4F995" wp14:editId="6836892A">
                <wp:simplePos x="0" y="0"/>
                <wp:positionH relativeFrom="margin">
                  <wp:posOffset>-127221</wp:posOffset>
                </wp:positionH>
                <wp:positionV relativeFrom="page">
                  <wp:posOffset>922351</wp:posOffset>
                </wp:positionV>
                <wp:extent cx="6105525" cy="842839"/>
                <wp:effectExtent l="0" t="0" r="3175" b="0"/>
                <wp:wrapNone/>
                <wp:docPr id="454203476" name="Rectangle 4542034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05525" cy="842839"/>
                        </a:xfrm>
                        <a:prstGeom prst="rect">
                          <a:avLst/>
                        </a:prstGeom>
                        <a:solidFill>
                          <a:srgbClr val="F9F9E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345F3" id="Rectangle 454203476" o:spid="_x0000_s1026" alt="&quot;&quot;" style="position:absolute;margin-left:-10pt;margin-top:72.65pt;width:480.75pt;height:66.35pt;z-index:-2514850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" fillcolor="#f9f9e5" stroked="f" strokeweight="1pt">
                <w10:wrap anchorx="margin" anchory="page"/>
              </v:rect>
            </w:pict>
          </mc:Fallback>
        </mc:AlternateContent>
      </w:r>
      <w:r w:rsidR="00C57E16" w:rsidRPr="004B364D">
        <w:t xml:space="preserve">Developing the National Report Card  </w:t>
      </w:r>
    </w:p>
    <w:p w14:paraId="3684ACC9" w14:textId="247D9F71" w:rsidR="003B49E1" w:rsidRDefault="00C57E16" w:rsidP="00A6213F">
      <w:r>
        <w:t xml:space="preserve">This section describes our monitoring and reporting approach, what changes we are implementing and our </w:t>
      </w:r>
      <w:r w:rsidR="00C06F8E">
        <w:br/>
      </w:r>
      <w:r>
        <w:t>future directions for iterative improvements over time. This is complemented by our forthcoming Report Card Technical Report.</w:t>
      </w:r>
    </w:p>
    <w:p w14:paraId="025A7963" w14:textId="5ACB424A" w:rsidR="003B49E1" w:rsidRDefault="00830421" w:rsidP="007140DC">
      <w:pPr>
        <w:pStyle w:val="NMHCIntroParagraph"/>
        <w:spacing w:before="120"/>
      </w:pPr>
      <w:r>
        <w:rPr>
          <w:noProof/>
        </w:rPr>
        <w:drawing>
          <wp:anchor distT="0" distB="0" distL="114300" distR="114300" simplePos="0" relativeHeight="251666574" behindDoc="0" locked="0" layoutInCell="1" allowOverlap="1" wp14:anchorId="062CF467" wp14:editId="6700C2E4">
            <wp:simplePos x="0" y="0"/>
            <wp:positionH relativeFrom="column">
              <wp:posOffset>-166370</wp:posOffset>
            </wp:positionH>
            <wp:positionV relativeFrom="paragraph">
              <wp:posOffset>704629</wp:posOffset>
            </wp:positionV>
            <wp:extent cx="6098227" cy="7574170"/>
            <wp:effectExtent l="0" t="0" r="0" b="0"/>
            <wp:wrapNone/>
            <wp:docPr id="1742083167" name="Picture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83167" name="Picture 106">
                      <a:extLst>
                        <a:ext uri="{C183D7F6-B498-43B3-948B-1728B52AA6E4}">
                          <adec:decorative xmlns:adec="http://schemas.microsoft.com/office/drawing/2017/decorative" val="1"/>
                        </a:ext>
                      </a:extLst>
                    </pic:cNvPr>
                    <pic:cNvPicPr/>
                  </pic:nvPicPr>
                  <pic:blipFill rotWithShape="1">
                    <a:blip r:embed="rId60" cstate="print">
                      <a:extLst>
                        <a:ext uri="{28A0092B-C50C-407E-A947-70E740481C1C}">
                          <a14:useLocalDpi xmlns:a14="http://schemas.microsoft.com/office/drawing/2010/main" val="0"/>
                        </a:ext>
                      </a:extLst>
                    </a:blip>
                    <a:srcRect l="8194" t="8655" r="11191" b="20507"/>
                    <a:stretch>
                      <a:fillRect/>
                    </a:stretch>
                  </pic:blipFill>
                  <pic:spPr bwMode="auto">
                    <a:xfrm>
                      <a:off x="0" y="0"/>
                      <a:ext cx="6098227" cy="7574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AU" w:eastAsia="en-GB"/>
        </w:rPr>
        <w:br/>
      </w:r>
      <w:r w:rsidR="0080414C" w:rsidRPr="0080414C">
        <w:rPr>
          <w:lang w:val="en-AU" w:eastAsia="en-GB"/>
        </w:rPr>
        <w:t>How well is the mental health system meeting the needs of people in Australia?</w:t>
      </w:r>
      <w:r w:rsidR="00BF1CA2">
        <w:rPr>
          <w:lang w:val="en-AU" w:eastAsia="en-GB"/>
        </w:rPr>
        <w:t xml:space="preserve"> - Our Reporting Framework</w:t>
      </w:r>
      <w:r w:rsidR="001D0F3A">
        <w:rPr>
          <w:lang w:val="en-AU" w:eastAsia="en-GB"/>
        </w:rPr>
        <w:br/>
      </w:r>
      <w:r w:rsidR="003B49E1">
        <w:br w:type="page"/>
      </w:r>
    </w:p>
    <w:p w14:paraId="1A1570CD" w14:textId="6893CCB2" w:rsidR="00BF1C04" w:rsidRDefault="003C650A" w:rsidP="00A6213F">
      <w:r>
        <w:rPr>
          <w:noProof/>
        </w:rPr>
        <w:lastRenderedPageBreak/>
        <w:drawing>
          <wp:anchor distT="0" distB="720090" distL="114300" distR="114300" simplePos="0" relativeHeight="251658325" behindDoc="0" locked="0" layoutInCell="1" allowOverlap="1" wp14:anchorId="1D5EEBB7" wp14:editId="57A25702">
            <wp:simplePos x="0" y="0"/>
            <wp:positionH relativeFrom="margin">
              <wp:posOffset>-1550670</wp:posOffset>
            </wp:positionH>
            <wp:positionV relativeFrom="margin">
              <wp:posOffset>-964731</wp:posOffset>
            </wp:positionV>
            <wp:extent cx="9319895" cy="4131945"/>
            <wp:effectExtent l="0" t="0" r="1905" b="0"/>
            <wp:wrapSquare wrapText="bothSides"/>
            <wp:docPr id="1217549031" name="Picture 60" descr="Black and white photograph showing a man and woman walking and smiling along a waterfront promenade with other people in the background. The scene captures a casual, sunny day with relaxed social interaction and a coastal urban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549031" name="Picture 60" descr="Black and white photograph showing a man and woman walking and smiling along a waterfront promenade with other people in the background. The scene captures a casual, sunny day with relaxed social interaction and a coastal urban environment."/>
                    <pic:cNvPicPr/>
                  </pic:nvPicPr>
                  <pic:blipFill rotWithShape="1">
                    <a:blip r:embed="rId61" cstate="email">
                      <a:extLst>
                        <a:ext uri="{28A0092B-C50C-407E-A947-70E740481C1C}">
                          <a14:useLocalDpi xmlns:a14="http://schemas.microsoft.com/office/drawing/2010/main"/>
                        </a:ext>
                      </a:extLst>
                    </a:blip>
                    <a:srcRect l="-4683"/>
                    <a:stretch>
                      <a:fillRect/>
                    </a:stretch>
                  </pic:blipFill>
                  <pic:spPr bwMode="auto">
                    <a:xfrm>
                      <a:off x="0" y="0"/>
                      <a:ext cx="9319895" cy="4131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412D90" w14:textId="77777777" w:rsidR="00102BED" w:rsidRPr="00A6213F" w:rsidRDefault="00102BED" w:rsidP="00A6213F">
      <w:pPr>
        <w:sectPr w:rsidR="00102BED" w:rsidRPr="00A6213F" w:rsidSect="001D15E1">
          <w:footnotePr>
            <w:numFmt w:val="lowerRoman"/>
          </w:footnotePr>
          <w:endnotePr>
            <w:numFmt w:val="decimal"/>
          </w:endnotePr>
          <w:type w:val="continuous"/>
          <w:pgSz w:w="11906" w:h="16838" w:code="9"/>
          <w:pgMar w:top="1440" w:right="1440" w:bottom="1440" w:left="1440" w:header="1134" w:footer="567" w:gutter="0"/>
          <w:cols w:space="708"/>
          <w:noEndnote/>
          <w:docGrid w:linePitch="360"/>
        </w:sectPr>
      </w:pPr>
    </w:p>
    <w:p w14:paraId="6691B246" w14:textId="04AF01A4" w:rsidR="00F75E05" w:rsidRPr="00C942EC" w:rsidRDefault="00F75E05" w:rsidP="00F75E05">
      <w:pPr>
        <w:pStyle w:val="Heading1"/>
      </w:pPr>
      <w:bookmarkStart w:id="27" w:name="_Toc237878285"/>
      <w:r>
        <w:t xml:space="preserve">2025 Retrospective Calendar Year </w:t>
      </w:r>
      <w:r w:rsidR="00FC52DB">
        <w:br/>
      </w:r>
      <w:r>
        <w:t>Environmental Scan</w:t>
      </w:r>
      <w:bookmarkEnd w:id="27"/>
      <w:r>
        <w:t xml:space="preserve"> </w:t>
      </w:r>
    </w:p>
    <w:p w14:paraId="0B253115" w14:textId="63A9DDF0" w:rsidR="009C373F" w:rsidRPr="0062586E" w:rsidRDefault="009C373F" w:rsidP="005910AB">
      <w:pPr>
        <w:pStyle w:val="NMHCIntroParagraph"/>
        <w:rPr>
          <w:rFonts w:cstheme="minorBidi"/>
          <w:lang w:val="en-AU"/>
        </w:rPr>
      </w:pPr>
      <w:r w:rsidRPr="0062586E">
        <w:t xml:space="preserve">The Commission conducted a retrospective environmental scan of major events and trends that occurred between 1 January 2025 and 31 December 2025 to understand the external factors that had the potential to impact the mental health of people in Australia and to contextualise the data shown in this Report Card. </w:t>
      </w:r>
    </w:p>
    <w:p w14:paraId="2CD8A7E8" w14:textId="1120E765" w:rsidR="009C373F" w:rsidRPr="00F14E16" w:rsidRDefault="009C373F" w:rsidP="00F14E16">
      <w:r w:rsidRPr="00F14E16">
        <w:t xml:space="preserve">Each event/trend that emerged was assessed based on the estimated reach and size of the expected impact on the mental health of people in Australia, the strength of the evidence supporting a potential link between the event/trend and mental health outcomes, and the general relevance of the event/trend to the mental health of people in Australia. </w:t>
      </w:r>
    </w:p>
    <w:p w14:paraId="3F355DD2" w14:textId="48DEAB8C" w:rsidR="00F14E16" w:rsidRPr="00F14E16" w:rsidRDefault="009C373F" w:rsidP="00F14E16">
      <w:r w:rsidRPr="00F14E16">
        <w:t xml:space="preserve">Several interconnected themes emerged based on this evaluation that are summarised below and discussed in further detail in the separate National Report Card: Environmental Scan 2025, published on </w:t>
      </w:r>
      <w:r w:rsidR="000F15DC">
        <w:t>12 August 2026</w:t>
      </w:r>
      <w:r w:rsidR="007654E2">
        <w:t>.</w:t>
      </w:r>
      <w:r w:rsidRPr="00F14E16">
        <w:t xml:space="preserve"> </w:t>
      </w:r>
    </w:p>
    <w:p w14:paraId="4DC1F0C5" w14:textId="674E3ADF" w:rsidR="009C373F" w:rsidRPr="00F14E16" w:rsidRDefault="009C373F" w:rsidP="00F14E16">
      <w:r w:rsidRPr="00F14E16">
        <w:t>These themes provide insight into the contextual environment of the 2025 calendar year and are intended to frame the changes in mental health outcomes described in the 2025 Report Card without suggesting they had a causal impact. The environmental scan involved a desktop review of reports, publications, media releases, peer-reviewed literature and other relevant outputs from organisations and institutions across sectors that influence mental health.</w:t>
      </w:r>
    </w:p>
    <w:p w14:paraId="2B364FF8" w14:textId="08C10269" w:rsidR="00B77D9B" w:rsidRDefault="00B77D9B">
      <w:pPr>
        <w:suppressAutoHyphens w:val="0"/>
        <w:autoSpaceDE/>
        <w:autoSpaceDN/>
        <w:adjustRightInd/>
        <w:spacing w:after="0" w:line="240" w:lineRule="auto"/>
        <w:textAlignment w:val="auto"/>
        <w:rPr>
          <w:b/>
          <w:bCs/>
        </w:rPr>
      </w:pPr>
      <w:r>
        <w:rPr>
          <w:b/>
          <w:bCs/>
        </w:rPr>
        <w:br w:type="page"/>
      </w:r>
    </w:p>
    <w:p w14:paraId="6F3E323B" w14:textId="3CD44352" w:rsidR="00FC52DB" w:rsidRDefault="00FC52DB">
      <w:pPr>
        <w:suppressAutoHyphens w:val="0"/>
        <w:autoSpaceDE/>
        <w:autoSpaceDN/>
        <w:adjustRightInd/>
        <w:spacing w:after="0" w:line="240" w:lineRule="auto"/>
        <w:textAlignment w:val="auto"/>
        <w:rPr>
          <w:b/>
          <w:bCs/>
        </w:rPr>
      </w:pPr>
      <w:r>
        <w:rPr>
          <w:b/>
          <w:bCs/>
          <w:noProof/>
        </w:rPr>
        <w:lastRenderedPageBreak/>
        <w:drawing>
          <wp:anchor distT="0" distB="0" distL="114300" distR="114300" simplePos="0" relativeHeight="251658253" behindDoc="1" locked="0" layoutInCell="1" allowOverlap="1" wp14:anchorId="6456027B" wp14:editId="7FD2FE99">
            <wp:simplePos x="0" y="0"/>
            <wp:positionH relativeFrom="column">
              <wp:posOffset>-320241</wp:posOffset>
            </wp:positionH>
            <wp:positionV relativeFrom="paragraph">
              <wp:posOffset>87787</wp:posOffset>
            </wp:positionV>
            <wp:extent cx="6308969" cy="8405446"/>
            <wp:effectExtent l="0" t="0" r="3175" b="2540"/>
            <wp:wrapNone/>
            <wp:docPr id="1063132195"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32195" name="Picture 27">
                      <a:extLst>
                        <a:ext uri="{C183D7F6-B498-43B3-948B-1728B52AA6E4}">
                          <adec:decorative xmlns:adec="http://schemas.microsoft.com/office/drawing/2017/decorative" val="1"/>
                        </a:ext>
                      </a:extLst>
                    </pic:cNvPr>
                    <pic:cNvPicPr/>
                  </pic:nvPicPr>
                  <pic:blipFill rotWithShape="1">
                    <a:blip r:embed="rId62" cstate="print">
                      <a:extLst>
                        <a:ext uri="{28A0092B-C50C-407E-A947-70E740481C1C}">
                          <a14:useLocalDpi xmlns:a14="http://schemas.microsoft.com/office/drawing/2010/main" val="0"/>
                        </a:ext>
                      </a:extLst>
                    </a:blip>
                    <a:srcRect l="5375" t="10636" r="5324" b="5191"/>
                    <a:stretch>
                      <a:fillRect/>
                    </a:stretch>
                  </pic:blipFill>
                  <pic:spPr bwMode="auto">
                    <a:xfrm>
                      <a:off x="0" y="0"/>
                      <a:ext cx="6308969" cy="8405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rPr>
        <w:br w:type="page"/>
      </w:r>
    </w:p>
    <w:p w14:paraId="4CC899BD" w14:textId="2BB50EEF" w:rsidR="00E40A4A" w:rsidRDefault="009C373F" w:rsidP="005769D6">
      <w:pPr>
        <w:rPr>
          <w:vertAlign w:val="superscript"/>
        </w:rPr>
        <w:sectPr w:rsidR="00E40A4A" w:rsidSect="001D15E1">
          <w:endnotePr>
            <w:numFmt w:val="decimal"/>
          </w:endnotePr>
          <w:type w:val="continuous"/>
          <w:pgSz w:w="11906" w:h="16838" w:code="9"/>
          <w:pgMar w:top="1440" w:right="1440" w:bottom="1440" w:left="1440" w:header="1134" w:footer="567" w:gutter="0"/>
          <w:cols w:space="708"/>
          <w:noEndnote/>
          <w:docGrid w:linePitch="360"/>
        </w:sectPr>
      </w:pPr>
      <w:r w:rsidRPr="006F72E5">
        <w:rPr>
          <w:b/>
          <w:bCs/>
        </w:rPr>
        <w:lastRenderedPageBreak/>
        <w:t>Cost of living and housing stress</w:t>
      </w:r>
      <w:r w:rsidRPr="005769D6">
        <w:t xml:space="preserve"> remained major pressures throughout 2025. Rising living costs, rental stress and housing affordability contributed to financial hardship and insecurity, and even influenced how often people access health care, including mental health care</w:t>
      </w:r>
      <w:r w:rsidR="00A048B2">
        <w:t>.</w:t>
      </w:r>
      <w:r w:rsidRPr="005769D6">
        <w:rPr>
          <w:vertAlign w:val="superscript"/>
        </w:rPr>
        <w:endnoteReference w:id="20"/>
      </w:r>
    </w:p>
    <w:p w14:paraId="08C5EA83" w14:textId="5383E72D" w:rsidR="005769D6" w:rsidRPr="005769D6" w:rsidRDefault="009C373F" w:rsidP="005769D6">
      <w:r w:rsidRPr="005769D6">
        <w:rPr>
          <w:vertAlign w:val="superscript"/>
        </w:rPr>
        <w:endnoteReference w:id="21"/>
      </w:r>
      <w:r w:rsidRPr="005769D6">
        <w:rPr>
          <w:vertAlign w:val="superscript"/>
        </w:rPr>
        <w:t xml:space="preserve"> </w:t>
      </w:r>
      <w:r w:rsidRPr="005769D6">
        <w:rPr>
          <w:vertAlign w:val="superscript"/>
        </w:rPr>
        <w:endnoteReference w:id="22"/>
      </w:r>
      <w:r w:rsidRPr="005769D6">
        <w:rPr>
          <w:vertAlign w:val="superscript"/>
        </w:rPr>
        <w:t xml:space="preserve"> </w:t>
      </w:r>
      <w:r w:rsidRPr="005769D6">
        <w:rPr>
          <w:vertAlign w:val="superscript"/>
        </w:rPr>
        <w:endnoteReference w:id="23"/>
      </w:r>
      <w:r w:rsidRPr="005769D6">
        <w:rPr>
          <w:vertAlign w:val="superscript"/>
        </w:rPr>
        <w:t xml:space="preserve"> </w:t>
      </w:r>
      <w:r w:rsidRPr="005769D6">
        <w:rPr>
          <w:vertAlign w:val="superscript"/>
        </w:rPr>
        <w:endnoteReference w:id="24"/>
      </w:r>
      <w:r w:rsidRPr="005769D6">
        <w:t xml:space="preserve"> These pressures are no longer emerging issues but a persistent societal norm that poses increased risk to the longer-term mental health impacts for affected people in Australia.</w:t>
      </w:r>
    </w:p>
    <w:p w14:paraId="11E06A19" w14:textId="5B2A81E4" w:rsidR="009C373F" w:rsidRPr="006F72E5" w:rsidRDefault="009C373F" w:rsidP="006F72E5">
      <w:r w:rsidRPr="006F72E5">
        <w:rPr>
          <w:b/>
          <w:bCs/>
        </w:rPr>
        <w:t>Intergenerational inequity</w:t>
      </w:r>
      <w:r w:rsidRPr="006F72E5">
        <w:t xml:space="preserve"> was evident in 2025, with young people disproportionately affected by cost-of-living pressures, housing insecurity, loneliness, workplace burnout and reduced optimism about the future. </w:t>
      </w:r>
      <w:r w:rsidRPr="006F72E5">
        <w:rPr>
          <w:vertAlign w:val="superscript"/>
        </w:rPr>
        <w:endnoteReference w:id="25"/>
      </w:r>
      <w:r w:rsidRPr="006F72E5">
        <w:rPr>
          <w:vertAlign w:val="superscript"/>
        </w:rPr>
        <w:t xml:space="preserve"> </w:t>
      </w:r>
      <w:r w:rsidRPr="006F72E5">
        <w:rPr>
          <w:vertAlign w:val="superscript"/>
        </w:rPr>
        <w:endnoteReference w:id="26"/>
      </w:r>
      <w:r w:rsidRPr="006F72E5">
        <w:rPr>
          <w:vertAlign w:val="superscript"/>
        </w:rPr>
        <w:t xml:space="preserve"> </w:t>
      </w:r>
      <w:r w:rsidRPr="006F72E5">
        <w:rPr>
          <w:vertAlign w:val="superscript"/>
        </w:rPr>
        <w:endnoteReference w:id="27"/>
      </w:r>
      <w:r w:rsidRPr="006F72E5">
        <w:rPr>
          <w:vertAlign w:val="superscript"/>
        </w:rPr>
        <w:t xml:space="preserve"> </w:t>
      </w:r>
      <w:r w:rsidRPr="006F72E5">
        <w:rPr>
          <w:vertAlign w:val="superscript"/>
        </w:rPr>
        <w:endnoteReference w:id="28"/>
      </w:r>
      <w:r w:rsidRPr="006F72E5">
        <w:rPr>
          <w:vertAlign w:val="superscript"/>
        </w:rPr>
        <w:t xml:space="preserve"> </w:t>
      </w:r>
      <w:r w:rsidRPr="006F72E5">
        <w:rPr>
          <w:vertAlign w:val="superscript"/>
        </w:rPr>
        <w:endnoteReference w:id="29"/>
      </w:r>
      <w:r w:rsidRPr="006F72E5">
        <w:rPr>
          <w:vertAlign w:val="superscript"/>
        </w:rPr>
        <w:t xml:space="preserve"> </w:t>
      </w:r>
      <w:r w:rsidRPr="006F72E5">
        <w:rPr>
          <w:vertAlign w:val="superscript"/>
        </w:rPr>
        <w:endnoteReference w:id="30"/>
      </w:r>
      <w:r w:rsidRPr="006F72E5">
        <w:t xml:space="preserve">  Trans and gender diverse children and adolescents faced some uncertainty with the concurrent reviews into guidelines for gender-affirming care underway in 2025. </w:t>
      </w:r>
      <w:r w:rsidRPr="006F72E5">
        <w:rPr>
          <w:vertAlign w:val="superscript"/>
        </w:rPr>
        <w:endnoteReference w:id="31"/>
      </w:r>
      <w:r w:rsidRPr="006F72E5">
        <w:rPr>
          <w:vertAlign w:val="superscript"/>
        </w:rPr>
        <w:t xml:space="preserve"> </w:t>
      </w:r>
      <w:r w:rsidRPr="006F72E5">
        <w:rPr>
          <w:vertAlign w:val="superscript"/>
        </w:rPr>
        <w:endnoteReference w:id="32"/>
      </w:r>
      <w:r w:rsidRPr="006F72E5">
        <w:rPr>
          <w:vertAlign w:val="superscript"/>
        </w:rPr>
        <w:t xml:space="preserve"> </w:t>
      </w:r>
      <w:r w:rsidRPr="006F72E5">
        <w:rPr>
          <w:vertAlign w:val="superscript"/>
        </w:rPr>
        <w:endnoteReference w:id="33"/>
      </w:r>
      <w:r w:rsidRPr="006F72E5">
        <w:rPr>
          <w:vertAlign w:val="superscript"/>
        </w:rPr>
        <w:t xml:space="preserve"> </w:t>
      </w:r>
      <w:r w:rsidRPr="006F72E5">
        <w:rPr>
          <w:vertAlign w:val="superscript"/>
        </w:rPr>
        <w:endnoteReference w:id="34"/>
      </w:r>
      <w:r w:rsidRPr="006F72E5">
        <w:rPr>
          <w:vertAlign w:val="superscript"/>
        </w:rPr>
        <w:t xml:space="preserve"> </w:t>
      </w:r>
      <w:r w:rsidRPr="006F72E5">
        <w:rPr>
          <w:vertAlign w:val="superscript"/>
        </w:rPr>
        <w:endnoteReference w:id="35"/>
      </w:r>
      <w:r w:rsidRPr="006F72E5">
        <w:rPr>
          <w:vertAlign w:val="superscript"/>
        </w:rPr>
        <w:t xml:space="preserve"> </w:t>
      </w:r>
      <w:r w:rsidRPr="006F72E5">
        <w:rPr>
          <w:vertAlign w:val="superscript"/>
        </w:rPr>
        <w:endnoteReference w:id="36"/>
      </w:r>
      <w:r w:rsidRPr="006F72E5">
        <w:t xml:space="preserve"> Demand for youth mental health supports increased, outpacing service availability and driving higher demand of web and phone supports.</w:t>
      </w:r>
      <w:r w:rsidRPr="006F72E5">
        <w:rPr>
          <w:vertAlign w:val="superscript"/>
        </w:rPr>
        <w:t xml:space="preserve"> </w:t>
      </w:r>
      <w:r w:rsidRPr="006F72E5">
        <w:rPr>
          <w:vertAlign w:val="superscript"/>
        </w:rPr>
        <w:endnoteReference w:id="37"/>
      </w:r>
      <w:r w:rsidRPr="006F72E5">
        <w:rPr>
          <w:vertAlign w:val="superscript"/>
        </w:rPr>
        <w:t xml:space="preserve"> </w:t>
      </w:r>
      <w:r w:rsidRPr="006F72E5">
        <w:rPr>
          <w:vertAlign w:val="superscript"/>
        </w:rPr>
        <w:endnoteReference w:id="38"/>
      </w:r>
      <w:r w:rsidRPr="006F72E5">
        <w:rPr>
          <w:vertAlign w:val="superscript"/>
        </w:rPr>
        <w:t xml:space="preserve"> </w:t>
      </w:r>
      <w:r w:rsidRPr="006F72E5">
        <w:rPr>
          <w:vertAlign w:val="superscript"/>
        </w:rPr>
        <w:endnoteReference w:id="39"/>
      </w:r>
    </w:p>
    <w:p w14:paraId="6952FB13" w14:textId="2021E78F" w:rsidR="009C373F" w:rsidRPr="005769D6" w:rsidRDefault="009C373F" w:rsidP="005769D6">
      <w:r w:rsidRPr="006F72E5">
        <w:rPr>
          <w:b/>
          <w:bCs/>
        </w:rPr>
        <w:t>Climate change</w:t>
      </w:r>
      <w:r w:rsidRPr="005769D6">
        <w:t xml:space="preserve"> continued to impact communities in Australia with frequent natural disasters, including heatwaves, bushfires and floods. </w:t>
      </w:r>
      <w:r w:rsidRPr="00475BA1">
        <w:rPr>
          <w:vertAlign w:val="superscript"/>
        </w:rPr>
        <w:endnoteReference w:id="40"/>
      </w:r>
      <w:r w:rsidRPr="00475BA1">
        <w:rPr>
          <w:vertAlign w:val="superscript"/>
        </w:rPr>
        <w:t xml:space="preserve"> </w:t>
      </w:r>
      <w:r w:rsidRPr="00475BA1">
        <w:rPr>
          <w:vertAlign w:val="superscript"/>
        </w:rPr>
        <w:endnoteReference w:id="41"/>
      </w:r>
      <w:r w:rsidRPr="00475BA1">
        <w:rPr>
          <w:vertAlign w:val="superscript"/>
        </w:rPr>
        <w:t xml:space="preserve"> </w:t>
      </w:r>
      <w:r w:rsidRPr="00475BA1">
        <w:rPr>
          <w:vertAlign w:val="superscript"/>
        </w:rPr>
        <w:endnoteReference w:id="42"/>
      </w:r>
      <w:r w:rsidRPr="005769D6">
        <w:t xml:space="preserve"> There was growing recognition of climate-related mental health impacts in 2025, including eco-anxiety, disaster-related distress and a disproportionate impact on Aboriginal and Torres Strait Islander peoples. </w:t>
      </w:r>
      <w:r w:rsidRPr="006F72E5">
        <w:rPr>
          <w:vertAlign w:val="superscript"/>
        </w:rPr>
        <w:endnoteReference w:id="43"/>
      </w:r>
      <w:r w:rsidRPr="006F72E5">
        <w:rPr>
          <w:vertAlign w:val="superscript"/>
        </w:rPr>
        <w:t xml:space="preserve"> </w:t>
      </w:r>
      <w:r w:rsidRPr="006F72E5">
        <w:rPr>
          <w:vertAlign w:val="superscript"/>
        </w:rPr>
        <w:endnoteReference w:id="44"/>
      </w:r>
      <w:r w:rsidRPr="006F72E5">
        <w:rPr>
          <w:vertAlign w:val="superscript"/>
        </w:rPr>
        <w:t xml:space="preserve"> </w:t>
      </w:r>
      <w:r w:rsidRPr="006F72E5">
        <w:rPr>
          <w:vertAlign w:val="superscript"/>
        </w:rPr>
        <w:endnoteReference w:id="45"/>
      </w:r>
      <w:r w:rsidRPr="006F72E5">
        <w:rPr>
          <w:vertAlign w:val="superscript"/>
        </w:rPr>
        <w:t xml:space="preserve"> </w:t>
      </w:r>
      <w:r w:rsidRPr="006F72E5">
        <w:rPr>
          <w:vertAlign w:val="superscript"/>
        </w:rPr>
        <w:endnoteReference w:id="46"/>
      </w:r>
      <w:r w:rsidRPr="006F72E5">
        <w:rPr>
          <w:vertAlign w:val="superscript"/>
        </w:rPr>
        <w:t xml:space="preserve"> </w:t>
      </w:r>
      <w:r w:rsidRPr="006F72E5">
        <w:rPr>
          <w:vertAlign w:val="superscript"/>
        </w:rPr>
        <w:endnoteReference w:id="47"/>
      </w:r>
      <w:r w:rsidRPr="006F72E5">
        <w:rPr>
          <w:vertAlign w:val="superscript"/>
        </w:rPr>
        <w:t xml:space="preserve"> </w:t>
      </w:r>
      <w:r w:rsidRPr="006F72E5">
        <w:rPr>
          <w:vertAlign w:val="superscript"/>
        </w:rPr>
        <w:endnoteReference w:id="48"/>
      </w:r>
      <w:r w:rsidRPr="006F72E5">
        <w:rPr>
          <w:vertAlign w:val="superscript"/>
        </w:rPr>
        <w:t xml:space="preserve"> </w:t>
      </w:r>
      <w:r w:rsidRPr="006F72E5">
        <w:rPr>
          <w:vertAlign w:val="superscript"/>
        </w:rPr>
        <w:endnoteReference w:id="49"/>
      </w:r>
      <w:r w:rsidRPr="006F72E5">
        <w:rPr>
          <w:vertAlign w:val="superscript"/>
        </w:rPr>
        <w:t xml:space="preserve"> </w:t>
      </w:r>
      <w:r w:rsidRPr="006F72E5">
        <w:rPr>
          <w:vertAlign w:val="superscript"/>
        </w:rPr>
        <w:endnoteReference w:id="50"/>
      </w:r>
    </w:p>
    <w:p w14:paraId="2F76F85F" w14:textId="77777777" w:rsidR="009C373F" w:rsidRPr="007C0341" w:rsidRDefault="009C373F" w:rsidP="006813F4">
      <w:r w:rsidRPr="00DC74D2">
        <w:rPr>
          <w:b/>
        </w:rPr>
        <w:t>Discrimination against Aboriginal and Torres Strait Islander people</w:t>
      </w:r>
      <w:r w:rsidRPr="00DC74D2">
        <w:t xml:space="preserve"> intensified</w:t>
      </w:r>
      <w:r>
        <w:t>,</w:t>
      </w:r>
      <w:r w:rsidRPr="00DC74D2">
        <w:t xml:space="preserve"> </w:t>
      </w:r>
      <w:r w:rsidRPr="007C0341">
        <w:t>with increased reports of racism (both direct and indirect) and record demand of services like 13YARN.</w:t>
      </w:r>
      <w:r w:rsidRPr="007C0341">
        <w:rPr>
          <w:rFonts w:ascii="Aptos" w:hAnsi="Aptos"/>
          <w:sz w:val="22"/>
        </w:rPr>
        <w:t xml:space="preserve"> </w:t>
      </w:r>
      <w:r w:rsidRPr="00DC74D2">
        <w:rPr>
          <w:rStyle w:val="EndnoteReference"/>
          <w:rFonts w:ascii="Aptos" w:hAnsi="Aptos"/>
          <w:sz w:val="22"/>
        </w:rPr>
        <w:endnoteReference w:id="51"/>
      </w:r>
      <w:r w:rsidRPr="007C0341">
        <w:t xml:space="preserve"> </w:t>
      </w:r>
      <w:r w:rsidRPr="007C0341">
        <w:rPr>
          <w:rStyle w:val="EndnoteReference"/>
          <w:rFonts w:ascii="Aptos" w:hAnsi="Aptos"/>
          <w:sz w:val="22"/>
        </w:rPr>
        <w:endnoteReference w:id="52"/>
      </w:r>
      <w:r w:rsidRPr="007C0341">
        <w:rPr>
          <w:rFonts w:ascii="Aptos" w:hAnsi="Aptos"/>
          <w:sz w:val="22"/>
        </w:rPr>
        <w:t xml:space="preserve"> </w:t>
      </w:r>
      <w:r w:rsidRPr="007C0341">
        <w:rPr>
          <w:rStyle w:val="EndnoteReference"/>
          <w:rFonts w:ascii="Aptos" w:hAnsi="Aptos"/>
          <w:sz w:val="22"/>
        </w:rPr>
        <w:endnoteReference w:id="53"/>
      </w:r>
      <w:r w:rsidRPr="007C0341">
        <w:rPr>
          <w:rFonts w:ascii="Aptos" w:hAnsi="Aptos"/>
          <w:sz w:val="22"/>
        </w:rPr>
        <w:t xml:space="preserve"> </w:t>
      </w:r>
      <w:r w:rsidRPr="007C0341">
        <w:rPr>
          <w:rStyle w:val="EndnoteReference"/>
          <w:rFonts w:ascii="Aptos" w:hAnsi="Aptos"/>
          <w:sz w:val="22"/>
        </w:rPr>
        <w:endnoteReference w:id="54"/>
      </w:r>
      <w:r w:rsidRPr="007C0341">
        <w:t xml:space="preserve"> Experiences of discrimination and psychological distress were </w:t>
      </w:r>
      <w:r>
        <w:t xml:space="preserve">potentially </w:t>
      </w:r>
      <w:r w:rsidRPr="007C0341">
        <w:t>compounded by ongoing over-representation of Aboriginal and Torres Strait Islander people in the justice system.</w:t>
      </w:r>
      <w:r w:rsidRPr="007C0341">
        <w:rPr>
          <w:rFonts w:ascii="Aptos" w:hAnsi="Aptos"/>
          <w:sz w:val="22"/>
        </w:rPr>
        <w:t xml:space="preserve"> </w:t>
      </w:r>
      <w:r w:rsidRPr="007C0341">
        <w:rPr>
          <w:rStyle w:val="EndnoteReference"/>
          <w:rFonts w:ascii="Aptos" w:hAnsi="Aptos"/>
          <w:sz w:val="22"/>
        </w:rPr>
        <w:endnoteReference w:id="55"/>
      </w:r>
      <w:r w:rsidRPr="007C0341">
        <w:rPr>
          <w:rFonts w:ascii="Aptos" w:hAnsi="Aptos"/>
          <w:sz w:val="22"/>
        </w:rPr>
        <w:t xml:space="preserve"> </w:t>
      </w:r>
      <w:r w:rsidRPr="007C0341">
        <w:rPr>
          <w:rStyle w:val="EndnoteReference"/>
          <w:rFonts w:ascii="Aptos" w:hAnsi="Aptos"/>
          <w:sz w:val="22"/>
        </w:rPr>
        <w:endnoteReference w:id="56"/>
      </w:r>
      <w:r w:rsidRPr="007C0341">
        <w:rPr>
          <w:rFonts w:ascii="Aptos" w:hAnsi="Aptos"/>
          <w:sz w:val="22"/>
        </w:rPr>
        <w:t xml:space="preserve"> </w:t>
      </w:r>
      <w:r w:rsidRPr="007C0341">
        <w:rPr>
          <w:rStyle w:val="EndnoteReference"/>
          <w:rFonts w:ascii="Aptos" w:hAnsi="Aptos"/>
          <w:sz w:val="22"/>
        </w:rPr>
        <w:endnoteReference w:id="57"/>
      </w:r>
      <w:r w:rsidRPr="007C0341">
        <w:rPr>
          <w:rFonts w:ascii="Aptos" w:hAnsi="Aptos"/>
          <w:sz w:val="22"/>
        </w:rPr>
        <w:t xml:space="preserve"> </w:t>
      </w:r>
      <w:r w:rsidRPr="007C0341">
        <w:rPr>
          <w:rStyle w:val="EndnoteReference"/>
          <w:rFonts w:ascii="Aptos" w:hAnsi="Aptos"/>
          <w:sz w:val="22"/>
          <w:lang w:val="en-US"/>
        </w:rPr>
        <w:endnoteReference w:id="58"/>
      </w:r>
      <w:r w:rsidRPr="007C0341">
        <w:rPr>
          <w:b/>
          <w:smallCaps/>
        </w:rPr>
        <w:t xml:space="preserve"> </w:t>
      </w:r>
    </w:p>
    <w:p w14:paraId="022320A5" w14:textId="1F67A62F" w:rsidR="009C373F" w:rsidRPr="007C0341" w:rsidRDefault="009C373F" w:rsidP="006813F4">
      <w:r w:rsidRPr="007C0341">
        <w:t xml:space="preserve">Broader experiences of discrimination and prejudices in the context of global conflicts challenged </w:t>
      </w:r>
      <w:r w:rsidRPr="007C0341">
        <w:rPr>
          <w:b/>
        </w:rPr>
        <w:t xml:space="preserve">social cohesion </w:t>
      </w:r>
      <w:r w:rsidRPr="007C0341">
        <w:t>in Australia in 2025.</w:t>
      </w:r>
      <w:r w:rsidRPr="007C0341">
        <w:rPr>
          <w:rFonts w:ascii="Aptos" w:hAnsi="Aptos"/>
          <w:sz w:val="22"/>
        </w:rPr>
        <w:t xml:space="preserve"> </w:t>
      </w:r>
      <w:r w:rsidRPr="007C0341">
        <w:rPr>
          <w:rStyle w:val="EndnoteReference"/>
          <w:rFonts w:ascii="Aptos" w:hAnsi="Aptos"/>
          <w:sz w:val="22"/>
        </w:rPr>
        <w:endnoteReference w:id="59"/>
      </w:r>
      <w:r w:rsidRPr="007C0341">
        <w:t xml:space="preserve"> </w:t>
      </w:r>
      <w:r w:rsidRPr="007C0341">
        <w:rPr>
          <w:rStyle w:val="EndnoteReference"/>
          <w:rFonts w:ascii="Aptos" w:hAnsi="Aptos"/>
          <w:sz w:val="22"/>
        </w:rPr>
        <w:endnoteReference w:id="60"/>
      </w:r>
      <w:r w:rsidRPr="007C0341">
        <w:t xml:space="preserve"> Perceptions of division increased, exacerbated by anti-immigrant sentiments and the Bondi Beach terror attack.</w:t>
      </w:r>
      <w:r w:rsidRPr="007C0341">
        <w:rPr>
          <w:rFonts w:ascii="Aptos" w:hAnsi="Aptos"/>
          <w:sz w:val="22"/>
        </w:rPr>
        <w:t xml:space="preserve"> </w:t>
      </w:r>
      <w:r w:rsidRPr="007C0341">
        <w:rPr>
          <w:rStyle w:val="EndnoteReference"/>
          <w:rFonts w:ascii="Aptos" w:hAnsi="Aptos"/>
          <w:sz w:val="22"/>
        </w:rPr>
        <w:endnoteReference w:id="61"/>
      </w:r>
      <w:r w:rsidRPr="007C0341">
        <w:rPr>
          <w:rFonts w:ascii="Aptos" w:hAnsi="Aptos"/>
          <w:sz w:val="22"/>
        </w:rPr>
        <w:t xml:space="preserve"> </w:t>
      </w:r>
      <w:r w:rsidRPr="007C0341">
        <w:rPr>
          <w:rStyle w:val="EndnoteReference"/>
          <w:rFonts w:ascii="Aptos" w:hAnsi="Aptos"/>
          <w:sz w:val="22"/>
        </w:rPr>
        <w:endnoteReference w:id="62"/>
      </w:r>
      <w:r w:rsidRPr="007C0341">
        <w:t xml:space="preserve"> Misinformation and disinformation, particularly online, increasingly threatened to distort public perceptions and trust in institutions.</w:t>
      </w:r>
      <w:r w:rsidRPr="007C0341">
        <w:rPr>
          <w:rFonts w:ascii="Aptos" w:hAnsi="Aptos"/>
          <w:sz w:val="22"/>
        </w:rPr>
        <w:t xml:space="preserve"> </w:t>
      </w:r>
      <w:r w:rsidRPr="007C0341">
        <w:rPr>
          <w:rStyle w:val="EndnoteReference"/>
          <w:rFonts w:ascii="Aptos" w:hAnsi="Aptos"/>
          <w:sz w:val="22"/>
        </w:rPr>
        <w:endnoteReference w:id="63"/>
      </w:r>
      <w:r w:rsidRPr="007C0341">
        <w:t xml:space="preserve"> </w:t>
      </w:r>
      <w:r w:rsidRPr="007C0341">
        <w:rPr>
          <w:rStyle w:val="EndnoteReference"/>
          <w:rFonts w:ascii="Aptos" w:hAnsi="Aptos"/>
          <w:sz w:val="22"/>
        </w:rPr>
        <w:endnoteReference w:id="64"/>
      </w:r>
      <w:r w:rsidRPr="007C0341">
        <w:t xml:space="preserve">  Despite these new and ongoing challenges, indicators of social cohesion remained stable in 2025 which was attributed to individuals’ strong interpersonal connections and active participation in community.</w:t>
      </w:r>
      <w:r w:rsidRPr="007C0341">
        <w:rPr>
          <w:rStyle w:val="EndnoteReference"/>
          <w:rFonts w:ascii="Aptos" w:hAnsi="Aptos"/>
          <w:sz w:val="22"/>
        </w:rPr>
        <w:t xml:space="preserve"> </w:t>
      </w:r>
      <w:r w:rsidRPr="007C0341">
        <w:rPr>
          <w:rStyle w:val="EndnoteReference"/>
          <w:rFonts w:ascii="Aptos" w:hAnsi="Aptos"/>
          <w:sz w:val="22"/>
        </w:rPr>
        <w:endnoteReference w:id="65"/>
      </w:r>
      <w:r w:rsidRPr="007C0341">
        <w:t xml:space="preserve">  </w:t>
      </w:r>
    </w:p>
    <w:p w14:paraId="18A7FC09" w14:textId="77777777" w:rsidR="009C373F" w:rsidRPr="00281EE9" w:rsidRDefault="009C373F" w:rsidP="006813F4">
      <w:r w:rsidRPr="007C0341">
        <w:rPr>
          <w:b/>
        </w:rPr>
        <w:t xml:space="preserve">Technological shifts </w:t>
      </w:r>
      <w:r w:rsidRPr="007C0341">
        <w:t>were a feature of 2025, particularly the growing use of AI and digital mental health tools (DMHTs) for mental health support,</w:t>
      </w:r>
      <w:r w:rsidRPr="007C0341">
        <w:rPr>
          <w:rFonts w:ascii="Aptos" w:hAnsi="Aptos"/>
          <w:sz w:val="22"/>
        </w:rPr>
        <w:t xml:space="preserve"> </w:t>
      </w:r>
      <w:r w:rsidRPr="007C0341">
        <w:rPr>
          <w:rStyle w:val="EndnoteReference"/>
          <w:rFonts w:ascii="Aptos" w:hAnsi="Aptos"/>
          <w:sz w:val="22"/>
        </w:rPr>
        <w:endnoteReference w:id="66"/>
      </w:r>
      <w:r w:rsidRPr="007C0341">
        <w:t xml:space="preserve"> </w:t>
      </w:r>
      <w:r w:rsidRPr="007C0341">
        <w:rPr>
          <w:rStyle w:val="EndnoteReference"/>
          <w:rFonts w:ascii="Aptos" w:hAnsi="Aptos"/>
          <w:sz w:val="22"/>
        </w:rPr>
        <w:endnoteReference w:id="67"/>
      </w:r>
      <w:r w:rsidRPr="007C0341">
        <w:t xml:space="preserve"> </w:t>
      </w:r>
      <w:r w:rsidRPr="007C0341">
        <w:rPr>
          <w:rStyle w:val="EndnoteReference"/>
          <w:rFonts w:ascii="Aptos" w:hAnsi="Aptos"/>
          <w:sz w:val="22"/>
        </w:rPr>
        <w:endnoteReference w:id="68"/>
      </w:r>
      <w:r w:rsidRPr="007C0341">
        <w:t xml:space="preserve"> and changes in the</w:t>
      </w:r>
      <w:r>
        <w:t xml:space="preserve"> understanding and nature of</w:t>
      </w:r>
      <w:r w:rsidRPr="007C0341">
        <w:t xml:space="preserve"> harms posed by social media use.</w:t>
      </w:r>
      <w:r w:rsidRPr="007C0341">
        <w:rPr>
          <w:rFonts w:ascii="Aptos" w:hAnsi="Aptos"/>
          <w:sz w:val="22"/>
        </w:rPr>
        <w:t xml:space="preserve"> </w:t>
      </w:r>
      <w:r w:rsidRPr="007C0341">
        <w:rPr>
          <w:rStyle w:val="EndnoteReference"/>
          <w:rFonts w:ascii="Aptos" w:hAnsi="Aptos"/>
          <w:sz w:val="22"/>
        </w:rPr>
        <w:endnoteReference w:id="69"/>
      </w:r>
      <w:r w:rsidRPr="00281EE9">
        <w:rPr>
          <w:rFonts w:ascii="Aptos" w:hAnsi="Aptos"/>
          <w:sz w:val="22"/>
        </w:rPr>
        <w:t xml:space="preserve"> </w:t>
      </w:r>
      <w:r w:rsidRPr="007C0341">
        <w:rPr>
          <w:rStyle w:val="EndnoteReference"/>
          <w:rFonts w:ascii="Aptos" w:hAnsi="Aptos"/>
          <w:sz w:val="22"/>
        </w:rPr>
        <w:endnoteReference w:id="70"/>
      </w:r>
      <w:r w:rsidRPr="00281EE9">
        <w:rPr>
          <w:rFonts w:ascii="Aptos" w:hAnsi="Aptos"/>
          <w:sz w:val="22"/>
        </w:rPr>
        <w:t xml:space="preserve"> </w:t>
      </w:r>
      <w:r w:rsidRPr="00281EE9">
        <w:t>These developments were significant enough to promote government action, including, but not limited to a review of the development and use of DMHTs,</w:t>
      </w:r>
      <w:r w:rsidRPr="00281EE9">
        <w:rPr>
          <w:rStyle w:val="EndnoteReference"/>
          <w:rFonts w:ascii="Aptos" w:hAnsi="Aptos"/>
          <w:sz w:val="22"/>
        </w:rPr>
        <w:t xml:space="preserve"> </w:t>
      </w:r>
      <w:r w:rsidRPr="00281EE9">
        <w:rPr>
          <w:rStyle w:val="EndnoteReference"/>
          <w:rFonts w:ascii="Aptos" w:hAnsi="Aptos"/>
          <w:sz w:val="22"/>
        </w:rPr>
        <w:endnoteReference w:id="71"/>
      </w:r>
      <w:r w:rsidRPr="00281EE9">
        <w:t xml:space="preserve"> </w:t>
      </w:r>
      <w:r w:rsidRPr="00281EE9">
        <w:rPr>
          <w:rStyle w:val="EndnoteReference"/>
          <w:rFonts w:ascii="Aptos" w:hAnsi="Aptos"/>
          <w:sz w:val="22"/>
        </w:rPr>
        <w:endnoteReference w:id="72"/>
      </w:r>
      <w:r w:rsidRPr="00281EE9">
        <w:t xml:space="preserve"> </w:t>
      </w:r>
      <w:r w:rsidRPr="00281EE9">
        <w:rPr>
          <w:rStyle w:val="EndnoteReference"/>
          <w:rFonts w:ascii="Aptos" w:hAnsi="Aptos"/>
          <w:sz w:val="22"/>
        </w:rPr>
        <w:endnoteReference w:id="73"/>
      </w:r>
      <w:r w:rsidRPr="00281EE9">
        <w:t xml:space="preserve"> the announcement of a new AI Safety Institute,</w:t>
      </w:r>
      <w:r w:rsidRPr="00281EE9">
        <w:rPr>
          <w:rStyle w:val="EndnoteReference"/>
          <w:rFonts w:ascii="Aptos" w:hAnsi="Aptos"/>
          <w:sz w:val="22"/>
        </w:rPr>
        <w:t xml:space="preserve"> </w:t>
      </w:r>
      <w:r w:rsidRPr="00281EE9">
        <w:rPr>
          <w:rStyle w:val="EndnoteReference"/>
          <w:rFonts w:ascii="Aptos" w:hAnsi="Aptos"/>
          <w:sz w:val="22"/>
        </w:rPr>
        <w:endnoteReference w:id="74"/>
      </w:r>
      <w:r w:rsidRPr="00281EE9">
        <w:t xml:space="preserve"> and </w:t>
      </w:r>
      <w:proofErr w:type="spellStart"/>
      <w:r w:rsidRPr="00281EE9">
        <w:t>eSafety</w:t>
      </w:r>
      <w:proofErr w:type="spellEnd"/>
      <w:r w:rsidRPr="00281EE9">
        <w:t xml:space="preserve"> regulations including the social media restrictions for young people.</w:t>
      </w:r>
      <w:r w:rsidRPr="00281EE9">
        <w:rPr>
          <w:rStyle w:val="EndnoteReference"/>
          <w:rFonts w:ascii="Aptos" w:hAnsi="Aptos"/>
          <w:sz w:val="22"/>
        </w:rPr>
        <w:endnoteReference w:id="75"/>
      </w:r>
      <w:r w:rsidRPr="00281EE9">
        <w:t xml:space="preserve"> </w:t>
      </w:r>
      <w:r w:rsidRPr="00281EE9">
        <w:rPr>
          <w:rStyle w:val="EndnoteReference"/>
          <w:rFonts w:ascii="Aptos" w:hAnsi="Aptos"/>
          <w:sz w:val="22"/>
        </w:rPr>
        <w:endnoteReference w:id="76"/>
      </w:r>
    </w:p>
    <w:p w14:paraId="7F7CB18C" w14:textId="5C0AB426" w:rsidR="009C373F" w:rsidRPr="00281EE9" w:rsidRDefault="009C373F" w:rsidP="006813F4">
      <w:r w:rsidRPr="00281EE9">
        <w:rPr>
          <w:b/>
        </w:rPr>
        <w:t>Psychosocial health in the workplace</w:t>
      </w:r>
      <w:r w:rsidRPr="00281EE9">
        <w:t xml:space="preserve"> emerged as a significant concern, with mental health-related workers compensation claims continuing a record rise.</w:t>
      </w:r>
      <w:r w:rsidRPr="00281EE9">
        <w:rPr>
          <w:rFonts w:ascii="Aptos" w:hAnsi="Aptos"/>
          <w:sz w:val="22"/>
        </w:rPr>
        <w:t xml:space="preserve"> </w:t>
      </w:r>
      <w:r w:rsidRPr="00281EE9">
        <w:rPr>
          <w:rStyle w:val="EndnoteReference"/>
          <w:rFonts w:ascii="Aptos" w:hAnsi="Aptos"/>
          <w:sz w:val="22"/>
        </w:rPr>
        <w:endnoteReference w:id="77"/>
      </w:r>
      <w:r w:rsidRPr="00281EE9">
        <w:rPr>
          <w:rFonts w:ascii="Aptos" w:hAnsi="Aptos"/>
          <w:sz w:val="22"/>
        </w:rPr>
        <w:t xml:space="preserve"> </w:t>
      </w:r>
      <w:r w:rsidRPr="00281EE9">
        <w:rPr>
          <w:rStyle w:val="EndnoteReference"/>
          <w:rFonts w:ascii="Aptos" w:hAnsi="Aptos"/>
          <w:sz w:val="22"/>
        </w:rPr>
        <w:endnoteReference w:id="78"/>
      </w:r>
      <w:r w:rsidRPr="00281EE9">
        <w:t xml:space="preserve"> Hybrid work environments continued as a trend,</w:t>
      </w:r>
      <w:r w:rsidRPr="00281EE9">
        <w:rPr>
          <w:rStyle w:val="EndnoteReference"/>
          <w:rFonts w:ascii="Aptos" w:hAnsi="Aptos"/>
          <w:sz w:val="22"/>
        </w:rPr>
        <w:endnoteReference w:id="79"/>
      </w:r>
      <w:r w:rsidRPr="00281EE9">
        <w:t xml:space="preserve"> </w:t>
      </w:r>
      <w:r>
        <w:t>and there was an</w:t>
      </w:r>
      <w:r w:rsidRPr="00281EE9">
        <w:t xml:space="preserve"> increasing shift towards using AI in workplaces.</w:t>
      </w:r>
      <w:r w:rsidRPr="00281EE9">
        <w:rPr>
          <w:rFonts w:ascii="Aptos" w:hAnsi="Aptos"/>
          <w:sz w:val="22"/>
        </w:rPr>
        <w:t xml:space="preserve"> </w:t>
      </w:r>
      <w:r w:rsidRPr="00281EE9">
        <w:rPr>
          <w:rStyle w:val="EndnoteReference"/>
          <w:rFonts w:ascii="Aptos" w:hAnsi="Aptos"/>
          <w:sz w:val="22"/>
        </w:rPr>
        <w:endnoteReference w:id="80"/>
      </w:r>
      <w:r w:rsidRPr="00281EE9">
        <w:t xml:space="preserve"> </w:t>
      </w:r>
      <w:r w:rsidRPr="00281EE9">
        <w:rPr>
          <w:rStyle w:val="EndnoteReference"/>
          <w:rFonts w:ascii="Aptos" w:hAnsi="Aptos"/>
          <w:sz w:val="22"/>
        </w:rPr>
        <w:endnoteReference w:id="81"/>
      </w:r>
      <w:r w:rsidRPr="00281EE9">
        <w:t xml:space="preserve"> Governments made some changes to address these shifting workplace trends, including improving how psychosocial risks are managed and increasing the thresholds for how psychological injury claims are defined and compensated. </w:t>
      </w:r>
      <w:r w:rsidRPr="00281EE9">
        <w:rPr>
          <w:rStyle w:val="EndnoteReference"/>
          <w:rFonts w:ascii="Aptos" w:hAnsi="Aptos"/>
          <w:sz w:val="22"/>
        </w:rPr>
        <w:endnoteReference w:id="82"/>
      </w:r>
      <w:r w:rsidRPr="00281EE9">
        <w:t xml:space="preserve"> </w:t>
      </w:r>
      <w:r w:rsidRPr="00281EE9">
        <w:rPr>
          <w:rStyle w:val="EndnoteReference"/>
          <w:rFonts w:ascii="Aptos" w:hAnsi="Aptos"/>
          <w:sz w:val="22"/>
        </w:rPr>
        <w:endnoteReference w:id="83"/>
      </w:r>
      <w:r w:rsidRPr="00281EE9">
        <w:t xml:space="preserve"> </w:t>
      </w:r>
      <w:r w:rsidRPr="00281EE9">
        <w:rPr>
          <w:rStyle w:val="EndnoteReference"/>
          <w:rFonts w:ascii="Aptos" w:hAnsi="Aptos"/>
          <w:sz w:val="22"/>
        </w:rPr>
        <w:endnoteReference w:id="84"/>
      </w:r>
    </w:p>
    <w:p w14:paraId="6DB43541" w14:textId="77777777" w:rsidR="009C373F" w:rsidRPr="004A4997" w:rsidRDefault="009C373F" w:rsidP="006813F4">
      <w:r w:rsidRPr="00281EE9">
        <w:rPr>
          <w:b/>
        </w:rPr>
        <w:t>Access to health services</w:t>
      </w:r>
      <w:r w:rsidRPr="00281EE9">
        <w:t xml:space="preserve"> remained constrained by increasing demand for public mental health care, long waits in emergency departments, GP workforce pressures, and psychiatrist shortages. The peer workforce was increasingly recognised as a valuable means of mental health supports,</w:t>
      </w:r>
      <w:r w:rsidRPr="00281EE9">
        <w:rPr>
          <w:rFonts w:ascii="Aptos" w:hAnsi="Aptos"/>
          <w:sz w:val="22"/>
        </w:rPr>
        <w:t xml:space="preserve"> </w:t>
      </w:r>
      <w:r w:rsidRPr="00281EE9">
        <w:rPr>
          <w:rStyle w:val="EndnoteReference"/>
          <w:rFonts w:ascii="Aptos" w:hAnsi="Aptos"/>
          <w:sz w:val="22"/>
        </w:rPr>
        <w:endnoteReference w:id="85"/>
      </w:r>
      <w:r w:rsidRPr="00281EE9">
        <w:t xml:space="preserve"> </w:t>
      </w:r>
      <w:r w:rsidRPr="00281EE9">
        <w:rPr>
          <w:rStyle w:val="EndnoteReference"/>
          <w:rFonts w:ascii="Aptos" w:hAnsi="Aptos"/>
          <w:sz w:val="22"/>
        </w:rPr>
        <w:endnoteReference w:id="86"/>
      </w:r>
      <w:r w:rsidRPr="00281EE9">
        <w:t xml:space="preserve"> </w:t>
      </w:r>
      <w:r w:rsidRPr="00281EE9">
        <w:rPr>
          <w:rStyle w:val="EndnoteReference"/>
          <w:rFonts w:ascii="Aptos" w:hAnsi="Aptos"/>
          <w:sz w:val="22"/>
        </w:rPr>
        <w:endnoteReference w:id="87"/>
      </w:r>
      <w:r w:rsidRPr="00281EE9">
        <w:t xml:space="preserve"> and policy responses were announced to provide more free mental health services and support the mental health workforce.</w:t>
      </w:r>
      <w:r w:rsidRPr="00281EE9">
        <w:rPr>
          <w:rStyle w:val="EndnoteReference"/>
          <w:rFonts w:ascii="Aptos" w:hAnsi="Aptos"/>
          <w:sz w:val="22"/>
        </w:rPr>
        <w:endnoteReference w:id="88"/>
      </w:r>
      <w:r w:rsidRPr="00281EE9">
        <w:t xml:space="preserve"> </w:t>
      </w:r>
      <w:r w:rsidRPr="00281EE9">
        <w:rPr>
          <w:rStyle w:val="EndnoteReference"/>
          <w:rFonts w:ascii="Aptos" w:hAnsi="Aptos"/>
          <w:sz w:val="22"/>
        </w:rPr>
        <w:endnoteReference w:id="89"/>
      </w:r>
      <w:r w:rsidRPr="00281EE9">
        <w:t xml:space="preserve"> </w:t>
      </w:r>
      <w:r w:rsidRPr="00281EE9">
        <w:rPr>
          <w:rStyle w:val="EndnoteReference"/>
          <w:rFonts w:ascii="Aptos" w:hAnsi="Aptos"/>
          <w:sz w:val="22"/>
        </w:rPr>
        <w:endnoteReference w:id="90"/>
      </w:r>
      <w:r w:rsidRPr="00281EE9">
        <w:t xml:space="preserve"> </w:t>
      </w:r>
      <w:r w:rsidRPr="00281EE9">
        <w:rPr>
          <w:rStyle w:val="EndnoteReference"/>
          <w:rFonts w:ascii="Aptos" w:hAnsi="Aptos"/>
          <w:sz w:val="22"/>
        </w:rPr>
        <w:endnoteReference w:id="91"/>
      </w:r>
      <w:r w:rsidRPr="00281EE9">
        <w:t xml:space="preserve"> </w:t>
      </w:r>
      <w:r w:rsidRPr="00281EE9">
        <w:rPr>
          <w:rStyle w:val="EndnoteReference"/>
          <w:rFonts w:ascii="Aptos" w:hAnsi="Aptos"/>
          <w:sz w:val="22"/>
        </w:rPr>
        <w:endnoteReference w:id="92"/>
      </w:r>
      <w:r w:rsidRPr="00281EE9">
        <w:t xml:space="preserve"> </w:t>
      </w:r>
      <w:r w:rsidRPr="00281EE9">
        <w:rPr>
          <w:rStyle w:val="EndnoteReference"/>
          <w:rFonts w:ascii="Aptos" w:hAnsi="Aptos"/>
          <w:sz w:val="22"/>
        </w:rPr>
        <w:endnoteReference w:id="93"/>
      </w:r>
      <w:r w:rsidRPr="00281EE9">
        <w:t xml:space="preserve"> The National Suicide Prevention Strategy 2025-2035 was released, </w:t>
      </w:r>
      <w:r w:rsidRPr="00281EE9">
        <w:rPr>
          <w:rStyle w:val="EndnoteReference"/>
          <w:rFonts w:ascii="Aptos" w:hAnsi="Aptos"/>
          <w:sz w:val="22"/>
        </w:rPr>
        <w:endnoteReference w:id="94"/>
      </w:r>
      <w:r w:rsidRPr="00281EE9">
        <w:t xml:space="preserve"> </w:t>
      </w:r>
      <w:r w:rsidRPr="004A4997">
        <w:rPr>
          <w:rStyle w:val="EndnoteReference"/>
          <w:rFonts w:ascii="Aptos" w:hAnsi="Aptos"/>
          <w:sz w:val="22"/>
        </w:rPr>
        <w:endnoteReference w:id="95"/>
      </w:r>
      <w:r w:rsidRPr="004A4997">
        <w:t xml:space="preserve"> and the Productivity Commission finalised their review into the National Mental Health and Suicide Prevention Agreement, calling for a new overarching policy architecture to deliver effective and positive changes to the mental health system in the years to come. </w:t>
      </w:r>
      <w:r w:rsidRPr="004A4997">
        <w:rPr>
          <w:rStyle w:val="EndnoteReference"/>
          <w:rFonts w:ascii="Aptos" w:hAnsi="Aptos"/>
          <w:sz w:val="22"/>
        </w:rPr>
        <w:endnoteReference w:id="96"/>
      </w:r>
    </w:p>
    <w:p w14:paraId="356BDFF2" w14:textId="77777777" w:rsidR="009C373F" w:rsidRDefault="009C373F" w:rsidP="006813F4">
      <w:r w:rsidRPr="004A4997">
        <w:t xml:space="preserve">The </w:t>
      </w:r>
      <w:r>
        <w:t>R</w:t>
      </w:r>
      <w:r w:rsidRPr="004A4997">
        <w:t xml:space="preserve">eport </w:t>
      </w:r>
      <w:r>
        <w:t>C</w:t>
      </w:r>
      <w:r w:rsidRPr="004A4997">
        <w:t xml:space="preserve">ard </w:t>
      </w:r>
      <w:r>
        <w:t>E</w:t>
      </w:r>
      <w:r w:rsidRPr="004A4997">
        <w:t xml:space="preserve">nvironmental </w:t>
      </w:r>
      <w:r>
        <w:t>S</w:t>
      </w:r>
      <w:r w:rsidRPr="004A4997">
        <w:t>can only captures a sample of events and trends from 2025, but those captured help contextualise the findings explored elsewhere in this Report Card. The Commission will continue to track events and trends over time to identify potential impacts on the mental health of people in Australia and the systems that support them.</w:t>
      </w:r>
    </w:p>
    <w:p w14:paraId="502CC07D" w14:textId="5FE15D31" w:rsidR="006813F4" w:rsidRDefault="006813F4">
      <w:pPr>
        <w:suppressAutoHyphens w:val="0"/>
        <w:autoSpaceDE/>
        <w:autoSpaceDN/>
        <w:adjustRightInd/>
        <w:spacing w:after="0" w:line="240" w:lineRule="auto"/>
        <w:textAlignment w:val="auto"/>
      </w:pPr>
      <w:r>
        <w:br w:type="page"/>
      </w:r>
    </w:p>
    <w:p w14:paraId="6D477EC8" w14:textId="41048B2B" w:rsidR="008F558E" w:rsidRPr="00C00D1D" w:rsidRDefault="007453E4" w:rsidP="007453E4">
      <w:pPr>
        <w:pStyle w:val="Heading1"/>
        <w:rPr>
          <w:color w:val="FFFFFF" w:themeColor="background1"/>
          <w:lang w:val="en-AU"/>
        </w:rPr>
      </w:pPr>
      <w:bookmarkStart w:id="28" w:name="_Toc237878286"/>
      <w:r w:rsidRPr="00C00D1D">
        <w:rPr>
          <w:noProof/>
          <w:color w:val="FFFFFF" w:themeColor="background1"/>
        </w:rPr>
        <w:lastRenderedPageBreak/>
        <w:drawing>
          <wp:anchor distT="0" distB="0" distL="114300" distR="114300" simplePos="0" relativeHeight="251658330" behindDoc="0" locked="0" layoutInCell="1" allowOverlap="1" wp14:anchorId="6A11AF75" wp14:editId="367631C4">
            <wp:simplePos x="0" y="0"/>
            <wp:positionH relativeFrom="margin">
              <wp:posOffset>-914400</wp:posOffset>
            </wp:positionH>
            <wp:positionV relativeFrom="margin">
              <wp:posOffset>-956820</wp:posOffset>
            </wp:positionV>
            <wp:extent cx="7559675" cy="3058160"/>
            <wp:effectExtent l="0" t="0" r="0" b="2540"/>
            <wp:wrapSquare wrapText="bothSides"/>
            <wp:docPr id="129990054" name="Picture 92" descr="Title on photograph &#10;“Domain 1 Mental Health&quot;&#10;&#10;Photograph of a smiling young woman and man walking and looking at each other in an urban setting with blurred tram and historic train station in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35817" name="Picture 92" descr="Title on photograph &#10;“Domain 1 Mental Health&quot;&#10;&#10;Photograph of a smiling young woman and man walking and looking at each other in an urban setting with blurred tram and historic train station in background.">
                      <a:extLst>
                        <a:ext uri="{C183D7F6-B498-43B3-948B-1728B52AA6E4}">
                          <adec:decorative xmlns:adec="http://schemas.microsoft.com/office/drawing/2017/decorative" val="0"/>
                        </a:ext>
                      </a:extLst>
                    </pic:cNvPr>
                    <pic:cNvPicPr/>
                  </pic:nvPicPr>
                  <pic:blipFill>
                    <a:blip r:embed="rId63" cstate="email">
                      <a:extLst>
                        <a:ext uri="{28A0092B-C50C-407E-A947-70E740481C1C}">
                          <a14:useLocalDpi xmlns:a14="http://schemas.microsoft.com/office/drawing/2010/main"/>
                        </a:ext>
                      </a:extLst>
                    </a:blip>
                    <a:stretch>
                      <a:fillRect/>
                    </a:stretch>
                  </pic:blipFill>
                  <pic:spPr>
                    <a:xfrm>
                      <a:off x="0" y="0"/>
                      <a:ext cx="7559675" cy="3058160"/>
                    </a:xfrm>
                    <a:prstGeom prst="rect">
                      <a:avLst/>
                    </a:prstGeom>
                  </pic:spPr>
                </pic:pic>
              </a:graphicData>
            </a:graphic>
            <wp14:sizeRelH relativeFrom="page">
              <wp14:pctWidth>0</wp14:pctWidth>
            </wp14:sizeRelH>
            <wp14:sizeRelV relativeFrom="page">
              <wp14:pctHeight>0</wp14:pctHeight>
            </wp14:sizeRelV>
          </wp:anchor>
        </w:drawing>
      </w:r>
      <w:r w:rsidR="00C312F7" w:rsidRPr="00C00D1D">
        <w:rPr>
          <w:noProof/>
          <w:color w:val="FFFFFF" w:themeColor="background1"/>
        </w:rPr>
        <mc:AlternateContent>
          <mc:Choice Requires="wps">
            <w:drawing>
              <wp:anchor distT="0" distB="0" distL="114300" distR="114300" simplePos="0" relativeHeight="251658278" behindDoc="1" locked="0" layoutInCell="1" allowOverlap="1" wp14:anchorId="7234303D" wp14:editId="492F823D">
                <wp:simplePos x="0" y="0"/>
                <wp:positionH relativeFrom="page">
                  <wp:posOffset>0</wp:posOffset>
                </wp:positionH>
                <wp:positionV relativeFrom="page">
                  <wp:posOffset>10160</wp:posOffset>
                </wp:positionV>
                <wp:extent cx="7560000" cy="153909"/>
                <wp:effectExtent l="0" t="0" r="0" b="0"/>
                <wp:wrapNone/>
                <wp:docPr id="1383688370" name="Rectangle 13836883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7B6395E" id="Rectangle 1383688370" o:spid="_x0000_s1026" alt="&quot;&quot;" style="position:absolute;margin-left:0;margin-top:.8pt;width:595.3pt;height:12.1pt;z-index:-2516582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c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" fillcolor="#c6d533 [3209]" stroked="f" strokeweight="1pt">
                <w10:wrap anchorx="page" anchory="page"/>
              </v:rect>
            </w:pict>
          </mc:Fallback>
        </mc:AlternateContent>
      </w:r>
      <w:r w:rsidR="00C00D1D" w:rsidRPr="00C00D1D">
        <w:rPr>
          <w:color w:val="FFFFFF" w:themeColor="background1"/>
          <w:lang w:val="en-AU"/>
        </w:rPr>
        <w:t>Domain 1 Mental Health</w:t>
      </w:r>
      <w:bookmarkEnd w:id="28"/>
    </w:p>
    <w:p w14:paraId="1EC90763" w14:textId="75482F32" w:rsidR="009C373F" w:rsidRPr="008F558E" w:rsidRDefault="009C373F" w:rsidP="005F5E27">
      <w:pPr>
        <w:pStyle w:val="NMHCIntroParagraph"/>
      </w:pPr>
      <w:r w:rsidRPr="008F558E">
        <w:t>This domain looks at dimensions of mental health and wellbeing, guided by the question, how mentally healthy are people in Australia?</w:t>
      </w:r>
    </w:p>
    <w:p w14:paraId="6741B4F2" w14:textId="77777777" w:rsidR="005F5E27" w:rsidRDefault="009C373F" w:rsidP="008F3094">
      <w:pPr>
        <w:rPr>
          <w:lang w:val="en-AU" w:eastAsia="en-AU"/>
        </w:rPr>
      </w:pPr>
      <w:r w:rsidRPr="00BA1D38">
        <w:rPr>
          <w:lang w:val="en-AU" w:eastAsia="en-AU"/>
        </w:rPr>
        <w:t xml:space="preserve">Where available data allows, we also consider </w:t>
      </w:r>
      <w:r w:rsidRPr="00C31109">
        <w:rPr>
          <w:lang w:val="en-AU" w:eastAsia="en-AU"/>
        </w:rPr>
        <w:t>if the experience is the same for everyone</w:t>
      </w:r>
      <w:r>
        <w:rPr>
          <w:lang w:val="en-AU" w:eastAsia="en-AU"/>
        </w:rPr>
        <w:t>.</w:t>
      </w:r>
    </w:p>
    <w:p w14:paraId="1EBE7E53" w14:textId="541C9AD3" w:rsidR="00D93565" w:rsidRPr="008F3094" w:rsidRDefault="009C373F" w:rsidP="008F3094">
      <w:pPr>
        <w:rPr>
          <w:lang w:val="en-AU" w:eastAsia="en-AU"/>
        </w:rPr>
      </w:pPr>
      <w:r w:rsidRPr="005F5E27">
        <w:rPr>
          <w:rStyle w:val="Heading3Char"/>
          <w:lang w:val="en-AU" w:eastAsia="en-AU"/>
        </w:rPr>
        <w:t>To understand this question, the Commission draws on four indicators:</w:t>
      </w:r>
      <w:r w:rsidRPr="00EA0EF9">
        <w:rPr>
          <w:lang w:val="en-AU" w:eastAsia="en-AU"/>
        </w:rPr>
        <w:t xml:space="preserve"> </w:t>
      </w:r>
    </w:p>
    <w:p w14:paraId="1EB3CC2B" w14:textId="686C6146" w:rsidR="00E31B32" w:rsidRDefault="00155A99" w:rsidP="000C75FB">
      <w:pPr>
        <w:pStyle w:val="ListBullet"/>
        <w:numPr>
          <w:ilvl w:val="0"/>
          <w:numId w:val="0"/>
        </w:numPr>
        <w:ind w:left="170" w:hanging="170"/>
      </w:pPr>
      <w:r>
        <w:rPr>
          <w:rFonts w:eastAsiaTheme="majorEastAsia"/>
          <w:noProof/>
        </w:rPr>
        <w:drawing>
          <wp:anchor distT="0" distB="0" distL="114300" distR="114300" simplePos="0" relativeHeight="251658331" behindDoc="1" locked="0" layoutInCell="1" allowOverlap="1" wp14:anchorId="26676AE8" wp14:editId="653092BD">
            <wp:simplePos x="0" y="0"/>
            <wp:positionH relativeFrom="column">
              <wp:posOffset>308093</wp:posOffset>
            </wp:positionH>
            <wp:positionV relativeFrom="paragraph">
              <wp:posOffset>118226</wp:posOffset>
            </wp:positionV>
            <wp:extent cx="5195187" cy="5231903"/>
            <wp:effectExtent l="0" t="0" r="0" b="635"/>
            <wp:wrapNone/>
            <wp:docPr id="445357615" name="Pictur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57615" name="Picture 94">
                      <a:extLst>
                        <a:ext uri="{C183D7F6-B498-43B3-948B-1728B52AA6E4}">
                          <adec:decorative xmlns:adec="http://schemas.microsoft.com/office/drawing/2017/decorative" val="1"/>
                        </a:ext>
                      </a:extLst>
                    </pic:cNvPr>
                    <pic:cNvPicPr/>
                  </pic:nvPicPr>
                  <pic:blipFill>
                    <a:blip r:embed="rId64">
                      <a:extLst>
                        <a:ext uri="{96DAC541-7B7A-43D3-8B79-37D633B846F1}">
                          <asvg:svgBlip xmlns:asvg="http://schemas.microsoft.com/office/drawing/2016/SVG/main" r:embed="rId65"/>
                        </a:ext>
                      </a:extLst>
                    </a:blip>
                    <a:stretch>
                      <a:fillRect/>
                    </a:stretch>
                  </pic:blipFill>
                  <pic:spPr>
                    <a:xfrm>
                      <a:off x="0" y="0"/>
                      <a:ext cx="5195187" cy="5231903"/>
                    </a:xfrm>
                    <a:prstGeom prst="rect">
                      <a:avLst/>
                    </a:prstGeom>
                  </pic:spPr>
                </pic:pic>
              </a:graphicData>
            </a:graphic>
            <wp14:sizeRelH relativeFrom="page">
              <wp14:pctWidth>0</wp14:pctWidth>
            </wp14:sizeRelH>
            <wp14:sizeRelV relativeFrom="page">
              <wp14:pctHeight>0</wp14:pctHeight>
            </wp14:sizeRelV>
          </wp:anchor>
        </w:drawing>
      </w:r>
    </w:p>
    <w:p w14:paraId="6E972000" w14:textId="212E0124" w:rsidR="00FF39F5" w:rsidRDefault="00FF39F5">
      <w:pPr>
        <w:suppressAutoHyphens w:val="0"/>
        <w:autoSpaceDE/>
        <w:autoSpaceDN/>
        <w:adjustRightInd/>
        <w:spacing w:after="0" w:line="240" w:lineRule="auto"/>
        <w:textAlignment w:val="auto"/>
        <w:rPr>
          <w:rFonts w:eastAsiaTheme="majorEastAsia" w:cstheme="majorBidi"/>
          <w:color w:val="008143"/>
          <w:sz w:val="24"/>
          <w:szCs w:val="26"/>
          <w:lang w:eastAsia="en-AU"/>
        </w:rPr>
      </w:pPr>
      <w:r>
        <w:br w:type="page"/>
      </w:r>
    </w:p>
    <w:p w14:paraId="7ED0A9FE" w14:textId="1AF1A193" w:rsidR="007571AE" w:rsidRDefault="00C91817" w:rsidP="00DF5436">
      <w:pPr>
        <w:pStyle w:val="NMHCIntroParagraph"/>
      </w:pPr>
      <w:r>
        <w:rPr>
          <w:noProof/>
        </w:rPr>
        <w:lastRenderedPageBreak/>
        <mc:AlternateContent>
          <mc:Choice Requires="wps">
            <w:drawing>
              <wp:anchor distT="0" distB="0" distL="114300" distR="114300" simplePos="0" relativeHeight="251658240" behindDoc="1" locked="0" layoutInCell="1" allowOverlap="1" wp14:anchorId="3A5AC0E9" wp14:editId="32AA956E">
                <wp:simplePos x="0" y="0"/>
                <wp:positionH relativeFrom="page">
                  <wp:posOffset>-9525</wp:posOffset>
                </wp:positionH>
                <wp:positionV relativeFrom="page">
                  <wp:posOffset>5504</wp:posOffset>
                </wp:positionV>
                <wp:extent cx="7559675" cy="9899650"/>
                <wp:effectExtent l="0" t="0" r="0" b="6350"/>
                <wp:wrapNone/>
                <wp:docPr id="695944360" name="Rectangle 6959443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9899650"/>
                        </a:xfrm>
                        <a:prstGeom prst="rect">
                          <a:avLst/>
                        </a:prstGeom>
                        <a:solidFill>
                          <a:srgbClr val="F9F9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EFFD298" id="Rectangle 695944360" o:spid="_x0000_s1026" alt="&quot;&quot;" style="position:absolute;margin-left:-.75pt;margin-top:.45pt;width:595.25pt;height:77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" fillcolor="#f9f9e5" stroked="f" strokeweight="1pt">
                <w10:wrap anchorx="page" anchory="page"/>
              </v:rect>
            </w:pict>
          </mc:Fallback>
        </mc:AlternateContent>
      </w:r>
      <w:r w:rsidR="00621AF7" w:rsidRPr="000D4326">
        <w:rPr>
          <w:noProof/>
        </w:rPr>
        <mc:AlternateContent>
          <mc:Choice Requires="wps">
            <w:drawing>
              <wp:anchor distT="0" distB="0" distL="114300" distR="114300" simplePos="0" relativeHeight="251658254" behindDoc="1" locked="0" layoutInCell="1" allowOverlap="1" wp14:anchorId="3D091EFE" wp14:editId="19A5A620">
                <wp:simplePos x="0" y="0"/>
                <wp:positionH relativeFrom="page">
                  <wp:posOffset>746567</wp:posOffset>
                </wp:positionH>
                <wp:positionV relativeFrom="page">
                  <wp:posOffset>3593938</wp:posOffset>
                </wp:positionV>
                <wp:extent cx="6147435" cy="5006051"/>
                <wp:effectExtent l="0" t="0" r="0" b="0"/>
                <wp:wrapNone/>
                <wp:docPr id="124980560" name="Rectangle 1249805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5006051"/>
                        </a:xfrm>
                        <a:prstGeom prst="rect">
                          <a:avLst/>
                        </a:prstGeom>
                        <a:solidFill>
                          <a:schemeClr val="bg1"/>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7CC495B" id="Rectangle 124980560" o:spid="_x0000_s1026" alt="&quot;&quot;" style="position:absolute;margin-left:58.8pt;margin-top:283pt;width:484.05pt;height:394.2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" fillcolor="white [3212]" stroked="f" strokeweight="1pt">
                <w10:wrap anchorx="page" anchory="page"/>
              </v:rect>
            </w:pict>
          </mc:Fallback>
        </mc:AlternateContent>
      </w:r>
      <w:r w:rsidR="00621AF7" w:rsidRPr="00424218">
        <w:rPr>
          <w:rFonts w:ascii="Aptos" w:hAnsi="Aptos"/>
          <w:noProof/>
          <w:sz w:val="22"/>
        </w:rPr>
        <w:drawing>
          <wp:anchor distT="0" distB="0" distL="114300" distR="114300" simplePos="0" relativeHeight="251704462" behindDoc="0" locked="0" layoutInCell="1" allowOverlap="1" wp14:anchorId="7F3B74D9" wp14:editId="1C73DB8E">
            <wp:simplePos x="0" y="0"/>
            <wp:positionH relativeFrom="column">
              <wp:posOffset>5358765</wp:posOffset>
            </wp:positionH>
            <wp:positionV relativeFrom="paragraph">
              <wp:posOffset>2632018</wp:posOffset>
            </wp:positionV>
            <wp:extent cx="619517" cy="619517"/>
            <wp:effectExtent l="0" t="0" r="0" b="0"/>
            <wp:wrapNone/>
            <wp:docPr id="491235283"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35283" name="Picture 29">
                      <a:extLst>
                        <a:ext uri="{C183D7F6-B498-43B3-948B-1728B52AA6E4}">
                          <adec:decorative xmlns:adec="http://schemas.microsoft.com/office/drawing/2017/decorative" val="1"/>
                        </a:ext>
                      </a:extLst>
                    </pic:cNvPr>
                    <pic:cNvPicPr/>
                  </pic:nvPicPr>
                  <pic:blipFill>
                    <a:blip r:embed="rId66">
                      <a:extLst>
                        <a:ext uri="{96DAC541-7B7A-43D3-8B79-37D633B846F1}">
                          <asvg:svgBlip xmlns:asvg="http://schemas.microsoft.com/office/drawing/2016/SVG/main" r:embed="rId67"/>
                        </a:ext>
                      </a:extLst>
                    </a:blip>
                    <a:stretch>
                      <a:fillRect/>
                    </a:stretch>
                  </pic:blipFill>
                  <pic:spPr>
                    <a:xfrm>
                      <a:off x="0" y="0"/>
                      <a:ext cx="619517" cy="619517"/>
                    </a:xfrm>
                    <a:prstGeom prst="rect">
                      <a:avLst/>
                    </a:prstGeom>
                  </pic:spPr>
                </pic:pic>
              </a:graphicData>
            </a:graphic>
            <wp14:sizeRelH relativeFrom="page">
              <wp14:pctWidth>0</wp14:pctWidth>
            </wp14:sizeRelH>
            <wp14:sizeRelV relativeFrom="page">
              <wp14:pctHeight>0</wp14:pctHeight>
            </wp14:sizeRelV>
          </wp:anchor>
        </w:drawing>
      </w:r>
      <w:r w:rsidR="00621AF7">
        <w:rPr>
          <w:noProof/>
        </w:rPr>
        <w:drawing>
          <wp:anchor distT="107950" distB="107950" distL="114300" distR="114300" simplePos="0" relativeHeight="251658375" behindDoc="0" locked="0" layoutInCell="1" allowOverlap="1" wp14:anchorId="7A67C66C" wp14:editId="3808CDCF">
            <wp:simplePos x="0" y="0"/>
            <wp:positionH relativeFrom="column">
              <wp:posOffset>-1018540</wp:posOffset>
            </wp:positionH>
            <wp:positionV relativeFrom="page">
              <wp:posOffset>161925</wp:posOffset>
            </wp:positionV>
            <wp:extent cx="8596630" cy="3026410"/>
            <wp:effectExtent l="0" t="0" r="0" b="0"/>
            <wp:wrapSquare wrapText="bothSides"/>
            <wp:docPr id="356814894" name="Picture 107" descr="Black and white photograph showing a young woman and man standing by a body of water with trees in background. Both wear casual clothing, with woman in a sweatshirt and leggings, and man in a hoodie and shorts, engaging in convers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14894" name="Picture 107" descr="Black and white photograph showing a young woman and man standing by a body of water with trees in background. Both wear casual clothing, with woman in a sweatshirt and leggings, and man in a hoodie and shorts, engaging in conversation.&#10;"/>
                    <pic:cNvPicPr/>
                  </pic:nvPicPr>
                  <pic:blipFill rotWithShape="1">
                    <a:blip r:embed="rId68" cstate="email">
                      <a:extLst>
                        <a:ext uri="{28A0092B-C50C-407E-A947-70E740481C1C}">
                          <a14:useLocalDpi xmlns:a14="http://schemas.microsoft.com/office/drawing/2010/main"/>
                        </a:ext>
                      </a:extLst>
                    </a:blip>
                    <a:srcRect l="-1280" t="4180" r="-10624" b="17756"/>
                    <a:stretch>
                      <a:fillRect/>
                    </a:stretch>
                  </pic:blipFill>
                  <pic:spPr bwMode="auto">
                    <a:xfrm>
                      <a:off x="0" y="0"/>
                      <a:ext cx="8596630" cy="3026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E42A42" w14:textId="4DAA57A8" w:rsidR="009C1A77" w:rsidRPr="000D4326" w:rsidRDefault="00C312F7" w:rsidP="00DF5436">
      <w:pPr>
        <w:pStyle w:val="NMHCIntroParagraph"/>
      </w:pPr>
      <w:r>
        <w:rPr>
          <w:noProof/>
        </w:rPr>
        <mc:AlternateContent>
          <mc:Choice Requires="wps">
            <w:drawing>
              <wp:anchor distT="0" distB="0" distL="114300" distR="114300" simplePos="0" relativeHeight="251658279" behindDoc="1" locked="0" layoutInCell="1" allowOverlap="1" wp14:anchorId="16ACD038" wp14:editId="6CC9DD45">
                <wp:simplePos x="0" y="0"/>
                <wp:positionH relativeFrom="page">
                  <wp:posOffset>-8727</wp:posOffset>
                </wp:positionH>
                <wp:positionV relativeFrom="page">
                  <wp:posOffset>10160</wp:posOffset>
                </wp:positionV>
                <wp:extent cx="7560000" cy="153909"/>
                <wp:effectExtent l="0" t="0" r="0" b="0"/>
                <wp:wrapNone/>
                <wp:docPr id="236469571" name="Rectangle 2364695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158114F" id="Rectangle 236469571" o:spid="_x0000_s1026" alt="&quot;&quot;" style="position:absolute;margin-left:-.7pt;margin-top:.8pt;width:595.3pt;height:12.1pt;z-index:-25165820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c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" fillcolor="#c6d533 [3209]" stroked="f" strokeweight="1pt">
                <w10:wrap anchorx="page" anchory="page"/>
              </v:rect>
            </w:pict>
          </mc:Fallback>
        </mc:AlternateContent>
      </w:r>
      <w:r w:rsidR="009C1A77" w:rsidRPr="000D4326">
        <w:t>Key Insights</w:t>
      </w:r>
      <w:r w:rsidR="002A27FC">
        <w:t xml:space="preserve"> -</w:t>
      </w:r>
      <w:r w:rsidR="000D4326" w:rsidRPr="000D4326">
        <w:t xml:space="preserve"> </w:t>
      </w:r>
      <w:r w:rsidR="009C1A77" w:rsidRPr="000D4326">
        <w:t>Need remains high but is not fully visible in the data</w:t>
      </w:r>
    </w:p>
    <w:p w14:paraId="3AD84133" w14:textId="2233A419" w:rsidR="00621AF7" w:rsidRDefault="00621AF7" w:rsidP="00E20DDC">
      <w:pPr>
        <w:pStyle w:val="Heading3"/>
      </w:pPr>
      <w:r>
        <w:rPr>
          <w:noProof/>
        </w:rPr>
        <w:drawing>
          <wp:inline distT="0" distB="0" distL="0" distR="0" wp14:anchorId="6647D9A5" wp14:editId="6D758660">
            <wp:extent cx="387350" cy="387350"/>
            <wp:effectExtent l="0" t="0" r="6350" b="6350"/>
            <wp:docPr id="135781583"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644448" name="Picture 100">
                      <a:extLst>
                        <a:ext uri="{C183D7F6-B498-43B3-948B-1728B52AA6E4}">
                          <adec:decorative xmlns:adec="http://schemas.microsoft.com/office/drawing/2017/decorative" val="1"/>
                        </a:ext>
                      </a:extLst>
                    </pic:cNvPr>
                    <pic:cNvPicPr/>
                  </pic:nvPicPr>
                  <pic:blipFill>
                    <a:blip r:embed="rId69">
                      <a:extLst>
                        <a:ext uri="{96DAC541-7B7A-43D3-8B79-37D633B846F1}">
                          <asvg:svgBlip xmlns:asvg="http://schemas.microsoft.com/office/drawing/2016/SVG/main" r:embed="rId70"/>
                        </a:ext>
                      </a:extLst>
                    </a:blip>
                    <a:stretch>
                      <a:fillRect/>
                    </a:stretch>
                  </pic:blipFill>
                  <pic:spPr>
                    <a:xfrm>
                      <a:off x="0" y="0"/>
                      <a:ext cx="394046" cy="394046"/>
                    </a:xfrm>
                    <a:prstGeom prst="rect">
                      <a:avLst/>
                    </a:prstGeom>
                  </pic:spPr>
                </pic:pic>
              </a:graphicData>
            </a:graphic>
          </wp:inline>
        </w:drawing>
      </w:r>
    </w:p>
    <w:p w14:paraId="6335E92F" w14:textId="20D8DE63" w:rsidR="009C1A77" w:rsidRPr="008241F1" w:rsidRDefault="009C1A77" w:rsidP="00E20DDC">
      <w:pPr>
        <w:pStyle w:val="Heading3"/>
      </w:pPr>
      <w:r w:rsidRPr="008241F1">
        <w:t xml:space="preserve">Experiences of psychological distress are common, but this doesn’t tell us everything </w:t>
      </w:r>
      <w:r w:rsidR="0050556B">
        <w:br/>
      </w:r>
      <w:r w:rsidRPr="008241F1">
        <w:t xml:space="preserve">about community need </w:t>
      </w:r>
    </w:p>
    <w:p w14:paraId="263FADA8" w14:textId="2604BA7C" w:rsidR="009C1A77" w:rsidRDefault="009C1A77" w:rsidP="00400550">
      <w:pPr>
        <w:pStyle w:val="ListBullet"/>
      </w:pPr>
      <w:r w:rsidRPr="67596D41">
        <w:t xml:space="preserve">We know that </w:t>
      </w:r>
      <w:r w:rsidRPr="67596D41">
        <w:rPr>
          <w:b/>
          <w:bCs/>
        </w:rPr>
        <w:t xml:space="preserve">psychological distress in 2025 is </w:t>
      </w:r>
      <w:r>
        <w:rPr>
          <w:b/>
          <w:bCs/>
        </w:rPr>
        <w:t>common</w:t>
      </w:r>
      <w:r w:rsidRPr="67596D41">
        <w:t xml:space="preserve"> (14.9% of people aged 15 experienced high psychological distress, and 9.2% experienced very high psychological distress).</w:t>
      </w:r>
      <w:r>
        <w:rPr>
          <w:rStyle w:val="FootnoteReference"/>
          <w:rFonts w:ascii="Aptos" w:hAnsi="Aptos"/>
          <w:sz w:val="22"/>
        </w:rPr>
        <w:footnoteReference w:id="7"/>
      </w:r>
      <w:r w:rsidRPr="67596D41">
        <w:rPr>
          <w:b/>
          <w:bCs/>
        </w:rPr>
        <w:t xml:space="preserve"> </w:t>
      </w:r>
    </w:p>
    <w:p w14:paraId="73F5C9FD" w14:textId="14329A0C" w:rsidR="009C1A77" w:rsidRDefault="009C1A77" w:rsidP="00400550">
      <w:pPr>
        <w:pStyle w:val="ListBullet"/>
      </w:pPr>
      <w:r w:rsidRPr="67596D41">
        <w:t>We know that people with a mental health condition were</w:t>
      </w:r>
      <w:r>
        <w:t>:</w:t>
      </w:r>
      <w:r w:rsidRPr="67596D41">
        <w:t xml:space="preserve"> </w:t>
      </w:r>
    </w:p>
    <w:p w14:paraId="3752E573" w14:textId="5889007E" w:rsidR="009C1A77" w:rsidRDefault="009C1A77" w:rsidP="00400550">
      <w:pPr>
        <w:pStyle w:val="ListBullet2"/>
      </w:pPr>
      <w:r>
        <w:rPr>
          <w:b/>
          <w:bCs/>
        </w:rPr>
        <w:t>Five times as likely to e</w:t>
      </w:r>
      <w:r w:rsidRPr="67596D41">
        <w:rPr>
          <w:b/>
          <w:bCs/>
        </w:rPr>
        <w:t>xperience very high psychological distress</w:t>
      </w:r>
      <w:r>
        <w:rPr>
          <w:rStyle w:val="FootnoteReference"/>
          <w:rFonts w:ascii="Aptos" w:hAnsi="Aptos"/>
          <w:b/>
          <w:bCs/>
          <w:sz w:val="22"/>
        </w:rPr>
        <w:footnoteReference w:id="8"/>
      </w:r>
      <w:r w:rsidRPr="67596D41">
        <w:t xml:space="preserve"> </w:t>
      </w:r>
      <w:r w:rsidRPr="00882F4E">
        <w:t>(30.7% compared with 5.9% of people who do not have a mental health conditio</w:t>
      </w:r>
      <w:r w:rsidRPr="67596D41">
        <w:t>n)</w:t>
      </w:r>
      <w:r>
        <w:t>.</w:t>
      </w:r>
    </w:p>
    <w:p w14:paraId="02392DE5" w14:textId="76929519" w:rsidR="009C1A77" w:rsidRDefault="009C1A77" w:rsidP="00400550">
      <w:pPr>
        <w:pStyle w:val="ListBullet2"/>
      </w:pPr>
      <w:r>
        <w:t>And twice as likely to e</w:t>
      </w:r>
      <w:r w:rsidRPr="67596D41">
        <w:t xml:space="preserve">xperience high psychological </w:t>
      </w:r>
      <w:r w:rsidRPr="00882F4E">
        <w:t>distress (29.4% compared</w:t>
      </w:r>
      <w:r w:rsidRPr="67596D41">
        <w:t xml:space="preserve"> with 12.6% of people </w:t>
      </w:r>
      <w:r>
        <w:t>who do not have a mental health condition</w:t>
      </w:r>
      <w:r w:rsidR="00BF1CA2">
        <w:t>)</w:t>
      </w:r>
      <w:r w:rsidRPr="67596D41">
        <w:t>.</w:t>
      </w:r>
      <w:r>
        <w:rPr>
          <w:rStyle w:val="EndnoteReference"/>
          <w:rFonts w:ascii="Aptos" w:hAnsi="Aptos"/>
          <w:sz w:val="22"/>
        </w:rPr>
        <w:endnoteReference w:id="97"/>
      </w:r>
    </w:p>
    <w:p w14:paraId="66A257BF" w14:textId="7C7B4C2E" w:rsidR="009C1A77" w:rsidRDefault="009C1A77" w:rsidP="00400550">
      <w:pPr>
        <w:pStyle w:val="ListBullet2"/>
      </w:pPr>
      <w:r w:rsidRPr="67596D41">
        <w:t xml:space="preserve">However, looking at psychological distress alone cannot tell us about the </w:t>
      </w:r>
      <w:r>
        <w:t xml:space="preserve">full </w:t>
      </w:r>
      <w:r w:rsidRPr="67596D41">
        <w:t xml:space="preserve">extent of need in the community. </w:t>
      </w:r>
    </w:p>
    <w:p w14:paraId="7C51C0C6" w14:textId="7C20F268" w:rsidR="009C1A77" w:rsidRDefault="009C1A77" w:rsidP="00400550">
      <w:pPr>
        <w:pStyle w:val="ListBullet2"/>
      </w:pPr>
      <w:r w:rsidRPr="007575CA">
        <w:t>National mental health prevalence data has not been updated since 2020-2022.</w:t>
      </w:r>
    </w:p>
    <w:p w14:paraId="0810120F" w14:textId="4DD7428E" w:rsidR="00621AF7" w:rsidRDefault="00621AF7" w:rsidP="00E20DDC">
      <w:pPr>
        <w:pStyle w:val="Heading3"/>
      </w:pPr>
      <w:r>
        <w:rPr>
          <w:noProof/>
        </w:rPr>
        <w:drawing>
          <wp:inline distT="0" distB="0" distL="0" distR="0" wp14:anchorId="56212E4E" wp14:editId="51FA55AE">
            <wp:extent cx="387752" cy="387752"/>
            <wp:effectExtent l="0" t="0" r="6350" b="6350"/>
            <wp:docPr id="591057193"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729141" name="Picture 100">
                      <a:extLst>
                        <a:ext uri="{C183D7F6-B498-43B3-948B-1728B52AA6E4}">
                          <adec:decorative xmlns:adec="http://schemas.microsoft.com/office/drawing/2017/decorative" val="1"/>
                        </a:ext>
                      </a:extLst>
                    </pic:cNvPr>
                    <pic:cNvPicPr/>
                  </pic:nvPicPr>
                  <pic:blipFill>
                    <a:blip r:embed="rId71">
                      <a:extLst>
                        <a:ext uri="{96DAC541-7B7A-43D3-8B79-37D633B846F1}">
                          <asvg:svgBlip xmlns:asvg="http://schemas.microsoft.com/office/drawing/2016/SVG/main" r:embed="rId72"/>
                        </a:ext>
                      </a:extLst>
                    </a:blip>
                    <a:stretch>
                      <a:fillRect/>
                    </a:stretch>
                  </pic:blipFill>
                  <pic:spPr>
                    <a:xfrm>
                      <a:off x="0" y="0"/>
                      <a:ext cx="397099" cy="397099"/>
                    </a:xfrm>
                    <a:prstGeom prst="rect">
                      <a:avLst/>
                    </a:prstGeom>
                  </pic:spPr>
                </pic:pic>
              </a:graphicData>
            </a:graphic>
          </wp:inline>
        </w:drawing>
      </w:r>
    </w:p>
    <w:p w14:paraId="675D604B" w14:textId="20737304" w:rsidR="009C1A77" w:rsidRPr="00400550" w:rsidRDefault="009C1A77" w:rsidP="00E20DDC">
      <w:pPr>
        <w:pStyle w:val="Heading3"/>
      </w:pPr>
      <w:r w:rsidRPr="00400550">
        <w:t xml:space="preserve">People who experience mental health conditions continued to report lower satisfaction with life overall </w:t>
      </w:r>
    </w:p>
    <w:p w14:paraId="40C212C8" w14:textId="77777777" w:rsidR="00BC4FC1" w:rsidRPr="007140DC" w:rsidRDefault="009C1A77" w:rsidP="00400550">
      <w:pPr>
        <w:pStyle w:val="ListBullet"/>
      </w:pPr>
      <w:r w:rsidRPr="00400550">
        <w:t>In 2025, people who have a mental health condition had an overall life satisfaction rating of 5.8, which is lower when compared with people who do not have a mental health condition (7.4).</w:t>
      </w:r>
      <w:r w:rsidRPr="00BF1CA2">
        <w:rPr>
          <w:rStyle w:val="FootnoteReference"/>
          <w:rFonts w:ascii="Aptos" w:eastAsiaTheme="minorHAnsi" w:hAnsi="Aptos" w:cs="Roboto-Light"/>
          <w:b/>
          <w:bCs/>
          <w:sz w:val="22"/>
          <w:szCs w:val="22"/>
          <w:lang w:val="en-GB" w:eastAsia="en-US"/>
        </w:rPr>
        <w:footnoteReference w:id="9"/>
      </w:r>
      <w:r w:rsidRPr="00BF1CA2">
        <w:rPr>
          <w:rStyle w:val="FootnoteReference"/>
          <w:rFonts w:ascii="Aptos" w:eastAsiaTheme="minorHAnsi" w:hAnsi="Aptos" w:cs="Roboto-Light"/>
          <w:b/>
          <w:bCs/>
          <w:sz w:val="22"/>
          <w:szCs w:val="22"/>
          <w:lang w:val="en-GB" w:eastAsia="en-US"/>
        </w:rPr>
        <w:t xml:space="preserve"> </w:t>
      </w:r>
    </w:p>
    <w:p w14:paraId="3EEF12B7" w14:textId="102D9BE3" w:rsidR="009C1A77" w:rsidRPr="00400550" w:rsidRDefault="009C1A77" w:rsidP="00400550">
      <w:pPr>
        <w:pStyle w:val="ListBullet"/>
      </w:pPr>
      <w:r w:rsidRPr="00400550">
        <w:t xml:space="preserve">This gap has not narrowed since 2020.  </w:t>
      </w:r>
    </w:p>
    <w:p w14:paraId="5255A8F6" w14:textId="2195713D" w:rsidR="009C1A77" w:rsidRDefault="009C1A77" w:rsidP="007140DC">
      <w:pPr>
        <w:pStyle w:val="ListBullet"/>
      </w:pPr>
      <w:r w:rsidRPr="67596D41">
        <w:t>This gap is even</w:t>
      </w:r>
      <w:r w:rsidRPr="67596D41">
        <w:rPr>
          <w:b/>
          <w:bCs/>
        </w:rPr>
        <w:t xml:space="preserve"> more pronounced in young people</w:t>
      </w:r>
      <w:r w:rsidRPr="67596D41">
        <w:t xml:space="preserve"> aged 15-24 years with a mental health condition</w:t>
      </w:r>
      <w:r>
        <w:t>, compared to young people of the same age without a mental health condition</w:t>
      </w:r>
      <w:r w:rsidRPr="008B43D1">
        <w:t>.</w:t>
      </w:r>
      <w:r>
        <w:rPr>
          <w:rStyle w:val="EndnoteReference"/>
          <w:rFonts w:ascii="Aptos" w:hAnsi="Aptos"/>
          <w:sz w:val="22"/>
        </w:rPr>
        <w:endnoteReference w:id="98"/>
      </w:r>
    </w:p>
    <w:p w14:paraId="35AD3708" w14:textId="2660F6C8" w:rsidR="007D1EFA" w:rsidRDefault="007D1EFA" w:rsidP="0095054C"/>
    <w:p w14:paraId="74ADD21D" w14:textId="131BF3A0" w:rsidR="007D1EFA" w:rsidRDefault="007D1EFA" w:rsidP="0095054C">
      <w:pPr>
        <w:sectPr w:rsidR="007D1EFA" w:rsidSect="001D15E1">
          <w:footnotePr>
            <w:numFmt w:val="lowerRoman"/>
          </w:footnotePr>
          <w:endnotePr>
            <w:numFmt w:val="decimal"/>
          </w:endnotePr>
          <w:type w:val="continuous"/>
          <w:pgSz w:w="11906" w:h="16838" w:code="9"/>
          <w:pgMar w:top="1440" w:right="1440" w:bottom="1440" w:left="1440" w:header="1134" w:footer="567" w:gutter="0"/>
          <w:cols w:space="708"/>
          <w:noEndnote/>
          <w:docGrid w:linePitch="360"/>
        </w:sectPr>
      </w:pPr>
    </w:p>
    <w:p w14:paraId="57E8F055" w14:textId="6FFF2094" w:rsidR="00B0114E" w:rsidRDefault="00B0114E">
      <w:pPr>
        <w:suppressAutoHyphens w:val="0"/>
        <w:autoSpaceDE/>
        <w:autoSpaceDN/>
        <w:adjustRightInd/>
        <w:spacing w:after="0" w:line="240" w:lineRule="auto"/>
        <w:textAlignment w:val="auto"/>
        <w:rPr>
          <w:rFonts w:ascii="Aptos" w:hAnsi="Aptos"/>
          <w:sz w:val="22"/>
        </w:rPr>
      </w:pPr>
      <w:r>
        <w:rPr>
          <w:rFonts w:ascii="Aptos" w:hAnsi="Aptos"/>
          <w:sz w:val="22"/>
        </w:rPr>
        <w:br w:type="page"/>
      </w:r>
    </w:p>
    <w:p w14:paraId="4F9A5A6F" w14:textId="5CC82F42" w:rsidR="009C373F" w:rsidRPr="00B0114E" w:rsidRDefault="00285150" w:rsidP="00F2423D">
      <w:pPr>
        <w:pStyle w:val="NMHCIntroParagraph"/>
      </w:pPr>
      <w:r>
        <w:rPr>
          <w:noProof/>
        </w:rPr>
        <w:lastRenderedPageBreak/>
        <w:drawing>
          <wp:anchor distT="0" distB="0" distL="114300" distR="114300" simplePos="0" relativeHeight="251705486" behindDoc="0" locked="0" layoutInCell="1" allowOverlap="1" wp14:anchorId="7FBCD0CD" wp14:editId="4F508637">
            <wp:simplePos x="0" y="0"/>
            <wp:positionH relativeFrom="column">
              <wp:posOffset>0</wp:posOffset>
            </wp:positionH>
            <wp:positionV relativeFrom="paragraph">
              <wp:posOffset>294005</wp:posOffset>
            </wp:positionV>
            <wp:extent cx="387350" cy="387350"/>
            <wp:effectExtent l="0" t="0" r="6350" b="6350"/>
            <wp:wrapThrough wrapText="bothSides">
              <wp:wrapPolygon edited="0">
                <wp:start x="7790" y="0"/>
                <wp:lineTo x="0" y="3541"/>
                <wp:lineTo x="0" y="18413"/>
                <wp:lineTo x="7082" y="21246"/>
                <wp:lineTo x="14164" y="21246"/>
                <wp:lineTo x="21246" y="18413"/>
                <wp:lineTo x="21246" y="2125"/>
                <wp:lineTo x="12748" y="0"/>
                <wp:lineTo x="7790" y="0"/>
              </wp:wrapPolygon>
            </wp:wrapThrough>
            <wp:docPr id="113538222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82220" name="Picture 100">
                      <a:extLst>
                        <a:ext uri="{C183D7F6-B498-43B3-948B-1728B52AA6E4}">
                          <adec:decorative xmlns:adec="http://schemas.microsoft.com/office/drawing/2017/decorative" val="1"/>
                        </a:ext>
                      </a:extLst>
                    </pic:cNvPr>
                    <pic:cNvPicPr/>
                  </pic:nvPicPr>
                  <pic:blipFill>
                    <a:blip r:embed="rId73">
                      <a:extLst>
                        <a:ext uri="{96DAC541-7B7A-43D3-8B79-37D633B846F1}">
                          <asvg:svgBlip xmlns:asvg="http://schemas.microsoft.com/office/drawing/2016/SVG/main" r:embed="rId74"/>
                        </a:ext>
                      </a:extLst>
                    </a:blip>
                    <a:stretch>
                      <a:fillRect/>
                    </a:stretch>
                  </pic:blipFill>
                  <pic:spPr>
                    <a:xfrm>
                      <a:off x="0" y="0"/>
                      <a:ext cx="387350" cy="387350"/>
                    </a:xfrm>
                    <a:prstGeom prst="rect">
                      <a:avLst/>
                    </a:prstGeom>
                  </pic:spPr>
                </pic:pic>
              </a:graphicData>
            </a:graphic>
            <wp14:sizeRelH relativeFrom="page">
              <wp14:pctWidth>0</wp14:pctWidth>
            </wp14:sizeRelH>
            <wp14:sizeRelV relativeFrom="page">
              <wp14:pctHeight>0</wp14:pctHeight>
            </wp14:sizeRelV>
          </wp:anchor>
        </w:drawing>
      </w:r>
      <w:r w:rsidR="00C312F7">
        <w:rPr>
          <w:noProof/>
        </w:rPr>
        <mc:AlternateContent>
          <mc:Choice Requires="wps">
            <w:drawing>
              <wp:anchor distT="0" distB="0" distL="114300" distR="114300" simplePos="0" relativeHeight="251658280" behindDoc="1" locked="0" layoutInCell="1" allowOverlap="1" wp14:anchorId="649148B7" wp14:editId="4A56186B">
                <wp:simplePos x="0" y="0"/>
                <wp:positionH relativeFrom="page">
                  <wp:posOffset>0</wp:posOffset>
                </wp:positionH>
                <wp:positionV relativeFrom="page">
                  <wp:posOffset>10380</wp:posOffset>
                </wp:positionV>
                <wp:extent cx="7560000" cy="153909"/>
                <wp:effectExtent l="0" t="0" r="0" b="6350"/>
                <wp:wrapNone/>
                <wp:docPr id="1197817604" name="Rectangle 11978176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73C72C9" id="Rectangle 1197817604" o:spid="_x0000_s1026" alt="&quot;&quot;" style="position:absolute;margin-left:0;margin-top:.8pt;width:595.3pt;height:12.1pt;z-index:-251658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c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" fillcolor="#c6d533 [3209]" stroked="f" strokeweight="1pt">
                <w10:wrap anchorx="page" anchory="page"/>
              </v:rect>
            </w:pict>
          </mc:Fallback>
        </mc:AlternateContent>
      </w:r>
      <w:r w:rsidR="009C373F" w:rsidRPr="00B0114E">
        <w:t>How mentally healthy are people in Australia? </w:t>
      </w:r>
    </w:p>
    <w:p w14:paraId="6E2D45F0" w14:textId="1FF380DE" w:rsidR="009C373F" w:rsidRPr="00B0114E" w:rsidRDefault="009C373F" w:rsidP="004E5D44">
      <w:pPr>
        <w:pStyle w:val="paragraph"/>
      </w:pPr>
      <w:r w:rsidRPr="004E5D44">
        <w:rPr>
          <w:rStyle w:val="Heading2Char"/>
        </w:rPr>
        <w:t>Prevalence of mental disorders and psychological distress</w:t>
      </w:r>
      <w:r w:rsidRPr="00B0114E">
        <w:t>  </w:t>
      </w:r>
    </w:p>
    <w:p w14:paraId="27C9C490" w14:textId="1A4E9FDD" w:rsidR="009C373F" w:rsidRPr="00B0114E" w:rsidRDefault="009C373F" w:rsidP="00B0114E">
      <w:r w:rsidRPr="00B0114E">
        <w:t>The Commission monitors prevalence of mental health conditions to better understand population mental health needs over time and support evidence-informed policy, prevention and service planning.  </w:t>
      </w:r>
    </w:p>
    <w:p w14:paraId="02868383" w14:textId="77777777" w:rsidR="009C373F" w:rsidRPr="00B0114E" w:rsidRDefault="009C373F" w:rsidP="003F7BB3">
      <w:pPr>
        <w:pStyle w:val="ListBullet"/>
      </w:pPr>
      <w:r w:rsidRPr="00B0114E">
        <w:t xml:space="preserve">Prevalence of mental health conditions and psychological distress are shaped by a range of interacting social, economic, environmental and systemic factors. Looking at changes over time should be interpreted within this broader context. While a reduction in prevalence estimates could be an indicator of a well-functioning system and prevention approach, it is important to note that prevalence estimates can sometimes reflect improved recognition of mental health </w:t>
      </w:r>
      <w:r w:rsidRPr="003F7BB3">
        <w:t>challenges</w:t>
      </w:r>
      <w:r w:rsidRPr="00B0114E">
        <w:t>, reduced stigma, better help-seeking and expanded diagnostic access. </w:t>
      </w:r>
    </w:p>
    <w:p w14:paraId="7D6FD8BB" w14:textId="5AEB5FA1" w:rsidR="009C373F" w:rsidRPr="00B62929" w:rsidRDefault="009C373F" w:rsidP="00B62929">
      <w:r w:rsidRPr="00B62929">
        <w:t>While there is no new prevalence data to inform this Report</w:t>
      </w:r>
      <w:r w:rsidR="00471A25">
        <w:t>,</w:t>
      </w:r>
      <w:r w:rsidRPr="00B62929">
        <w:t xml:space="preserve"> refer to </w:t>
      </w:r>
      <w:r w:rsidRPr="00B62929">
        <w:rPr>
          <w:b/>
          <w:bCs/>
        </w:rPr>
        <w:t>Box 1 - Gaps in timely prevalence data to inform mental health policy and planning,</w:t>
      </w:r>
      <w:r w:rsidRPr="00B62929">
        <w:t xml:space="preserve"> we know mental health continued </w:t>
      </w:r>
      <w:r w:rsidRPr="00BC4FC1">
        <w:t xml:space="preserve">to be the </w:t>
      </w:r>
      <w:r w:rsidR="00B36A7F" w:rsidRPr="00BC4FC1">
        <w:t xml:space="preserve">most common </w:t>
      </w:r>
      <w:r w:rsidRPr="00BC4FC1">
        <w:t>reason</w:t>
      </w:r>
      <w:r w:rsidRPr="00B62929">
        <w:t xml:space="preserve"> for GP visits in Australia in 2025.</w:t>
      </w:r>
      <w:r w:rsidR="00544F28">
        <w:rPr>
          <w:rStyle w:val="EndnoteReference"/>
        </w:rPr>
        <w:endnoteReference w:id="99"/>
      </w:r>
      <w:r w:rsidRPr="00B62929">
        <w:t xml:space="preserve"> Consistent with these findings, the </w:t>
      </w:r>
      <w:hyperlink r:id="rId75">
        <w:r w:rsidRPr="00B62929">
          <w:rPr>
            <w:rStyle w:val="Hyperlink"/>
          </w:rPr>
          <w:t>2025 National Consumer Sentiment Survey</w:t>
        </w:r>
      </w:hyperlink>
      <w:r w:rsidRPr="00B62929">
        <w:t> (NCSS) reported that mental health conditions were the most commonly reported chronic condition (24.8%). In 2024, the 5 disease groups causing the most burden were cancer, mental health conditions and substance use disorders, musculoskeletal conditions, cardiovascular diseases and neurological conditions.</w:t>
      </w:r>
      <w:r w:rsidR="00323E2A" w:rsidRPr="00DC5D87">
        <w:rPr>
          <w:vertAlign w:val="superscript"/>
        </w:rPr>
        <w:endnoteReference w:id="100"/>
      </w:r>
    </w:p>
    <w:p w14:paraId="46DA7B37" w14:textId="77777777" w:rsidR="009C373F" w:rsidRPr="0013184B" w:rsidRDefault="009C373F" w:rsidP="0013184B">
      <w:pPr>
        <w:pStyle w:val="Heading3"/>
      </w:pPr>
      <w:r w:rsidRPr="0013184B">
        <w:rPr>
          <w:rStyle w:val="normaltextrun"/>
        </w:rPr>
        <w:t>Whole of population </w:t>
      </w:r>
      <w:r w:rsidRPr="0013184B">
        <w:rPr>
          <w:rStyle w:val="eop"/>
        </w:rPr>
        <w:t> </w:t>
      </w:r>
    </w:p>
    <w:p w14:paraId="46B5D25C" w14:textId="77777777" w:rsidR="009C373F" w:rsidRPr="009F7669" w:rsidRDefault="009C373F" w:rsidP="009F7669">
      <w:r w:rsidRPr="009F7669">
        <w:t xml:space="preserve">As discussed in Report Card 2024, the latest data from the National Study of Mental Health and Wellbeing found that in 2020-2022: </w:t>
      </w:r>
    </w:p>
    <w:p w14:paraId="4853E40B" w14:textId="2249584D" w:rsidR="009C373F" w:rsidRPr="009F7669" w:rsidRDefault="009C373F" w:rsidP="009F7669">
      <w:pPr>
        <w:pStyle w:val="ListBullet"/>
      </w:pPr>
      <w:r w:rsidRPr="009F7669">
        <w:t xml:space="preserve">Just over 1 in 5 people (21.5%) in Australia aged 16-85 years experienced a mental disorder in the previous </w:t>
      </w:r>
      <w:r w:rsidR="00A9217E" w:rsidRPr="009F7669">
        <w:br/>
      </w:r>
      <w:r w:rsidRPr="009F7669">
        <w:t>12 months. </w:t>
      </w:r>
    </w:p>
    <w:p w14:paraId="556064EB" w14:textId="77777777" w:rsidR="009C373F" w:rsidRPr="00B62929" w:rsidRDefault="009C373F" w:rsidP="00B62929">
      <w:pPr>
        <w:pStyle w:val="ListBullet2"/>
      </w:pPr>
      <w:r w:rsidRPr="00B62929">
        <w:t>This proportion equates to an estimated 4.3 million people and is slightly higher than the prevalence of mental disorders in 2007 (19.5%).  </w:t>
      </w:r>
    </w:p>
    <w:p w14:paraId="6DBBACF7" w14:textId="0A34AFCF" w:rsidR="009C373F" w:rsidRPr="00E31B32" w:rsidRDefault="009C373F" w:rsidP="00E31B32">
      <w:pPr>
        <w:pStyle w:val="ListBullet"/>
        <w:rPr>
          <w:rStyle w:val="normaltextrun"/>
        </w:rPr>
      </w:pPr>
      <w:r w:rsidRPr="00B62929">
        <w:t xml:space="preserve">Between 2007 and 2020-2022, anxiety disorders showed the largest increase in prevalence </w:t>
      </w:r>
      <w:r w:rsidR="00A9217E">
        <w:br/>
      </w:r>
      <w:r w:rsidRPr="00B62929">
        <w:t xml:space="preserve">(from 13.8% to 17.2%). </w:t>
      </w:r>
    </w:p>
    <w:p w14:paraId="53E77D16" w14:textId="77777777" w:rsidR="009C373F" w:rsidRPr="009F7669" w:rsidRDefault="009C373F" w:rsidP="009F7669">
      <w:pPr>
        <w:pStyle w:val="NormalBeforeBullet"/>
      </w:pPr>
      <w:r w:rsidRPr="009F7669">
        <w:t>The National Health Survey</w:t>
      </w:r>
      <w:r w:rsidRPr="00BF17C8">
        <w:rPr>
          <w:vertAlign w:val="superscript"/>
        </w:rPr>
        <w:footnoteReference w:id="10"/>
      </w:r>
      <w:r w:rsidRPr="009F7669">
        <w:t xml:space="preserve"> also provides additional information about the mental health of people in Australia. Latest available data from the National Health Survey in 2022 showed:</w:t>
      </w:r>
    </w:p>
    <w:p w14:paraId="72B68A7C" w14:textId="40FA8D9E" w:rsidR="009C373F" w:rsidRPr="00B62929" w:rsidRDefault="003E1A5B" w:rsidP="00B62929">
      <w:pPr>
        <w:pStyle w:val="ListBullet"/>
        <w:rPr>
          <w:rStyle w:val="normaltextrun"/>
        </w:rPr>
      </w:pPr>
      <w:r>
        <w:rPr>
          <w:noProof/>
        </w:rPr>
        <w:drawing>
          <wp:anchor distT="0" distB="0" distL="114300" distR="114300" simplePos="0" relativeHeight="251706510" behindDoc="0" locked="0" layoutInCell="1" allowOverlap="1" wp14:anchorId="4EC685B4" wp14:editId="47FE2FC2">
            <wp:simplePos x="0" y="0"/>
            <wp:positionH relativeFrom="column">
              <wp:posOffset>3178341</wp:posOffset>
            </wp:positionH>
            <wp:positionV relativeFrom="paragraph">
              <wp:posOffset>443644</wp:posOffset>
            </wp:positionV>
            <wp:extent cx="2974533" cy="2974533"/>
            <wp:effectExtent l="0" t="0" r="0" b="0"/>
            <wp:wrapNone/>
            <wp:docPr id="1015481418" name="Graphic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81418" name="Graphic 198">
                      <a:extLst>
                        <a:ext uri="{C183D7F6-B498-43B3-948B-1728B52AA6E4}">
                          <adec:decorative xmlns:adec="http://schemas.microsoft.com/office/drawing/2017/decorative" val="1"/>
                        </a:ext>
                      </a:extLst>
                    </pic:cNvPr>
                    <pic:cNvPicPr/>
                  </pic:nvPicPr>
                  <pic:blipFill>
                    <a:blip r:embed="rId76">
                      <a:extLst>
                        <a:ext uri="{96DAC541-7B7A-43D3-8B79-37D633B846F1}">
                          <asvg:svgBlip xmlns:asvg="http://schemas.microsoft.com/office/drawing/2016/SVG/main" r:embed="rId77"/>
                        </a:ext>
                      </a:extLst>
                    </a:blip>
                    <a:stretch>
                      <a:fillRect/>
                    </a:stretch>
                  </pic:blipFill>
                  <pic:spPr>
                    <a:xfrm>
                      <a:off x="0" y="0"/>
                      <a:ext cx="2974533" cy="2974533"/>
                    </a:xfrm>
                    <a:prstGeom prst="rect">
                      <a:avLst/>
                    </a:prstGeom>
                  </pic:spPr>
                </pic:pic>
              </a:graphicData>
            </a:graphic>
            <wp14:sizeRelH relativeFrom="page">
              <wp14:pctWidth>0</wp14:pctWidth>
            </wp14:sizeRelH>
            <wp14:sizeRelV relativeFrom="page">
              <wp14:pctHeight>0</wp14:pctHeight>
            </wp14:sizeRelV>
          </wp:anchor>
        </w:drawing>
      </w:r>
      <w:r w:rsidR="009C373F" w:rsidRPr="00B62929">
        <w:rPr>
          <w:rStyle w:val="normaltextrun"/>
        </w:rPr>
        <w:t xml:space="preserve">An increase in the proportion of people in Australia who have been told by a doctor or nurse that they have a mental and behavioural condition, from 13.6% in 2011-12, 17.5% in 2014-15, 20.1% in 2017-18 and 26.1% in 2022; and </w:t>
      </w:r>
    </w:p>
    <w:p w14:paraId="21ECA665" w14:textId="220DBFA4" w:rsidR="00160014" w:rsidRDefault="009C373F" w:rsidP="00160014">
      <w:pPr>
        <w:pStyle w:val="ListBullet"/>
        <w:rPr>
          <w:rStyle w:val="normaltextrun"/>
        </w:rPr>
      </w:pPr>
      <w:r w:rsidRPr="00B62929">
        <w:rPr>
          <w:rStyle w:val="normaltextrun"/>
        </w:rPr>
        <w:t xml:space="preserve">Mental and behavioural conditions are the </w:t>
      </w:r>
      <w:proofErr w:type="gramStart"/>
      <w:r w:rsidRPr="00B62929">
        <w:rPr>
          <w:rStyle w:val="normaltextrun"/>
        </w:rPr>
        <w:t>most commonly reported</w:t>
      </w:r>
      <w:proofErr w:type="gramEnd"/>
      <w:r w:rsidRPr="00B62929">
        <w:rPr>
          <w:rStyle w:val="normaltextrun"/>
        </w:rPr>
        <w:t xml:space="preserve"> chronic condition.</w:t>
      </w:r>
    </w:p>
    <w:p w14:paraId="4CEB0DC7" w14:textId="131D474B" w:rsidR="00160014" w:rsidRDefault="00160014">
      <w:pPr>
        <w:suppressAutoHyphens w:val="0"/>
        <w:autoSpaceDE/>
        <w:autoSpaceDN/>
        <w:adjustRightInd/>
        <w:spacing w:after="0" w:line="240" w:lineRule="auto"/>
        <w:textAlignment w:val="auto"/>
        <w:rPr>
          <w:rStyle w:val="normaltextrun"/>
          <w:rFonts w:eastAsia="Times New Roman" w:cs="Segoe UI"/>
          <w:szCs w:val="18"/>
          <w:lang w:val="en-AU" w:eastAsia="en-AU"/>
        </w:rPr>
      </w:pPr>
      <w:r>
        <w:rPr>
          <w:rStyle w:val="normaltextrun"/>
        </w:rPr>
        <w:br w:type="page"/>
      </w:r>
    </w:p>
    <w:p w14:paraId="2D818DBF" w14:textId="500CA331" w:rsidR="00747365" w:rsidRPr="001C09E4" w:rsidRDefault="000E69A5" w:rsidP="00621AF7">
      <w:pPr>
        <w:pStyle w:val="GuidingQuestion"/>
      </w:pPr>
      <w:r>
        <w:rPr>
          <w:noProof/>
        </w:rPr>
        <w:lastRenderedPageBreak/>
        <w:drawing>
          <wp:inline distT="0" distB="0" distL="0" distR="0" wp14:anchorId="76B62EDD" wp14:editId="59871C4D">
            <wp:extent cx="365760" cy="258184"/>
            <wp:effectExtent l="0" t="0" r="2540" b="0"/>
            <wp:docPr id="647867967"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67967" name="Graphic 189">
                      <a:extLst>
                        <a:ext uri="{C183D7F6-B498-43B3-948B-1728B52AA6E4}">
                          <adec:decorative xmlns:adec="http://schemas.microsoft.com/office/drawing/2017/decorative" val="1"/>
                        </a:ext>
                      </a:extLst>
                    </pic:cNvPr>
                    <pic:cNvPicPr/>
                  </pic:nvPicPr>
                  <pic:blipFill>
                    <a:blip r:embed="rId78">
                      <a:extLst>
                        <a:ext uri="{96DAC541-7B7A-43D3-8B79-37D633B846F1}">
                          <asvg:svgBlip xmlns:asvg="http://schemas.microsoft.com/office/drawing/2016/SVG/main" r:embed="rId79"/>
                        </a:ext>
                      </a:extLst>
                    </a:blip>
                    <a:stretch>
                      <a:fillRect/>
                    </a:stretch>
                  </pic:blipFill>
                  <pic:spPr>
                    <a:xfrm>
                      <a:off x="0" y="0"/>
                      <a:ext cx="369632" cy="260917"/>
                    </a:xfrm>
                    <a:prstGeom prst="rect">
                      <a:avLst/>
                    </a:prstGeom>
                  </pic:spPr>
                </pic:pic>
              </a:graphicData>
            </a:graphic>
          </wp:inline>
        </w:drawing>
      </w:r>
      <w:r>
        <w:br/>
      </w:r>
      <w:r w:rsidR="00747365" w:rsidRPr="001C09E4">
        <w:t>Is this the same for everyone?</w:t>
      </w:r>
      <w:r w:rsidR="00747365" w:rsidRPr="009D015F">
        <w:t xml:space="preserve"> </w:t>
      </w:r>
    </w:p>
    <w:p w14:paraId="062436C2" w14:textId="12C08918" w:rsidR="00621AF7" w:rsidRPr="003953C5" w:rsidRDefault="00C312F7" w:rsidP="00747365">
      <w:r w:rsidRPr="008E0D19">
        <w:rPr>
          <w:noProof/>
          <w:color w:val="FFFFFF" w:themeColor="background1"/>
          <w:shd w:val="clear" w:color="auto" w:fill="FFFFFF" w:themeFill="background1"/>
        </w:rPr>
        <mc:AlternateContent>
          <mc:Choice Requires="wps">
            <w:drawing>
              <wp:anchor distT="0" distB="0" distL="114300" distR="114300" simplePos="0" relativeHeight="251658281" behindDoc="1" locked="0" layoutInCell="1" allowOverlap="1" wp14:anchorId="3071CB29" wp14:editId="0F401D3B">
                <wp:simplePos x="0" y="0"/>
                <wp:positionH relativeFrom="page">
                  <wp:posOffset>0</wp:posOffset>
                </wp:positionH>
                <wp:positionV relativeFrom="page">
                  <wp:posOffset>10179</wp:posOffset>
                </wp:positionV>
                <wp:extent cx="7560000" cy="153909"/>
                <wp:effectExtent l="0" t="0" r="0" b="6350"/>
                <wp:wrapNone/>
                <wp:docPr id="949724833" name="Rectangle 9497248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00E18E6" id="Rectangle 949724833" o:spid="_x0000_s1026" alt="&quot;&quot;" style="position:absolute;margin-left:0;margin-top:.8pt;width:595.3pt;height:12.1pt;z-index:-2516581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c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" fillcolor="#c6d533 [3209]" stroked="f" strokeweight="1pt">
                <w10:wrap anchorx="page" anchory="page"/>
              </v:rect>
            </w:pict>
          </mc:Fallback>
        </mc:AlternateContent>
      </w:r>
      <w:r w:rsidR="009C373F" w:rsidRPr="003953C5">
        <w:t>No. The National Study of Mental Health and Wellbeing found that in 2020-2022, young adults aged 16–24 years, and females, were s</w:t>
      </w:r>
      <w:r w:rsidR="00B902D3">
        <w:t>ignificantly</w:t>
      </w:r>
      <w:r w:rsidR="009C373F" w:rsidRPr="003953C5">
        <w:t xml:space="preserve"> more likely to experience a mental disorder in the previous 12 months. Prevalence rates for these cohorts increased substantially between 2007 and 2020-2022. </w:t>
      </w:r>
    </w:p>
    <w:p w14:paraId="41A98217" w14:textId="1D7AE0A7" w:rsidR="009C373F" w:rsidRPr="003953C5" w:rsidRDefault="009C373F" w:rsidP="004E5D44">
      <w:r w:rsidRPr="003953C5">
        <w:t xml:space="preserve">There are also differences in the percentage of people reporting mental and behavioural conditions shaped by where people live and their circumstances. The latest available data from the 2022 National Health Survey shows the percentage of people reporting mental and behavioural conditions was higher for: </w:t>
      </w:r>
      <w:r w:rsidR="00621AF7">
        <w:t xml:space="preserve"> </w:t>
      </w:r>
    </w:p>
    <w:p w14:paraId="1EF07257" w14:textId="77777777" w:rsidR="009C373F" w:rsidRPr="003953C5" w:rsidRDefault="009C373F" w:rsidP="003953C5">
      <w:pPr>
        <w:pStyle w:val="ListBullet"/>
      </w:pPr>
      <w:r w:rsidRPr="003953C5">
        <w:t>people living in the most socio-economically disadvantaged areas (Quintile 1) (29.9%) relative to those in the least disadvantaged areas of Australia (Quintile 5) (20.1%).</w:t>
      </w:r>
      <w:r w:rsidRPr="004D0853">
        <w:rPr>
          <w:vertAlign w:val="superscript"/>
        </w:rPr>
        <w:footnoteReference w:id="11"/>
      </w:r>
      <w:r w:rsidRPr="004D0853">
        <w:rPr>
          <w:vertAlign w:val="superscript"/>
        </w:rPr>
        <w:t> </w:t>
      </w:r>
      <w:r w:rsidRPr="003953C5">
        <w:t> </w:t>
      </w:r>
    </w:p>
    <w:p w14:paraId="095F401C" w14:textId="77777777" w:rsidR="009C373F" w:rsidRDefault="009C373F" w:rsidP="003953C5">
      <w:pPr>
        <w:pStyle w:val="ListBullet"/>
      </w:pPr>
      <w:r w:rsidRPr="003953C5">
        <w:t>people living in Inner regional Australia (29.1%) and Outer regional and Remote Australia (30.8%) relative to people in Major cities (24.8%). </w:t>
      </w:r>
    </w:p>
    <w:p w14:paraId="1BF4057D" w14:textId="7EBEB5C6" w:rsidR="000F67FC" w:rsidRPr="003953C5" w:rsidRDefault="00160014">
      <w:pPr>
        <w:pStyle w:val="ListBullet"/>
        <w:numPr>
          <w:ilvl w:val="0"/>
          <w:numId w:val="0"/>
        </w:numPr>
      </w:pPr>
      <w:r w:rsidRPr="002F7DA4">
        <w:rPr>
          <w:rStyle w:val="Hyperlink"/>
          <w:noProof/>
        </w:rPr>
        <mc:AlternateContent>
          <mc:Choice Requires="wps">
            <w:drawing>
              <wp:anchor distT="0" distB="0" distL="114300" distR="114300" simplePos="0" relativeHeight="251658255" behindDoc="1" locked="0" layoutInCell="1" allowOverlap="1" wp14:anchorId="78A091D2" wp14:editId="5B9AF1B9">
                <wp:simplePos x="0" y="0"/>
                <wp:positionH relativeFrom="page">
                  <wp:posOffset>716915</wp:posOffset>
                </wp:positionH>
                <wp:positionV relativeFrom="page">
                  <wp:posOffset>3440502</wp:posOffset>
                </wp:positionV>
                <wp:extent cx="6147435" cy="4389120"/>
                <wp:effectExtent l="0" t="0" r="12065" b="17780"/>
                <wp:wrapNone/>
                <wp:docPr id="1327722078" name="Rectangle 13277220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4389120"/>
                        </a:xfrm>
                        <a:prstGeom prst="rect">
                          <a:avLst/>
                        </a:prstGeom>
                        <a:solidFill>
                          <a:srgbClr val="F9F9E5">
                            <a:alpha val="50196"/>
                          </a:srgbClr>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558A35D" id="Rectangle 1327722078" o:spid="_x0000_s1026" alt="&quot;&quot;" style="position:absolute;margin-left:56.45pt;margin-top:270.9pt;width:484.05pt;height:345.6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" fillcolor="#f9f9e5" strokecolor="#c6d533 [3209]" strokeweight="1pt">
                <v:fill opacity="32896f"/>
                <w10:wrap anchorx="page" anchory="page"/>
              </v:rect>
            </w:pict>
          </mc:Fallback>
        </mc:AlternateContent>
      </w:r>
    </w:p>
    <w:p w14:paraId="4351AD01" w14:textId="7A306137" w:rsidR="007056E8" w:rsidRPr="00E31B32" w:rsidRDefault="007056E8" w:rsidP="009F46B4">
      <w:pPr>
        <w:pStyle w:val="Heading2"/>
      </w:pPr>
      <w:r w:rsidRPr="00E31B32">
        <w:t xml:space="preserve">Box 1 - </w:t>
      </w:r>
      <w:r w:rsidRPr="00E31B32">
        <w:rPr>
          <w:rStyle w:val="normaltextrun"/>
        </w:rPr>
        <w:t>Gaps in timely prevalence data to inform mental health policy and planning</w:t>
      </w:r>
    </w:p>
    <w:p w14:paraId="2F66DE39" w14:textId="77777777" w:rsidR="007056E8" w:rsidRDefault="007056E8" w:rsidP="007056E8">
      <w:pPr>
        <w:rPr>
          <w:lang w:eastAsia="en-AU"/>
        </w:rPr>
      </w:pPr>
      <w:r w:rsidRPr="67596D41">
        <w:rPr>
          <w:lang w:eastAsia="en-AU"/>
        </w:rPr>
        <w:t xml:space="preserve">Prevalence data can uniquely contribute to the policy evidence base because it informs understanding about changing population </w:t>
      </w:r>
      <w:proofErr w:type="gramStart"/>
      <w:r w:rsidRPr="67596D41">
        <w:rPr>
          <w:lang w:eastAsia="en-AU"/>
        </w:rPr>
        <w:t>prevalence, and</w:t>
      </w:r>
      <w:proofErr w:type="gramEnd"/>
      <w:r w:rsidRPr="67596D41">
        <w:rPr>
          <w:lang w:eastAsia="en-AU"/>
        </w:rPr>
        <w:t xml:space="preserve"> tells us about people who </w:t>
      </w:r>
      <w:r>
        <w:rPr>
          <w:lang w:eastAsia="en-AU"/>
        </w:rPr>
        <w:t>may need mental health care but have not used services or support</w:t>
      </w:r>
      <w:r w:rsidRPr="67596D41">
        <w:rPr>
          <w:lang w:eastAsia="en-AU"/>
        </w:rPr>
        <w:t>.</w:t>
      </w:r>
      <w:r w:rsidRPr="00E8782D">
        <w:rPr>
          <w:vertAlign w:val="superscript"/>
          <w:lang w:eastAsia="en-AU"/>
        </w:rPr>
        <w:endnoteReference w:id="101"/>
      </w:r>
      <w:r w:rsidRPr="67596D41">
        <w:rPr>
          <w:lang w:eastAsia="en-AU"/>
        </w:rPr>
        <w:t xml:space="preserve"> In this way, prevalence data can inform understanding about estimates of need beyond data on mental health </w:t>
      </w:r>
      <w:r>
        <w:rPr>
          <w:lang w:eastAsia="en-AU"/>
        </w:rPr>
        <w:t xml:space="preserve">service </w:t>
      </w:r>
      <w:r w:rsidRPr="67596D41">
        <w:rPr>
          <w:lang w:eastAsia="en-AU"/>
        </w:rPr>
        <w:t>use, which is limited to people who are receiving services.</w:t>
      </w:r>
    </w:p>
    <w:p w14:paraId="186808E6" w14:textId="7258E8A9" w:rsidR="007056E8" w:rsidRDefault="007056E8" w:rsidP="007056E8">
      <w:pPr>
        <w:rPr>
          <w:lang w:eastAsia="en-AU"/>
        </w:rPr>
      </w:pPr>
      <w:r>
        <w:rPr>
          <w:lang w:eastAsia="en-AU"/>
        </w:rPr>
        <w:t xml:space="preserve">The </w:t>
      </w:r>
      <w:r w:rsidRPr="007575CA">
        <w:rPr>
          <w:lang w:eastAsia="en-AU"/>
        </w:rPr>
        <w:t>National Study of Mental Health and Wellbeing (</w:t>
      </w:r>
      <w:r>
        <w:rPr>
          <w:lang w:eastAsia="en-AU"/>
        </w:rPr>
        <w:t>NSMHW</w:t>
      </w:r>
      <w:r w:rsidRPr="007575CA">
        <w:rPr>
          <w:lang w:eastAsia="en-AU"/>
        </w:rPr>
        <w:t>)</w:t>
      </w:r>
      <w:r>
        <w:rPr>
          <w:lang w:eastAsia="en-AU"/>
        </w:rPr>
        <w:t xml:space="preserve"> is part of the</w:t>
      </w:r>
      <w:r w:rsidRPr="004E5D44">
        <w:rPr>
          <w:rStyle w:val="Hyperlink"/>
          <w:u w:val="none"/>
        </w:rPr>
        <w:t xml:space="preserve"> </w:t>
      </w:r>
      <w:hyperlink r:id="rId80" w:history="1">
        <w:r w:rsidRPr="00E31B32">
          <w:rPr>
            <w:rStyle w:val="Hyperlink"/>
          </w:rPr>
          <w:t>Intergenerational Health and Mental Health S</w:t>
        </w:r>
        <w:r w:rsidR="002D3E28">
          <w:rPr>
            <w:rStyle w:val="Hyperlink"/>
          </w:rPr>
          <w:t>tudy</w:t>
        </w:r>
      </w:hyperlink>
      <w:r w:rsidRPr="00E31B32">
        <w:rPr>
          <w:rStyle w:val="Hyperlink"/>
        </w:rPr>
        <w:t>,</w:t>
      </w:r>
      <w:r>
        <w:rPr>
          <w:lang w:eastAsia="en-AU"/>
        </w:rPr>
        <w:t xml:space="preserve"> a group of seven health-related surveys conducted between 2020 and 2024.The NSMHW measures the </w:t>
      </w:r>
      <w:r w:rsidRPr="00E56A86">
        <w:rPr>
          <w:lang w:eastAsia="en-AU"/>
        </w:rPr>
        <w:t>prevalence and severity of mental disorders in Australia, the demographics of people experiencing mental disorders and access to mental health services</w:t>
      </w:r>
      <w:r>
        <w:rPr>
          <w:lang w:eastAsia="en-AU"/>
        </w:rPr>
        <w:t xml:space="preserve">; however, was last undertaken in 2020-2022. </w:t>
      </w:r>
      <w:r w:rsidRPr="007575CA">
        <w:rPr>
          <w:lang w:eastAsia="en-AU"/>
        </w:rPr>
        <w:t xml:space="preserve"> </w:t>
      </w:r>
    </w:p>
    <w:p w14:paraId="6A2A3160" w14:textId="77777777" w:rsidR="007056E8" w:rsidRPr="00EA0EF9" w:rsidRDefault="007056E8" w:rsidP="007056E8">
      <w:pPr>
        <w:rPr>
          <w:rStyle w:val="normaltextrun"/>
          <w:rFonts w:ascii="Aptos" w:hAnsi="Aptos" w:cs="Segoe UI"/>
          <w:sz w:val="22"/>
        </w:rPr>
      </w:pPr>
      <w:r w:rsidRPr="007575CA">
        <w:rPr>
          <w:lang w:eastAsia="en-AU"/>
        </w:rPr>
        <w:t>Timely and nationally consistent prevalence data are critical to identifying emerging trends, inequities between population groups and opportunities for early intervention and system improvement. The Commission supports the Productivity Commission’s recommendation for more frequently updated national prevalence data on mental health to better monitor trends, as outlined in its</w:t>
      </w:r>
      <w:r w:rsidRPr="00F90164">
        <w:rPr>
          <w:lang w:val="en-AU" w:eastAsia="en-AU"/>
        </w:rPr>
        <w:t xml:space="preserve"> </w:t>
      </w:r>
      <w:hyperlink r:id="rId81" w:history="1">
        <w:r w:rsidRPr="00E31B32">
          <w:rPr>
            <w:rStyle w:val="Hyperlink"/>
          </w:rPr>
          <w:t>Review of the Mental Health and Suicide Prevention Agreement</w:t>
        </w:r>
      </w:hyperlink>
    </w:p>
    <w:p w14:paraId="6FB51733" w14:textId="77777777" w:rsidR="007056E8" w:rsidRPr="00E31B32" w:rsidRDefault="007056E8" w:rsidP="007056E8">
      <w:pPr>
        <w:pStyle w:val="Heading3"/>
      </w:pPr>
      <w:r w:rsidRPr="00E31B32">
        <w:t>When will we know more about prevalence for children and young people?</w:t>
      </w:r>
    </w:p>
    <w:p w14:paraId="1147EBE0" w14:textId="77777777" w:rsidR="007056E8" w:rsidRPr="007575CA" w:rsidRDefault="007056E8" w:rsidP="007056E8">
      <w:pPr>
        <w:rPr>
          <w:lang w:eastAsia="en-AU"/>
        </w:rPr>
      </w:pPr>
      <w:r w:rsidRPr="007575CA">
        <w:rPr>
          <w:lang w:eastAsia="en-AU"/>
        </w:rPr>
        <w:t xml:space="preserve">Timely and nationally consistent prevalence data are critical to identifying emerging trends, inequities and opportunities for early intervention and system improvement, especially for understanding prevalence trends among young people. </w:t>
      </w:r>
    </w:p>
    <w:p w14:paraId="6D5B43F8" w14:textId="2F03411B" w:rsidR="00E31B32" w:rsidRDefault="000F67FC" w:rsidP="000F67FC">
      <w:pPr>
        <w:rPr>
          <w:rStyle w:val="eop"/>
          <w:rFonts w:ascii="Aptos" w:hAnsi="Aptos" w:cs="Segoe UI"/>
          <w:color w:val="000000"/>
          <w:sz w:val="22"/>
        </w:rPr>
      </w:pPr>
      <w:r w:rsidRPr="007575CA">
        <w:t xml:space="preserve">In 2025, the Commission welcomed </w:t>
      </w:r>
      <w:r>
        <w:t xml:space="preserve">the </w:t>
      </w:r>
      <w:r w:rsidRPr="007575CA">
        <w:t>announcement of the forthcoming</w:t>
      </w:r>
      <w:r w:rsidRPr="007575CA">
        <w:rPr>
          <w:rFonts w:ascii="Arial" w:hAnsi="Arial" w:cs="Arial"/>
        </w:rPr>
        <w:t> </w:t>
      </w:r>
      <w:r w:rsidRPr="007575CA">
        <w:t>National Child and Adolescent Mental Health and Wellbeing Study (expected 2027), last updated in</w:t>
      </w:r>
      <w:r w:rsidRPr="007575CA">
        <w:rPr>
          <w:rFonts w:ascii="Arial" w:hAnsi="Arial" w:cs="Arial"/>
        </w:rPr>
        <w:t> </w:t>
      </w:r>
      <w:r w:rsidRPr="007575CA">
        <w:t>2013-14. Fieldwork commenced in November 2025 and is expected to run for up to 12 months. Critically, this study will be updating the national prevalence rates of mental health disorders for Australian children and adolescents (aged 4-17), including examining changes since 2013-14. Future Report Cards will include this data when it becomes available.</w:t>
      </w:r>
    </w:p>
    <w:p w14:paraId="675326FB" w14:textId="77777777" w:rsidR="00E8782D" w:rsidRDefault="00E8782D">
      <w:pPr>
        <w:suppressAutoHyphens w:val="0"/>
        <w:autoSpaceDE/>
        <w:autoSpaceDN/>
        <w:adjustRightInd/>
        <w:spacing w:after="0" w:line="240" w:lineRule="auto"/>
        <w:textAlignment w:val="auto"/>
        <w:rPr>
          <w:rFonts w:eastAsiaTheme="majorEastAsia" w:cstheme="majorBidi"/>
          <w:color w:val="008143"/>
          <w:sz w:val="24"/>
          <w:szCs w:val="26"/>
          <w:lang w:eastAsia="en-AU"/>
        </w:rPr>
      </w:pPr>
      <w:r>
        <w:br w:type="page"/>
      </w:r>
    </w:p>
    <w:p w14:paraId="63396180" w14:textId="6AD44BF3" w:rsidR="009C373F" w:rsidRPr="003953C5" w:rsidRDefault="007D0C41" w:rsidP="009F46B4">
      <w:pPr>
        <w:pStyle w:val="Heading2"/>
      </w:pPr>
      <w:r>
        <w:rPr>
          <w:noProof/>
        </w:rPr>
        <w:lastRenderedPageBreak/>
        <w:drawing>
          <wp:inline distT="0" distB="0" distL="0" distR="0" wp14:anchorId="28C37C40" wp14:editId="383D95CE">
            <wp:extent cx="387350" cy="387350"/>
            <wp:effectExtent l="0" t="0" r="6350" b="6350"/>
            <wp:docPr id="1274644448"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644448" name="Picture 100">
                      <a:extLst>
                        <a:ext uri="{C183D7F6-B498-43B3-948B-1728B52AA6E4}">
                          <adec:decorative xmlns:adec="http://schemas.microsoft.com/office/drawing/2017/decorative" val="1"/>
                        </a:ext>
                      </a:extLst>
                    </pic:cNvPr>
                    <pic:cNvPicPr/>
                  </pic:nvPicPr>
                  <pic:blipFill>
                    <a:blip r:embed="rId69">
                      <a:extLst>
                        <a:ext uri="{96DAC541-7B7A-43D3-8B79-37D633B846F1}">
                          <asvg:svgBlip xmlns:asvg="http://schemas.microsoft.com/office/drawing/2016/SVG/main" r:embed="rId70"/>
                        </a:ext>
                      </a:extLst>
                    </a:blip>
                    <a:stretch>
                      <a:fillRect/>
                    </a:stretch>
                  </pic:blipFill>
                  <pic:spPr>
                    <a:xfrm>
                      <a:off x="0" y="0"/>
                      <a:ext cx="394046" cy="394046"/>
                    </a:xfrm>
                    <a:prstGeom prst="rect">
                      <a:avLst/>
                    </a:prstGeom>
                  </pic:spPr>
                </pic:pic>
              </a:graphicData>
            </a:graphic>
          </wp:inline>
        </w:drawing>
      </w:r>
      <w:r>
        <w:t xml:space="preserve">  </w:t>
      </w:r>
      <w:r w:rsidR="00C312F7">
        <w:rPr>
          <w:noProof/>
        </w:rPr>
        <mc:AlternateContent>
          <mc:Choice Requires="wps">
            <w:drawing>
              <wp:anchor distT="0" distB="0" distL="114300" distR="114300" simplePos="0" relativeHeight="251658282" behindDoc="1" locked="0" layoutInCell="1" allowOverlap="1" wp14:anchorId="2C148CC0" wp14:editId="2AA9E004">
                <wp:simplePos x="0" y="0"/>
                <wp:positionH relativeFrom="page">
                  <wp:posOffset>-6513</wp:posOffset>
                </wp:positionH>
                <wp:positionV relativeFrom="page">
                  <wp:posOffset>9525</wp:posOffset>
                </wp:positionV>
                <wp:extent cx="7560000" cy="153909"/>
                <wp:effectExtent l="0" t="0" r="0" b="0"/>
                <wp:wrapNone/>
                <wp:docPr id="1768153849" name="Rectangle 17681538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370D64A" id="Rectangle 1768153849" o:spid="_x0000_s1026" alt="&quot;&quot;" style="position:absolute;margin-left:-.5pt;margin-top:.75pt;width:595.3pt;height:12.1pt;z-index:-2516581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c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" fillcolor="#c6d533 [3209]" stroked="f" strokeweight="1pt">
                <w10:wrap anchorx="page" anchory="page"/>
              </v:rect>
            </w:pict>
          </mc:Fallback>
        </mc:AlternateContent>
      </w:r>
      <w:r w:rsidR="009C373F" w:rsidRPr="003953C5">
        <w:t>Psychological distress </w:t>
      </w:r>
    </w:p>
    <w:p w14:paraId="5C3D7944" w14:textId="7FCCF7F8" w:rsidR="009C373F" w:rsidRPr="00A37A8C" w:rsidRDefault="009C373F" w:rsidP="00A37A8C">
      <w:r w:rsidRPr="00A37A8C">
        <w:t>Monitoring levels of psychological distress helps identify how people are experiencing and responding to social, economic and environmental pressures including experiences that may not meet diagnostic criteria for mental illness but still affect wellbeing and daily functioning.  </w:t>
      </w:r>
    </w:p>
    <w:p w14:paraId="3D62071C" w14:textId="766E4C7A" w:rsidR="009C373F" w:rsidRPr="00A37A8C" w:rsidRDefault="009C373F" w:rsidP="00A37A8C">
      <w:r w:rsidRPr="00A37A8C">
        <w:t>Population-level distress is shaped by a range of contemporary drivers (including cost-of-living-pressures, housing insecurity, financial stress, social isolation, discrimination, climate-related concerns and digital environments) and can signal both emerging mental health risks and broader societal pressures. Tracking distress can also provide insight into emerging trends, inequities and unmet support needs across the community, supporting prevention and early intervention. </w:t>
      </w:r>
    </w:p>
    <w:p w14:paraId="42EC96F8" w14:textId="217D32C1" w:rsidR="009C373F" w:rsidRPr="00E74085" w:rsidRDefault="009C373F" w:rsidP="00367EE3">
      <w:pPr>
        <w:pStyle w:val="Heading3"/>
        <w:rPr>
          <w:rStyle w:val="eop"/>
        </w:rPr>
      </w:pPr>
      <w:r w:rsidRPr="00E74085">
        <w:rPr>
          <w:rStyle w:val="normaltextrun"/>
        </w:rPr>
        <w:t>Whole of population</w:t>
      </w:r>
    </w:p>
    <w:p w14:paraId="096875CC" w14:textId="77777777" w:rsidR="009C373F" w:rsidRPr="00E74085" w:rsidRDefault="009C373F" w:rsidP="00B22E86">
      <w:pPr>
        <w:pStyle w:val="NormalBeforeBullet"/>
      </w:pPr>
      <w:r w:rsidRPr="00E74085">
        <w:t xml:space="preserve">As reported in Report Card 2024 and based on latest available data from the National Health Survey (2022): </w:t>
      </w:r>
    </w:p>
    <w:p w14:paraId="077BD473" w14:textId="0CE99972" w:rsidR="009C373F" w:rsidRPr="00E74085" w:rsidRDefault="009C373F" w:rsidP="00E74085">
      <w:pPr>
        <w:pStyle w:val="ListBullet"/>
        <w:rPr>
          <w:rStyle w:val="normaltextrun"/>
        </w:rPr>
      </w:pPr>
      <w:r w:rsidRPr="00E74085">
        <w:rPr>
          <w:rStyle w:val="normaltextrun"/>
        </w:rPr>
        <w:t xml:space="preserve">The proportion of adults in Australia with high or very high levels of psychological distress significantly increased, from </w:t>
      </w:r>
      <w:r w:rsidRPr="00E74085">
        <w:rPr>
          <w:rStyle w:val="normaltextrun"/>
          <w:b/>
          <w:bCs/>
        </w:rPr>
        <w:t>10.8% in 2011-12</w:t>
      </w:r>
      <w:r w:rsidRPr="00E74085">
        <w:rPr>
          <w:rStyle w:val="normaltextrun"/>
        </w:rPr>
        <w:t xml:space="preserve">, to 13.0% in 2017-18 and </w:t>
      </w:r>
      <w:r w:rsidRPr="00E74085">
        <w:rPr>
          <w:rStyle w:val="normaltextrun"/>
          <w:b/>
          <w:bCs/>
        </w:rPr>
        <w:t>14.6% in 2022</w:t>
      </w:r>
      <w:r w:rsidRPr="00E74085">
        <w:rPr>
          <w:rStyle w:val="normaltextrun"/>
        </w:rPr>
        <w:t xml:space="preserve">. </w:t>
      </w:r>
    </w:p>
    <w:p w14:paraId="606CBC6B" w14:textId="78E76819" w:rsidR="009C373F" w:rsidRPr="00E74085" w:rsidRDefault="009C373F" w:rsidP="00E74085">
      <w:pPr>
        <w:rPr>
          <w:rStyle w:val="normaltextrun"/>
        </w:rPr>
      </w:pPr>
      <w:r w:rsidRPr="00E74085">
        <w:rPr>
          <w:rStyle w:val="normaltextrun"/>
        </w:rPr>
        <w:t xml:space="preserve">However, it is important to note that the data collected in 2022 was during implementation of public health measures focused on reducing the spread of COVID-19. In response to these measures, we saw changes such as increased remote learning and working, as well as short-term financial support. These changes may have impacted behaviours and responses to this survey data at this time. </w:t>
      </w:r>
    </w:p>
    <w:p w14:paraId="4685420B" w14:textId="7C516721" w:rsidR="009C373F" w:rsidRPr="00E74085" w:rsidRDefault="009C373F" w:rsidP="00B22E86">
      <w:pPr>
        <w:pStyle w:val="NormalBeforeBullet"/>
      </w:pPr>
      <w:r w:rsidRPr="00E74085">
        <w:t xml:space="preserve">Although National Health Survey data has not been collected since 2022, more recent national data on psychological distress can provide updated insights at the whole-of-population level. Based on findings from the </w:t>
      </w:r>
      <w:r w:rsidRPr="00E74085">
        <w:rPr>
          <w:b/>
          <w:bCs/>
        </w:rPr>
        <w:t>2025 General Social Survey</w:t>
      </w:r>
      <w:r w:rsidRPr="00E74085">
        <w:t xml:space="preserve">: </w:t>
      </w:r>
    </w:p>
    <w:p w14:paraId="01436C6D" w14:textId="77777777" w:rsidR="009C373F" w:rsidRPr="00E74085" w:rsidRDefault="009C373F" w:rsidP="00E74085">
      <w:pPr>
        <w:pStyle w:val="ListBullet"/>
        <w:rPr>
          <w:rStyle w:val="normaltextrun"/>
        </w:rPr>
      </w:pPr>
      <w:r w:rsidRPr="00E74085">
        <w:rPr>
          <w:rStyle w:val="normaltextrun"/>
        </w:rPr>
        <w:t>In 2025, 9.2% of Australians aged 15 years and over experienced very high psychological distress.  </w:t>
      </w:r>
    </w:p>
    <w:p w14:paraId="1E302979" w14:textId="1B4009A3" w:rsidR="009C373F" w:rsidRPr="00E31B32" w:rsidRDefault="009C373F" w:rsidP="00E31B32">
      <w:pPr>
        <w:pStyle w:val="ListBullet"/>
        <w:rPr>
          <w:color w:val="auto"/>
        </w:rPr>
      </w:pPr>
      <w:r w:rsidRPr="00E74085">
        <w:rPr>
          <w:rStyle w:val="normaltextrun"/>
        </w:rPr>
        <w:t>Experiencing very high psychological distress was more common among women than men (10.0% compared with 7.3%, respectively). Conversely, men were more likely to experience low psychological distress than women (54.7% compared with 49.5%, respectively)</w:t>
      </w:r>
      <w:r w:rsidR="00075476">
        <w:rPr>
          <w:rStyle w:val="normaltextrun"/>
        </w:rPr>
        <w:t>.</w:t>
      </w:r>
      <w:r w:rsidRPr="00E74085">
        <w:rPr>
          <w:rStyle w:val="normaltextrun"/>
        </w:rPr>
        <w:t> </w:t>
      </w:r>
    </w:p>
    <w:p w14:paraId="38B3C3FD" w14:textId="05EF1DF9" w:rsidR="009C373F" w:rsidRPr="00367EE3" w:rsidRDefault="009C373F" w:rsidP="00367EE3">
      <w:pPr>
        <w:pStyle w:val="Heading3"/>
      </w:pPr>
      <w:r w:rsidRPr="00367EE3">
        <w:rPr>
          <w:rStyle w:val="normaltextrun"/>
        </w:rPr>
        <w:t>Outcomes for people with lived experience</w:t>
      </w:r>
    </w:p>
    <w:p w14:paraId="3B789E20" w14:textId="18C569D7" w:rsidR="009C373F" w:rsidRPr="00E74085" w:rsidRDefault="009C373F" w:rsidP="00E74085">
      <w:pPr>
        <w:rPr>
          <w:rStyle w:val="normaltextrun"/>
          <w:color w:val="000000"/>
        </w:rPr>
      </w:pPr>
      <w:r w:rsidRPr="00E74085">
        <w:t>In 2025,</w:t>
      </w:r>
      <w:r w:rsidRPr="00E74085">
        <w:rPr>
          <w:b/>
          <w:bCs/>
        </w:rPr>
        <w:t xml:space="preserve"> people who have a mental health condition were around 5 times as likely to experience very high psychological distress</w:t>
      </w:r>
      <w:r w:rsidRPr="00E74085">
        <w:t xml:space="preserve"> compared with people who do not have a mental health condition (30.7% compared with 5.9%, respectively). </w:t>
      </w:r>
    </w:p>
    <w:p w14:paraId="1D56F98F" w14:textId="77777777" w:rsidR="009C373F" w:rsidRPr="00E74085" w:rsidRDefault="009C373F" w:rsidP="00B936F9">
      <w:pPr>
        <w:pStyle w:val="NormalBeforeBullet"/>
      </w:pPr>
      <w:r w:rsidRPr="00E74085">
        <w:t>Men and women who have a mental health condition experienced levels of psychological distress at a similar rate. However, when compared to people who do not have a mental condition:  </w:t>
      </w:r>
    </w:p>
    <w:p w14:paraId="2CB0A4D0" w14:textId="52537042" w:rsidR="009C373F" w:rsidRPr="00E74085" w:rsidRDefault="009C373F" w:rsidP="00E74085">
      <w:pPr>
        <w:pStyle w:val="ListBullet"/>
        <w:rPr>
          <w:rStyle w:val="normaltextrun"/>
        </w:rPr>
      </w:pPr>
      <w:r w:rsidRPr="00E74085">
        <w:rPr>
          <w:rStyle w:val="normaltextrun"/>
          <w:b/>
          <w:bCs/>
        </w:rPr>
        <w:t>Men who have a mental health condition were almost 6 times more likely to experience very high psychological distress</w:t>
      </w:r>
      <w:r w:rsidRPr="00E74085">
        <w:rPr>
          <w:rStyle w:val="normaltextrun"/>
        </w:rPr>
        <w:t xml:space="preserve"> compared with men who do not have a mental health condition (28.6% compared with 4.9%, respectively).  </w:t>
      </w:r>
    </w:p>
    <w:p w14:paraId="0FAF8C71" w14:textId="30791BA4" w:rsidR="009C373F" w:rsidRPr="00E74085" w:rsidRDefault="00315057" w:rsidP="00E74085">
      <w:pPr>
        <w:pStyle w:val="ListBullet"/>
        <w:rPr>
          <w:rStyle w:val="normaltextrun"/>
        </w:rPr>
      </w:pPr>
      <w:r>
        <w:rPr>
          <w:noProof/>
        </w:rPr>
        <w:drawing>
          <wp:anchor distT="0" distB="0" distL="114300" distR="114300" simplePos="0" relativeHeight="251708558" behindDoc="0" locked="0" layoutInCell="1" allowOverlap="1" wp14:anchorId="4755F00F" wp14:editId="2957D305">
            <wp:simplePos x="0" y="0"/>
            <wp:positionH relativeFrom="column">
              <wp:posOffset>2965505</wp:posOffset>
            </wp:positionH>
            <wp:positionV relativeFrom="paragraph">
              <wp:posOffset>48260</wp:posOffset>
            </wp:positionV>
            <wp:extent cx="3578639" cy="3578639"/>
            <wp:effectExtent l="0" t="0" r="0" b="0"/>
            <wp:wrapNone/>
            <wp:docPr id="1309590147" name="Graphic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90147" name="Graphic 198">
                      <a:extLst>
                        <a:ext uri="{C183D7F6-B498-43B3-948B-1728B52AA6E4}">
                          <adec:decorative xmlns:adec="http://schemas.microsoft.com/office/drawing/2017/decorative" val="1"/>
                        </a:ext>
                      </a:extLst>
                    </pic:cNvPr>
                    <pic:cNvPicPr/>
                  </pic:nvPicPr>
                  <pic:blipFill>
                    <a:blip r:embed="rId82">
                      <a:extLst>
                        <a:ext uri="{96DAC541-7B7A-43D3-8B79-37D633B846F1}">
                          <asvg:svgBlip xmlns:asvg="http://schemas.microsoft.com/office/drawing/2016/SVG/main" r:embed="rId83"/>
                        </a:ext>
                      </a:extLst>
                    </a:blip>
                    <a:stretch>
                      <a:fillRect/>
                    </a:stretch>
                  </pic:blipFill>
                  <pic:spPr>
                    <a:xfrm>
                      <a:off x="0" y="0"/>
                      <a:ext cx="3578639" cy="3578639"/>
                    </a:xfrm>
                    <a:prstGeom prst="rect">
                      <a:avLst/>
                    </a:prstGeom>
                  </pic:spPr>
                </pic:pic>
              </a:graphicData>
            </a:graphic>
            <wp14:sizeRelH relativeFrom="page">
              <wp14:pctWidth>0</wp14:pctWidth>
            </wp14:sizeRelH>
            <wp14:sizeRelV relativeFrom="page">
              <wp14:pctHeight>0</wp14:pctHeight>
            </wp14:sizeRelV>
          </wp:anchor>
        </w:drawing>
      </w:r>
      <w:r w:rsidR="009C373F" w:rsidRPr="00E74085">
        <w:rPr>
          <w:rStyle w:val="normaltextrun"/>
          <w:b/>
          <w:bCs/>
        </w:rPr>
        <w:t>Women who have a mental health condition were almost 5 times more likely to experience very</w:t>
      </w:r>
      <w:r w:rsidR="007F764F">
        <w:rPr>
          <w:rStyle w:val="normaltextrun"/>
          <w:b/>
          <w:bCs/>
        </w:rPr>
        <w:t xml:space="preserve"> </w:t>
      </w:r>
      <w:r w:rsidR="009C373F" w:rsidRPr="00E74085">
        <w:rPr>
          <w:rStyle w:val="normaltextrun"/>
          <w:b/>
          <w:bCs/>
        </w:rPr>
        <w:t>high psychological distress</w:t>
      </w:r>
      <w:r w:rsidR="009C373F" w:rsidRPr="00E74085">
        <w:rPr>
          <w:rStyle w:val="normaltextrun"/>
        </w:rPr>
        <w:t xml:space="preserve"> compared with women who do not have a mental health condition (29.3% compared with 6.2%, respectively).  </w:t>
      </w:r>
    </w:p>
    <w:p w14:paraId="5CAB8C76" w14:textId="13D24318" w:rsidR="009C373F" w:rsidRDefault="009C373F" w:rsidP="009C373F">
      <w:pPr>
        <w:pStyle w:val="paragraph"/>
        <w:spacing w:before="0" w:beforeAutospacing="0" w:after="0" w:afterAutospacing="0"/>
        <w:ind w:left="1440"/>
        <w:textAlignment w:val="baseline"/>
        <w:rPr>
          <w:rStyle w:val="normaltextrun"/>
          <w:rFonts w:ascii="Aptos" w:eastAsiaTheme="minorHAnsi" w:hAnsi="Aptos" w:cs="Roboto-Light"/>
          <w:color w:val="000000"/>
          <w:sz w:val="18"/>
          <w:szCs w:val="22"/>
          <w:lang w:val="en-GB" w:eastAsia="en-US"/>
        </w:rPr>
      </w:pPr>
    </w:p>
    <w:p w14:paraId="0F54231A" w14:textId="6D7289A2" w:rsidR="00E31B32" w:rsidRDefault="00E31B32" w:rsidP="00E31B32">
      <w:pPr>
        <w:suppressAutoHyphens w:val="0"/>
        <w:autoSpaceDE/>
        <w:autoSpaceDN/>
        <w:adjustRightInd/>
        <w:spacing w:after="0" w:line="240" w:lineRule="auto"/>
        <w:textAlignment w:val="auto"/>
        <w:rPr>
          <w:rStyle w:val="normaltextrun"/>
          <w:rFonts w:ascii="Aptos" w:hAnsi="Aptos"/>
          <w:color w:val="000000"/>
        </w:rPr>
      </w:pPr>
      <w:r>
        <w:rPr>
          <w:rStyle w:val="normaltextrun"/>
          <w:rFonts w:ascii="Aptos" w:hAnsi="Aptos"/>
          <w:color w:val="000000"/>
        </w:rPr>
        <w:br w:type="page"/>
      </w:r>
    </w:p>
    <w:p w14:paraId="499143A1" w14:textId="18A13DED" w:rsidR="007F282D" w:rsidRPr="00E31B32" w:rsidRDefault="00EC2D4B" w:rsidP="009F46B4">
      <w:pPr>
        <w:pStyle w:val="Heading2"/>
      </w:pPr>
      <w:r>
        <w:rPr>
          <w:noProof/>
        </w:rPr>
        <w:lastRenderedPageBreak/>
        <mc:AlternateContent>
          <mc:Choice Requires="wps">
            <w:drawing>
              <wp:anchor distT="0" distB="0" distL="114300" distR="114300" simplePos="0" relativeHeight="251658283" behindDoc="1" locked="0" layoutInCell="1" allowOverlap="1" wp14:anchorId="1CEFE475" wp14:editId="742A3F33">
                <wp:simplePos x="0" y="0"/>
                <wp:positionH relativeFrom="page">
                  <wp:posOffset>-9493</wp:posOffset>
                </wp:positionH>
                <wp:positionV relativeFrom="page">
                  <wp:posOffset>10342</wp:posOffset>
                </wp:positionV>
                <wp:extent cx="7560000" cy="153909"/>
                <wp:effectExtent l="0" t="0" r="0" b="6350"/>
                <wp:wrapNone/>
                <wp:docPr id="292624293" name="Rectangle 2926242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07DC6D5" id="Rectangle 292624293" o:spid="_x0000_s1026" alt="&quot;&quot;" style="position:absolute;margin-left:-.75pt;margin-top:.8pt;width:595.3pt;height:12.1pt;z-index:-2516581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c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" fillcolor="#c6d533 [3209]" stroked="f" strokeweight="1pt">
                <w10:wrap anchorx="page" anchory="page"/>
              </v:rect>
            </w:pict>
          </mc:Fallback>
        </mc:AlternateContent>
      </w:r>
      <w:r w:rsidR="007F282D">
        <w:rPr>
          <w:noProof/>
        </w:rPr>
        <mc:AlternateContent>
          <mc:Choice Requires="wps">
            <w:drawing>
              <wp:anchor distT="0" distB="0" distL="114300" distR="114300" simplePos="0" relativeHeight="251658256" behindDoc="1" locked="0" layoutInCell="1" allowOverlap="1" wp14:anchorId="657CCB93" wp14:editId="17271093">
                <wp:simplePos x="0" y="0"/>
                <wp:positionH relativeFrom="page">
                  <wp:posOffset>742013</wp:posOffset>
                </wp:positionH>
                <wp:positionV relativeFrom="page">
                  <wp:posOffset>831954</wp:posOffset>
                </wp:positionV>
                <wp:extent cx="6147435" cy="4609476"/>
                <wp:effectExtent l="0" t="0" r="12065" b="13335"/>
                <wp:wrapNone/>
                <wp:docPr id="1679817214" name="Rectangle 16798172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4609476"/>
                        </a:xfrm>
                        <a:prstGeom prst="rect">
                          <a:avLst/>
                        </a:prstGeom>
                        <a:solidFill>
                          <a:srgbClr val="F9F9E5">
                            <a:alpha val="50196"/>
                          </a:srgbClr>
                        </a:solidFill>
                        <a:ln w="12700">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90E00EB" id="Rectangle 1679817214" o:spid="_x0000_s1026" alt="&quot;&quot;" style="position:absolute;margin-left:58.45pt;margin-top:65.5pt;width:484.05pt;height:362.95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" fillcolor="#f9f9e5" strokecolor="#c6d533 [3209]" strokeweight="1pt">
                <v:fill opacity="32896f"/>
                <w10:wrap anchorx="page" anchory="page"/>
              </v:rect>
            </w:pict>
          </mc:Fallback>
        </mc:AlternateContent>
      </w:r>
      <w:r w:rsidR="007F282D" w:rsidRPr="00E31B32">
        <w:t xml:space="preserve">Box 2 - Understanding and preventing suicide </w:t>
      </w:r>
    </w:p>
    <w:p w14:paraId="64DC59DE" w14:textId="7BC39115" w:rsidR="007F282D" w:rsidRPr="00E31B32" w:rsidRDefault="007F282D" w:rsidP="007F282D">
      <w:r w:rsidRPr="00E31B32">
        <w:t xml:space="preserve">Suicide and self-harm are significant issues that require a whole-of-government response. The </w:t>
      </w:r>
      <w:hyperlink r:id="rId84" w:history="1">
        <w:r w:rsidRPr="00E31B32">
          <w:rPr>
            <w:rStyle w:val="Hyperlink"/>
          </w:rPr>
          <w:t>National Suicide Prevention Strategy 2025-2035</w:t>
        </w:r>
      </w:hyperlink>
      <w:r w:rsidRPr="007E738E">
        <w:rPr>
          <w:rStyle w:val="Hyperlink"/>
          <w:u w:val="none"/>
        </w:rPr>
        <w:t xml:space="preserve"> recognises </w:t>
      </w:r>
      <w:r w:rsidRPr="007E738E">
        <w:t>that</w:t>
      </w:r>
      <w:r w:rsidRPr="00E31B32">
        <w:t xml:space="preserve"> suicidal distress is a complex human response that arises from an interaction of factors. These factors include social determinants (such as employment and housing), contextual factors (such as trauma and stressful life events), clinical factors (such as mental illness), personality factors, genetic factors and demographic factors (such as age and gender).</w:t>
      </w:r>
      <w:r w:rsidR="00B12401" w:rsidRPr="00E31B32">
        <w:endnoteReference w:id="102"/>
      </w:r>
      <w:r w:rsidR="00B12401" w:rsidRPr="00E31B32">
        <w:t xml:space="preserve"> </w:t>
      </w:r>
      <w:r w:rsidRPr="00E31B32">
        <w:t xml:space="preserve">So, while monitoring changes in suicide rates and attempts is important, in isolation they are not a reliable indicator of how the mental health system is performing. In recognition of this we do not include suicide-related measures as core indicators in the Report Card. We do, however, recognise that an effective mental health system is a critical element in suicide prevention and reducing suicidal distress. </w:t>
      </w:r>
    </w:p>
    <w:p w14:paraId="74708671" w14:textId="50B50D1C" w:rsidR="007F282D" w:rsidRPr="00E31B32" w:rsidRDefault="007F282D" w:rsidP="007F282D">
      <w:pPr>
        <w:pStyle w:val="Heading3"/>
      </w:pPr>
      <w:r w:rsidRPr="00E31B32">
        <w:t>The National Suicide Prevention Outcomes Framework (Outcomes Framework)</w:t>
      </w:r>
    </w:p>
    <w:p w14:paraId="1BE2935D" w14:textId="52196923" w:rsidR="007F282D" w:rsidRPr="00E31B32" w:rsidRDefault="007F282D" w:rsidP="007F282D">
      <w:r w:rsidRPr="00E31B32">
        <w:t xml:space="preserve">The National Suicide Prevention Office (NSPO) is developing the Outcomes Framework which aligns with the </w:t>
      </w:r>
      <w:r w:rsidRPr="00150253">
        <w:rPr>
          <w:i/>
          <w:iCs/>
        </w:rPr>
        <w:t>National Suicide Prevention Strategy 2025-2035</w:t>
      </w:r>
      <w:r w:rsidRPr="00E31B32">
        <w:t>, to improve our understanding of whether suicide prevention efforts are safe and effective. The Outcomes Framework expands the goals for suicide prevention to include reduced suicide attempts and suicidal distress, as well as increased wellbeing to protect against suicide. It identifies outcomes that reflect what matters to people about suicide prevention and what is needed to improve the effectiveness of suicide prevention efforts. It utilises both quantitative data and qualitative data to measure change, applying mixed- and multi- analysis to inform a more holistic picture.</w:t>
      </w:r>
    </w:p>
    <w:p w14:paraId="5E3C296E" w14:textId="0939B468" w:rsidR="007F282D" w:rsidRPr="00E31B32" w:rsidRDefault="007F282D" w:rsidP="007F282D">
      <w:r w:rsidRPr="00E31B32">
        <w:t xml:space="preserve">Further information about the Outcomes Framework is available here: </w:t>
      </w:r>
      <w:hyperlink r:id="rId85" w:history="1">
        <w:r w:rsidRPr="00E31B32">
          <w:rPr>
            <w:rStyle w:val="Hyperlink"/>
          </w:rPr>
          <w:t>The National Suicide Prevention Outcomes Framework | National Suicide Prevention Office | National Mental Health Commission</w:t>
        </w:r>
      </w:hyperlink>
      <w:r w:rsidRPr="00E31B32">
        <w:rPr>
          <w:rStyle w:val="Hyperlink"/>
        </w:rPr>
        <w:t>.</w:t>
      </w:r>
      <w:r w:rsidRPr="00E31B32">
        <w:t xml:space="preserve"> NSPO’s first report of their Outcomes Map is expected to be released in 2027.  </w:t>
      </w:r>
    </w:p>
    <w:p w14:paraId="1482B899" w14:textId="6E6A6D87" w:rsidR="00E31B32" w:rsidRPr="00E31B32" w:rsidRDefault="007F282D" w:rsidP="007F282D">
      <w:r w:rsidRPr="00E31B32">
        <w:t>The Commission continues to work with the NSPO to ensure our respective monitoring and reporting approaches complement each other, enabling a fuller picture to inform and drive improved outcomes for mental health and suicide prevention.</w:t>
      </w:r>
    </w:p>
    <w:p w14:paraId="6CA814AF" w14:textId="3FF928D1" w:rsidR="007F282D" w:rsidRDefault="007F282D" w:rsidP="009F46B4">
      <w:pPr>
        <w:pStyle w:val="Heading2"/>
      </w:pPr>
    </w:p>
    <w:p w14:paraId="47D750A1" w14:textId="7F42072E" w:rsidR="009C373F" w:rsidRPr="00BA1489" w:rsidRDefault="007D0C41" w:rsidP="009F46B4">
      <w:pPr>
        <w:pStyle w:val="Heading2"/>
      </w:pPr>
      <w:r>
        <w:rPr>
          <w:noProof/>
        </w:rPr>
        <w:drawing>
          <wp:inline distT="0" distB="0" distL="0" distR="0" wp14:anchorId="36731CA9" wp14:editId="4609406C">
            <wp:extent cx="387752" cy="387752"/>
            <wp:effectExtent l="0" t="0" r="6350" b="6350"/>
            <wp:docPr id="1180729141"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729141" name="Picture 100">
                      <a:extLst>
                        <a:ext uri="{C183D7F6-B498-43B3-948B-1728B52AA6E4}">
                          <adec:decorative xmlns:adec="http://schemas.microsoft.com/office/drawing/2017/decorative" val="1"/>
                        </a:ext>
                      </a:extLst>
                    </pic:cNvPr>
                    <pic:cNvPicPr/>
                  </pic:nvPicPr>
                  <pic:blipFill>
                    <a:blip r:embed="rId71">
                      <a:extLst>
                        <a:ext uri="{96DAC541-7B7A-43D3-8B79-37D633B846F1}">
                          <asvg:svgBlip xmlns:asvg="http://schemas.microsoft.com/office/drawing/2016/SVG/main" r:embed="rId72"/>
                        </a:ext>
                      </a:extLst>
                    </a:blip>
                    <a:stretch>
                      <a:fillRect/>
                    </a:stretch>
                  </pic:blipFill>
                  <pic:spPr>
                    <a:xfrm>
                      <a:off x="0" y="0"/>
                      <a:ext cx="397099" cy="397099"/>
                    </a:xfrm>
                    <a:prstGeom prst="rect">
                      <a:avLst/>
                    </a:prstGeom>
                  </pic:spPr>
                </pic:pic>
              </a:graphicData>
            </a:graphic>
          </wp:inline>
        </w:drawing>
      </w:r>
      <w:r>
        <w:t xml:space="preserve">  </w:t>
      </w:r>
      <w:r w:rsidR="009C373F" w:rsidRPr="00BA1489">
        <w:t xml:space="preserve">Overall life satisfaction </w:t>
      </w:r>
    </w:p>
    <w:p w14:paraId="00ED7F46" w14:textId="50196B72" w:rsidR="009C373F" w:rsidRPr="00BA1489" w:rsidRDefault="009C373F" w:rsidP="00BA1489">
      <w:r w:rsidRPr="00BA1489">
        <w:t>Levels of life satisfaction are closely connected to mental health and wellbeing and reflects how people experience their overall quality of life, which in turn can be shaped by factors such as social connection, financial security, physical health, safety, participation and sense of purpose.  </w:t>
      </w:r>
    </w:p>
    <w:p w14:paraId="3314FE31" w14:textId="1576763B" w:rsidR="009C373F" w:rsidRPr="00BA1489" w:rsidRDefault="009C373F" w:rsidP="00BA1489">
      <w:pPr>
        <w:rPr>
          <w:rStyle w:val="normaltextrun"/>
          <w:color w:val="000000"/>
        </w:rPr>
      </w:pPr>
      <w:r w:rsidRPr="00BA1489">
        <w:t>Protective factors (including strong relationships, stable housing, inclusive communities, cultural connection and access to supportive services) play an important role in supporting wellbeing and buffering against distress. Monitoring life satisfaction at a population level provides a holistic view of whether broader social and economic conditions are supporting wellbeing across the community. </w:t>
      </w:r>
    </w:p>
    <w:p w14:paraId="476873A2" w14:textId="7E1ADC30" w:rsidR="009C373F" w:rsidRPr="00BA1489" w:rsidRDefault="009C373F" w:rsidP="00DD2F96">
      <w:pPr>
        <w:pStyle w:val="Heading3"/>
      </w:pPr>
      <w:r w:rsidRPr="00BA1489">
        <w:t>Whole of population  </w:t>
      </w:r>
    </w:p>
    <w:p w14:paraId="0D28D72C" w14:textId="77777777" w:rsidR="009C373F" w:rsidRPr="00B37429" w:rsidRDefault="009C373F" w:rsidP="00B37429">
      <w:pPr>
        <w:pStyle w:val="NormalBeforeBullet"/>
      </w:pPr>
      <w:r w:rsidRPr="00B37429">
        <w:t>Based on latest data from the 2025 General Social Survey:</w:t>
      </w:r>
    </w:p>
    <w:p w14:paraId="72D36F86" w14:textId="77777777" w:rsidR="009C373F" w:rsidRPr="00BA1489" w:rsidRDefault="009C373F" w:rsidP="00BA1489">
      <w:pPr>
        <w:pStyle w:val="ListBullet"/>
      </w:pPr>
      <w:r w:rsidRPr="00BA1489">
        <w:t>In 2025, the overall life satisfaction rating for people aged 15 and over in Australia was 7.1 out of 10 (with 10 being the highest).</w:t>
      </w:r>
    </w:p>
    <w:p w14:paraId="6FC72A5D" w14:textId="6FB96AF1" w:rsidR="009C373F" w:rsidRPr="00BA1489" w:rsidRDefault="009C373F" w:rsidP="00BA1489">
      <w:pPr>
        <w:pStyle w:val="ListBullet"/>
        <w:rPr>
          <w:rStyle w:val="normaltextrun"/>
        </w:rPr>
      </w:pPr>
      <w:r w:rsidRPr="00BA1489">
        <w:t xml:space="preserve">This rating of perceived level of life satisfaction overall, which does not consider specific concerns or conditions a person may have, </w:t>
      </w:r>
      <w:r w:rsidRPr="00BA1489">
        <w:rPr>
          <w:b/>
          <w:bCs/>
        </w:rPr>
        <w:t>has remained similar to 2020 (7.2) but is still lower than that recorded in 2014 (7.6).</w:t>
      </w:r>
    </w:p>
    <w:p w14:paraId="1730A493" w14:textId="3BF79E75" w:rsidR="009C373F" w:rsidRPr="00BA1489" w:rsidRDefault="009C373F" w:rsidP="00BA1489">
      <w:pPr>
        <w:rPr>
          <w:rStyle w:val="normaltextrun"/>
        </w:rPr>
      </w:pPr>
      <w:r w:rsidRPr="00BA1489">
        <w:t xml:space="preserve">Recently collected data from the HILDA Survey (between 2011 and 2024) shows a similar pattern, with the mean life satisfaction among the total population aged 15 and remaining steady (around 7.9). </w:t>
      </w:r>
    </w:p>
    <w:p w14:paraId="3EA6DBE6" w14:textId="52853815" w:rsidR="001C09E4" w:rsidRPr="001C09E4" w:rsidRDefault="00372B04" w:rsidP="00AC7182">
      <w:pPr>
        <w:pStyle w:val="GuidingQuestion"/>
      </w:pPr>
      <w:r>
        <w:rPr>
          <w:noProof/>
        </w:rPr>
        <w:lastRenderedPageBreak/>
        <w:drawing>
          <wp:inline distT="0" distB="0" distL="0" distR="0" wp14:anchorId="2AE6F810" wp14:editId="3EDBD26D">
            <wp:extent cx="365760" cy="258184"/>
            <wp:effectExtent l="0" t="0" r="2540" b="0"/>
            <wp:docPr id="975934497"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34497" name="Graphic 189">
                      <a:extLst>
                        <a:ext uri="{C183D7F6-B498-43B3-948B-1728B52AA6E4}">
                          <adec:decorative xmlns:adec="http://schemas.microsoft.com/office/drawing/2017/decorative" val="1"/>
                        </a:ext>
                      </a:extLst>
                    </pic:cNvPr>
                    <pic:cNvPicPr/>
                  </pic:nvPicPr>
                  <pic:blipFill>
                    <a:blip r:embed="rId78">
                      <a:extLst>
                        <a:ext uri="{96DAC541-7B7A-43D3-8B79-37D633B846F1}">
                          <asvg:svgBlip xmlns:asvg="http://schemas.microsoft.com/office/drawing/2016/SVG/main" r:embed="rId79"/>
                        </a:ext>
                      </a:extLst>
                    </a:blip>
                    <a:stretch>
                      <a:fillRect/>
                    </a:stretch>
                  </pic:blipFill>
                  <pic:spPr>
                    <a:xfrm>
                      <a:off x="0" y="0"/>
                      <a:ext cx="369632" cy="260917"/>
                    </a:xfrm>
                    <a:prstGeom prst="rect">
                      <a:avLst/>
                    </a:prstGeom>
                  </pic:spPr>
                </pic:pic>
              </a:graphicData>
            </a:graphic>
          </wp:inline>
        </w:drawing>
      </w:r>
      <w:r>
        <w:rPr>
          <w:rStyle w:val="normaltextrun"/>
        </w:rPr>
        <w:br/>
      </w:r>
      <w:r w:rsidR="00EC2D4B" w:rsidRPr="00621AF7">
        <w:rPr>
          <w:b w:val="0"/>
          <w:noProof/>
        </w:rPr>
        <mc:AlternateContent>
          <mc:Choice Requires="wps">
            <w:drawing>
              <wp:anchor distT="0" distB="0" distL="114300" distR="114300" simplePos="0" relativeHeight="251658284" behindDoc="1" locked="0" layoutInCell="1" allowOverlap="1" wp14:anchorId="5129CB30" wp14:editId="7E760C2C">
                <wp:simplePos x="0" y="0"/>
                <wp:positionH relativeFrom="page">
                  <wp:posOffset>8890</wp:posOffset>
                </wp:positionH>
                <wp:positionV relativeFrom="page">
                  <wp:posOffset>9997</wp:posOffset>
                </wp:positionV>
                <wp:extent cx="7560000" cy="153909"/>
                <wp:effectExtent l="0" t="0" r="0" b="0"/>
                <wp:wrapNone/>
                <wp:docPr id="842926725" name="Rectangle 8429267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F0DE502" id="Rectangle 842926725" o:spid="_x0000_s1026" alt="&quot;&quot;" style="position:absolute;margin-left:.7pt;margin-top:.8pt;width:595.3pt;height:12.1pt;z-index:-2516581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c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" fillcolor="#c6d533 [3209]" stroked="f" strokeweight="1pt">
                <w10:wrap anchorx="page" anchory="page"/>
              </v:rect>
            </w:pict>
          </mc:Fallback>
        </mc:AlternateContent>
      </w:r>
      <w:r w:rsidR="001C09E4" w:rsidRPr="001C09E4">
        <w:t xml:space="preserve">Is this the same for everyone? </w:t>
      </w:r>
    </w:p>
    <w:p w14:paraId="1C7593D4" w14:textId="3941DAF2" w:rsidR="009C373F" w:rsidRPr="00BA1489" w:rsidRDefault="009C373F" w:rsidP="002F2C46">
      <w:r w:rsidRPr="00BA1489">
        <w:t xml:space="preserve">No. While whole-of-population data indicates mean overall life satisfaction has remained steady in recent years, there are differences across age groups, gender, circumstances and where </w:t>
      </w:r>
      <w:r w:rsidRPr="00116BDD">
        <w:t>people</w:t>
      </w:r>
      <w:r w:rsidRPr="00BA1489">
        <w:t xml:space="preserve"> live. Based on latest data from the 2025 General Social Survey, we know that:  </w:t>
      </w:r>
    </w:p>
    <w:p w14:paraId="65B4FDAF" w14:textId="77777777" w:rsidR="009C373F" w:rsidRPr="00BA1489" w:rsidRDefault="009C373F" w:rsidP="00BA1489">
      <w:pPr>
        <w:pStyle w:val="ListBullet"/>
        <w:rPr>
          <w:rStyle w:val="normaltextrun"/>
        </w:rPr>
      </w:pPr>
      <w:r w:rsidRPr="00BA1489">
        <w:rPr>
          <w:rStyle w:val="normaltextrun"/>
        </w:rPr>
        <w:t xml:space="preserve">Life satisfaction scores ranged from 6.8 for people aged 15-24, to 7.2 for people aged 55-64 years. </w:t>
      </w:r>
    </w:p>
    <w:p w14:paraId="6B752253" w14:textId="736C83C1" w:rsidR="009C373F" w:rsidRPr="00BA1489" w:rsidRDefault="009C373F" w:rsidP="00BA1489">
      <w:pPr>
        <w:pStyle w:val="ListBullet"/>
        <w:rPr>
          <w:rStyle w:val="normaltextrun"/>
        </w:rPr>
      </w:pPr>
      <w:r w:rsidRPr="00BA1489">
        <w:rPr>
          <w:rStyle w:val="normaltextrun"/>
        </w:rPr>
        <w:t xml:space="preserve">Life satisfaction scores were highest for people aged 65 years and over (7.7) when compared to all </w:t>
      </w:r>
      <w:r w:rsidR="001C562C">
        <w:rPr>
          <w:rStyle w:val="normaltextrun"/>
        </w:rPr>
        <w:t>other</w:t>
      </w:r>
      <w:r w:rsidRPr="00BA1489">
        <w:rPr>
          <w:rStyle w:val="normaltextrun"/>
        </w:rPr>
        <w:t xml:space="preserve"> age groups.</w:t>
      </w:r>
    </w:p>
    <w:p w14:paraId="07B2BEBF" w14:textId="77777777" w:rsidR="009C373F" w:rsidRPr="00BA1489" w:rsidRDefault="009C373F" w:rsidP="00BA1489">
      <w:pPr>
        <w:pStyle w:val="ListBullet"/>
        <w:rPr>
          <w:rStyle w:val="normaltextrun"/>
        </w:rPr>
      </w:pPr>
      <w:r w:rsidRPr="00BA1489">
        <w:rPr>
          <w:rStyle w:val="normaltextrun"/>
        </w:rPr>
        <w:t>Women had a slightly higher overall life satisfaction rating than men (7.3 compared with 7.1, respectively).</w:t>
      </w:r>
    </w:p>
    <w:p w14:paraId="6F4C4AC6" w14:textId="74038CFC" w:rsidR="009C373F" w:rsidRPr="00BA1489" w:rsidRDefault="009C373F" w:rsidP="00BA1489">
      <w:pPr>
        <w:pStyle w:val="ListBullet"/>
        <w:rPr>
          <w:rStyle w:val="normaltextrun"/>
        </w:rPr>
      </w:pPr>
      <w:r w:rsidRPr="00BA1489">
        <w:rPr>
          <w:rStyle w:val="normaltextrun"/>
        </w:rPr>
        <w:t>People living in the most disadvantaged areas (Quintile 1) had the lowest life satisfaction rating (6.8), whilst people living in the least disadvantaged areas reported the highest life satisfaction rating (7.5)</w:t>
      </w:r>
      <w:r w:rsidR="00471A25">
        <w:rPr>
          <w:rStyle w:val="normaltextrun"/>
        </w:rPr>
        <w:t>.</w:t>
      </w:r>
    </w:p>
    <w:p w14:paraId="388EB7F3" w14:textId="259A9E8B" w:rsidR="009C373F" w:rsidRPr="00BA1489" w:rsidRDefault="009C373F" w:rsidP="00BA1489">
      <w:pPr>
        <w:pStyle w:val="ListBullet"/>
        <w:rPr>
          <w:rStyle w:val="eop"/>
          <w:color w:val="auto"/>
        </w:rPr>
      </w:pPr>
      <w:r w:rsidRPr="00BA1489">
        <w:rPr>
          <w:rStyle w:val="normaltextrun"/>
        </w:rPr>
        <w:t>Mean overall life satisfaction was 7.1 for people living in Major cities, Inner regional areas, and Outer regional and Remote areas. </w:t>
      </w:r>
    </w:p>
    <w:p w14:paraId="196B9CC1" w14:textId="29B0B17A" w:rsidR="009C373F" w:rsidRPr="00BA1489" w:rsidRDefault="009C373F" w:rsidP="00BA1489">
      <w:r w:rsidRPr="00BA1489">
        <w:t xml:space="preserve">A similar pattern is seen in </w:t>
      </w:r>
      <w:r w:rsidR="00DE2467">
        <w:t>data from the HILDA Survey (between 2011 and 2024)</w:t>
      </w:r>
      <w:r w:rsidR="00EF50D5">
        <w:t>,</w:t>
      </w:r>
      <w:r w:rsidRPr="00BA1489">
        <w:t xml:space="preserve"> which reported the highest mean life satisfaction for those aged 65 years and over (ranging between 8.2 and 8.3), </w:t>
      </w:r>
      <w:r w:rsidR="00513D90">
        <w:t xml:space="preserve">and the lowest </w:t>
      </w:r>
      <w:r w:rsidRPr="00BA1489">
        <w:t>for those aged 35-64 (ranging between 7.7 and 7.8).  </w:t>
      </w:r>
    </w:p>
    <w:p w14:paraId="760F28C9" w14:textId="7A130324" w:rsidR="009C373F" w:rsidRPr="00BA1489" w:rsidRDefault="009C373F" w:rsidP="00BA1489">
      <w:pPr>
        <w:rPr>
          <w:rStyle w:val="normaltextrun"/>
          <w:color w:val="000000"/>
        </w:rPr>
      </w:pPr>
      <w:r w:rsidRPr="00BA1489">
        <w:t>Similarly, people living in Major cities consistently had slightly lower mean life satisfaction (ranging between 7.8 and 7.9), while those living in Inner regional areas (ranging between 8.0 and 8.1) and Outer regional and Remote areas (ranging between 7.9 and 8.2) had a slightly higher mean life satisfaction. </w:t>
      </w:r>
    </w:p>
    <w:p w14:paraId="6FD02753" w14:textId="7F050196" w:rsidR="009C373F" w:rsidRPr="00FF39F5" w:rsidRDefault="009C373F" w:rsidP="00DD2F96">
      <w:pPr>
        <w:pStyle w:val="Heading3"/>
        <w:rPr>
          <w:rStyle w:val="eop"/>
        </w:rPr>
      </w:pPr>
      <w:r w:rsidRPr="00FF39F5">
        <w:rPr>
          <w:rStyle w:val="normaltextrun"/>
        </w:rPr>
        <w:t>Outcomes for people with lived experience</w:t>
      </w:r>
      <w:r w:rsidRPr="00FF39F5">
        <w:rPr>
          <w:rStyle w:val="eop"/>
        </w:rPr>
        <w:t> </w:t>
      </w:r>
    </w:p>
    <w:p w14:paraId="1F818AA6" w14:textId="77777777" w:rsidR="009C373F" w:rsidRPr="00FC01CA" w:rsidRDefault="009C373F" w:rsidP="00FC01CA">
      <w:pPr>
        <w:pStyle w:val="NormalBeforeBullet"/>
      </w:pPr>
      <w:r w:rsidRPr="00FC01CA">
        <w:t>According to the 2025 General Social Survey:</w:t>
      </w:r>
    </w:p>
    <w:p w14:paraId="47B0C092" w14:textId="17A8E10C" w:rsidR="009C373F" w:rsidRPr="00BA1489" w:rsidRDefault="009C373F" w:rsidP="00E31B32">
      <w:pPr>
        <w:pStyle w:val="ListBullet"/>
        <w:rPr>
          <w:b/>
          <w:bCs/>
        </w:rPr>
      </w:pPr>
      <w:r w:rsidRPr="00BA1489">
        <w:t xml:space="preserve">In 2025, people who have a mental health condition had an overall mean life satisfaction rating of 5.8. </w:t>
      </w:r>
      <w:r w:rsidRPr="00BA1489">
        <w:rPr>
          <w:b/>
          <w:bCs/>
        </w:rPr>
        <w:t>This was significantly lower than people who do not have a mental health condition (7.4).  </w:t>
      </w:r>
    </w:p>
    <w:p w14:paraId="62D878B4" w14:textId="489B9F8A" w:rsidR="009C373F" w:rsidRPr="00BA1489" w:rsidRDefault="009C373F" w:rsidP="00E31B32">
      <w:pPr>
        <w:pStyle w:val="ListBullet"/>
      </w:pPr>
      <w:r w:rsidRPr="00BA1489">
        <w:t>People aged 15-24 years who have a mental health condition had an overall life satisfaction score of 5.5. This score is significantly lower compared with the life satisfaction score of 7.4, reported by people of the same age who do not have a mental health condition.</w:t>
      </w:r>
    </w:p>
    <w:p w14:paraId="596A25B4" w14:textId="79E49FFF" w:rsidR="009C373F" w:rsidRPr="00BA1489" w:rsidRDefault="009C373F" w:rsidP="00E31B32">
      <w:pPr>
        <w:pStyle w:val="ListBullet"/>
        <w:rPr>
          <w:rStyle w:val="normaltextrun"/>
          <w:rFonts w:cs="Roboto-Light"/>
          <w:szCs w:val="22"/>
          <w:lang w:val="en-GB"/>
        </w:rPr>
      </w:pPr>
      <w:r w:rsidRPr="00BA1489">
        <w:t>People aged 65 years and over who have a mental health condition had an overall life satisfaction score of 6.0. Similarly, this is still a significantly lower score compared with people of the same age who do not have a mental health condition (7.8).  </w:t>
      </w:r>
    </w:p>
    <w:p w14:paraId="5835541D" w14:textId="2353795B" w:rsidR="009C373F" w:rsidRPr="00FC01CA" w:rsidRDefault="009C373F" w:rsidP="00FC01CA">
      <w:pPr>
        <w:pStyle w:val="NormalBeforeBullet"/>
      </w:pPr>
      <w:proofErr w:type="gramStart"/>
      <w:r w:rsidRPr="00FC01CA">
        <w:t>Similar to</w:t>
      </w:r>
      <w:proofErr w:type="gramEnd"/>
      <w:r w:rsidRPr="00FC01CA">
        <w:t xml:space="preserve"> the pattern of findings from the General Social Survey, data from the 2024 HILDA Survey found that: </w:t>
      </w:r>
    </w:p>
    <w:p w14:paraId="4C5B5F05" w14:textId="403D028E" w:rsidR="009C373F" w:rsidRDefault="009C373F" w:rsidP="00BA1489">
      <w:pPr>
        <w:pStyle w:val="ListBullet"/>
        <w:rPr>
          <w:rStyle w:val="eop"/>
        </w:rPr>
      </w:pPr>
      <w:r w:rsidRPr="00BA1489">
        <w:rPr>
          <w:rStyle w:val="eop"/>
        </w:rPr>
        <w:t>Between 2011 and 2024, people with a long-term mental health condition</w:t>
      </w:r>
      <w:r w:rsidRPr="00BA1489">
        <w:rPr>
          <w:rStyle w:val="eop"/>
          <w:vertAlign w:val="superscript"/>
        </w:rPr>
        <w:footnoteReference w:id="12"/>
      </w:r>
      <w:r w:rsidRPr="00BA1489">
        <w:rPr>
          <w:rStyle w:val="eop"/>
        </w:rPr>
        <w:t xml:space="preserve"> consistently reported lower mean life satisfaction than people who did not have a long-term health condition</w:t>
      </w:r>
      <w:r w:rsidRPr="00BA1489">
        <w:rPr>
          <w:rStyle w:val="eop"/>
          <w:vertAlign w:val="superscript"/>
        </w:rPr>
        <w:footnoteReference w:id="13"/>
      </w:r>
      <w:r w:rsidRPr="00BA1489">
        <w:rPr>
          <w:rStyle w:val="eop"/>
          <w:vertAlign w:val="superscript"/>
        </w:rPr>
        <w:t xml:space="preserve"> </w:t>
      </w:r>
      <w:r w:rsidRPr="00BA1489">
        <w:rPr>
          <w:rStyle w:val="eop"/>
        </w:rPr>
        <w:t>(6.8 compared with 8.1</w:t>
      </w:r>
      <w:r w:rsidR="00CC1362">
        <w:rPr>
          <w:rStyle w:val="eop"/>
        </w:rPr>
        <w:t xml:space="preserve"> in 2024</w:t>
      </w:r>
      <w:r w:rsidRPr="00BA1489">
        <w:rPr>
          <w:rStyle w:val="eop"/>
        </w:rPr>
        <w:t>). </w:t>
      </w:r>
    </w:p>
    <w:p w14:paraId="13569817" w14:textId="2449A8C9" w:rsidR="00315057" w:rsidRPr="00BA1489" w:rsidRDefault="00315057" w:rsidP="004E5D44">
      <w:pPr>
        <w:pStyle w:val="ListBullet"/>
        <w:numPr>
          <w:ilvl w:val="0"/>
          <w:numId w:val="0"/>
        </w:numPr>
        <w:ind w:left="170"/>
        <w:rPr>
          <w:rStyle w:val="normaltextrun"/>
          <w:rFonts w:eastAsiaTheme="minorHAnsi" w:cs="Roboto-Light"/>
          <w:szCs w:val="22"/>
          <w:lang w:val="en-GB" w:eastAsia="en-US"/>
        </w:rPr>
      </w:pPr>
      <w:r>
        <w:rPr>
          <w:rStyle w:val="eop"/>
        </w:rPr>
        <w:br/>
      </w:r>
    </w:p>
    <w:p w14:paraId="6F51D342" w14:textId="553D62CD" w:rsidR="00DD2F96" w:rsidRDefault="00DD2F96">
      <w:pPr>
        <w:suppressAutoHyphens w:val="0"/>
        <w:autoSpaceDE/>
        <w:autoSpaceDN/>
        <w:adjustRightInd/>
        <w:spacing w:after="0" w:line="240" w:lineRule="auto"/>
        <w:textAlignment w:val="auto"/>
        <w:rPr>
          <w:rStyle w:val="normaltextrun"/>
          <w:rFonts w:eastAsiaTheme="majorEastAsia" w:cstheme="majorBidi"/>
          <w:color w:val="008143"/>
          <w:sz w:val="24"/>
          <w:szCs w:val="26"/>
          <w:lang w:eastAsia="en-AU"/>
        </w:rPr>
      </w:pPr>
      <w:r>
        <w:rPr>
          <w:rStyle w:val="normaltextrun"/>
        </w:rPr>
        <w:br w:type="page"/>
      </w:r>
    </w:p>
    <w:p w14:paraId="685913BD" w14:textId="1ED70A51" w:rsidR="009C373F" w:rsidRPr="00BA1489" w:rsidRDefault="00407BB8" w:rsidP="009F46B4">
      <w:pPr>
        <w:pStyle w:val="Heading2"/>
      </w:pPr>
      <w:r>
        <w:rPr>
          <w:noProof/>
        </w:rPr>
        <w:lastRenderedPageBreak/>
        <w:drawing>
          <wp:inline distT="0" distB="0" distL="0" distR="0" wp14:anchorId="26E7A974" wp14:editId="2FF8D7B0">
            <wp:extent cx="387752" cy="387752"/>
            <wp:effectExtent l="0" t="0" r="6350" b="6350"/>
            <wp:docPr id="45582862"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2862" name="Picture 100">
                      <a:extLst>
                        <a:ext uri="{C183D7F6-B498-43B3-948B-1728B52AA6E4}">
                          <adec:decorative xmlns:adec="http://schemas.microsoft.com/office/drawing/2017/decorative" val="1"/>
                        </a:ext>
                      </a:extLst>
                    </pic:cNvPr>
                    <pic:cNvPicPr/>
                  </pic:nvPicPr>
                  <pic:blipFill>
                    <a:blip r:embed="rId86">
                      <a:extLst>
                        <a:ext uri="{96DAC541-7B7A-43D3-8B79-37D633B846F1}">
                          <asvg:svgBlip xmlns:asvg="http://schemas.microsoft.com/office/drawing/2016/SVG/main" r:embed="rId87"/>
                        </a:ext>
                      </a:extLst>
                    </a:blip>
                    <a:stretch>
                      <a:fillRect/>
                    </a:stretch>
                  </pic:blipFill>
                  <pic:spPr>
                    <a:xfrm>
                      <a:off x="0" y="0"/>
                      <a:ext cx="394852" cy="394852"/>
                    </a:xfrm>
                    <a:prstGeom prst="rect">
                      <a:avLst/>
                    </a:prstGeom>
                  </pic:spPr>
                </pic:pic>
              </a:graphicData>
            </a:graphic>
          </wp:inline>
        </w:drawing>
      </w:r>
      <w:r>
        <w:t xml:space="preserve"> </w:t>
      </w:r>
      <w:r w:rsidR="00EC2D4B">
        <w:rPr>
          <w:noProof/>
        </w:rPr>
        <mc:AlternateContent>
          <mc:Choice Requires="wps">
            <w:drawing>
              <wp:anchor distT="0" distB="0" distL="114300" distR="114300" simplePos="0" relativeHeight="251658285" behindDoc="1" locked="0" layoutInCell="1" allowOverlap="1" wp14:anchorId="09E5F1B6" wp14:editId="398D8270">
                <wp:simplePos x="0" y="0"/>
                <wp:positionH relativeFrom="page">
                  <wp:posOffset>8846</wp:posOffset>
                </wp:positionH>
                <wp:positionV relativeFrom="page">
                  <wp:posOffset>9864</wp:posOffset>
                </wp:positionV>
                <wp:extent cx="7560000" cy="153909"/>
                <wp:effectExtent l="0" t="0" r="0" b="6350"/>
                <wp:wrapNone/>
                <wp:docPr id="1488643478" name="Rectangle 14886434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45FBCD6" id="Rectangle 1488643478" o:spid="_x0000_s1026" alt="&quot;&quot;" style="position:absolute;margin-left:.7pt;margin-top:.8pt;width:595.3pt;height:12.1pt;z-index:-2516581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c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" fillcolor="#c6d533 [3209]" stroked="f" strokeweight="1pt">
                <w10:wrap anchorx="page" anchory="page"/>
              </v:rect>
            </w:pict>
          </mc:Fallback>
        </mc:AlternateContent>
      </w:r>
      <w:r w:rsidR="009C373F" w:rsidRPr="00BA1489">
        <w:rPr>
          <w:rStyle w:val="normaltextrun"/>
        </w:rPr>
        <w:t>Feeling in Control</w:t>
      </w:r>
      <w:r w:rsidR="009C373F" w:rsidRPr="00BA1489">
        <w:rPr>
          <w:rStyle w:val="eop"/>
        </w:rPr>
        <w:t> </w:t>
      </w:r>
    </w:p>
    <w:p w14:paraId="7490DBCA" w14:textId="5FAC30B2" w:rsidR="009C373F" w:rsidRPr="00BA1489" w:rsidRDefault="009C373F" w:rsidP="00BA1489">
      <w:pPr>
        <w:rPr>
          <w:color w:val="000000"/>
        </w:rPr>
      </w:pPr>
      <w:r w:rsidRPr="00282E91">
        <w:t>A person’s sense of control over their life can significantly influence wellbeing, coping capacity and mental health outcomes. Sense of control is shaped not only by individual circumstances, but also by broader social, economic and structural conditions that affect people’s ability to make choices, access opportunities and participate fully in society. A person’s sense of control can be shaped by factors such as financial security, housing stability, discrimination, employment conditions, safety, access to services and participation in decision-making.</w:t>
      </w:r>
    </w:p>
    <w:p w14:paraId="744CC2C0" w14:textId="3AB1ACCC" w:rsidR="009C373F" w:rsidRPr="00BA1489" w:rsidRDefault="009C373F" w:rsidP="00DD2F96">
      <w:pPr>
        <w:pStyle w:val="Heading3"/>
      </w:pPr>
      <w:r w:rsidRPr="00BA1489">
        <w:t>Whole of population  </w:t>
      </w:r>
    </w:p>
    <w:p w14:paraId="3FD82F05" w14:textId="77777777" w:rsidR="009C373F" w:rsidRPr="00162E0B" w:rsidRDefault="009C373F" w:rsidP="00162E0B">
      <w:pPr>
        <w:pStyle w:val="NormalBeforeBullet"/>
      </w:pPr>
      <w:r w:rsidRPr="00162E0B">
        <w:t>Based on latest available data from the HILDA Survey, in 2023:  </w:t>
      </w:r>
    </w:p>
    <w:p w14:paraId="52847B1B" w14:textId="57E27E39" w:rsidR="00C36BFB" w:rsidRPr="00BA1489" w:rsidRDefault="009C373F" w:rsidP="006646BB">
      <w:pPr>
        <w:pStyle w:val="ListBullet"/>
        <w:rPr>
          <w:rStyle w:val="normaltextrun"/>
          <w:color w:val="auto"/>
        </w:rPr>
      </w:pPr>
      <w:r w:rsidRPr="00BA1489">
        <w:rPr>
          <w:rStyle w:val="normaltextrun"/>
        </w:rPr>
        <w:t xml:space="preserve">The proportion of people reporting a high sense of control over events in their life remained stable between 2011 and </w:t>
      </w:r>
      <w:r w:rsidR="00075476" w:rsidRPr="00BA1489">
        <w:rPr>
          <w:rStyle w:val="normaltextrun"/>
        </w:rPr>
        <w:t>2019 but</w:t>
      </w:r>
      <w:r w:rsidRPr="00BA1489">
        <w:rPr>
          <w:rStyle w:val="normaltextrun"/>
        </w:rPr>
        <w:t xml:space="preserve"> decreased from 75.8% in 2019 to 71.3% in 2023.</w:t>
      </w:r>
    </w:p>
    <w:p w14:paraId="3260B76F" w14:textId="0EB389E7" w:rsidR="009C373F" w:rsidRPr="004B6A58" w:rsidRDefault="000167B6" w:rsidP="004E5D44">
      <w:pPr>
        <w:pStyle w:val="GuidingQuestion"/>
      </w:pPr>
      <w:r>
        <w:br w:type="textWrapping" w:clear="all"/>
      </w:r>
      <w:r w:rsidR="00372B04">
        <w:rPr>
          <w:noProof/>
        </w:rPr>
        <w:drawing>
          <wp:inline distT="0" distB="0" distL="0" distR="0" wp14:anchorId="18DC8376" wp14:editId="6025C57C">
            <wp:extent cx="365760" cy="258184"/>
            <wp:effectExtent l="0" t="0" r="2540" b="0"/>
            <wp:docPr id="279854183"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54183" name="Graphic 189">
                      <a:extLst>
                        <a:ext uri="{C183D7F6-B498-43B3-948B-1728B52AA6E4}">
                          <adec:decorative xmlns:adec="http://schemas.microsoft.com/office/drawing/2017/decorative" val="1"/>
                        </a:ext>
                      </a:extLst>
                    </pic:cNvPr>
                    <pic:cNvPicPr/>
                  </pic:nvPicPr>
                  <pic:blipFill>
                    <a:blip r:embed="rId78">
                      <a:extLst>
                        <a:ext uri="{96DAC541-7B7A-43D3-8B79-37D633B846F1}">
                          <asvg:svgBlip xmlns:asvg="http://schemas.microsoft.com/office/drawing/2016/SVG/main" r:embed="rId79"/>
                        </a:ext>
                      </a:extLst>
                    </a:blip>
                    <a:stretch>
                      <a:fillRect/>
                    </a:stretch>
                  </pic:blipFill>
                  <pic:spPr>
                    <a:xfrm>
                      <a:off x="0" y="0"/>
                      <a:ext cx="369632" cy="260917"/>
                    </a:xfrm>
                    <a:prstGeom prst="rect">
                      <a:avLst/>
                    </a:prstGeom>
                  </pic:spPr>
                </pic:pic>
              </a:graphicData>
            </a:graphic>
          </wp:inline>
        </w:drawing>
      </w:r>
      <w:r w:rsidR="00372B04">
        <w:br/>
      </w:r>
      <w:r w:rsidRPr="004B6A58">
        <w:t>Is this the same for everyone?</w:t>
      </w:r>
      <w:r w:rsidR="00E61144" w:rsidRPr="004E5D44">
        <w:t xml:space="preserve"> </w:t>
      </w:r>
    </w:p>
    <w:p w14:paraId="4369DFB6" w14:textId="77777777" w:rsidR="009C373F" w:rsidRPr="00BA1489" w:rsidRDefault="009C373F" w:rsidP="00BA1489">
      <w:pPr>
        <w:pStyle w:val="NormalBeforeBullet"/>
      </w:pPr>
      <w:r w:rsidRPr="00BA1489">
        <w:t xml:space="preserve">No. When taking a closer look at the HILDA Survey data over time, we can see: </w:t>
      </w:r>
    </w:p>
    <w:p w14:paraId="4FB82068" w14:textId="77777777" w:rsidR="009C373F" w:rsidRPr="00BA1489" w:rsidRDefault="009C373F" w:rsidP="00BA1489">
      <w:pPr>
        <w:pStyle w:val="ListBullet"/>
        <w:rPr>
          <w:rStyle w:val="normaltextrun"/>
        </w:rPr>
      </w:pPr>
      <w:r w:rsidRPr="00BA1489">
        <w:rPr>
          <w:rStyle w:val="normaltextrun"/>
        </w:rPr>
        <w:t xml:space="preserve">In 2011, 2015, and 2019, </w:t>
      </w:r>
      <w:r w:rsidRPr="00BA1489">
        <w:rPr>
          <w:rStyle w:val="normaltextrun"/>
          <w:b/>
          <w:bCs/>
        </w:rPr>
        <w:t>the proportion of people reporting a high sense of control decreased with age: people aged</w:t>
      </w:r>
      <w:r w:rsidRPr="00BA1489">
        <w:rPr>
          <w:rStyle w:val="normaltextrun"/>
        </w:rPr>
        <w:t xml:space="preserve"> 15–34 had the highest proportions, while those aged 65 years and over reported a lower sense of control.</w:t>
      </w:r>
    </w:p>
    <w:p w14:paraId="17A7CFF5" w14:textId="43FCFC3E" w:rsidR="009C373F" w:rsidRPr="00BA1489" w:rsidRDefault="009C373F" w:rsidP="00BA1489">
      <w:pPr>
        <w:pStyle w:val="ListBullet"/>
        <w:rPr>
          <w:rStyle w:val="normaltextrun"/>
          <w:color w:val="auto"/>
        </w:rPr>
      </w:pPr>
      <w:r w:rsidRPr="00BA1489">
        <w:rPr>
          <w:rStyle w:val="normaltextrun"/>
        </w:rPr>
        <w:t xml:space="preserve">However, </w:t>
      </w:r>
      <w:r w:rsidRPr="00BA1489">
        <w:rPr>
          <w:rStyle w:val="normaltextrun"/>
          <w:b/>
          <w:bCs/>
        </w:rPr>
        <w:t>these differences have narrowed over time</w:t>
      </w:r>
      <w:r w:rsidRPr="00BA1489">
        <w:rPr>
          <w:rStyle w:val="normaltextrun"/>
        </w:rPr>
        <w:t>, with proportions becoming more similar across age groups (converging around 71.3% in 2023).</w:t>
      </w:r>
      <w:r w:rsidRPr="00BA1489">
        <w:rPr>
          <w:rStyle w:val="eop"/>
        </w:rPr>
        <w:t> </w:t>
      </w:r>
      <w:r w:rsidRPr="00BA1489">
        <w:rPr>
          <w:rStyle w:val="normaltextrun"/>
        </w:rPr>
        <w:t>Females were slightly less likely to report a high sense of control compared with males (70.3% compared with 72.3%, respectively).</w:t>
      </w:r>
    </w:p>
    <w:p w14:paraId="1BE1AB7E" w14:textId="77777777" w:rsidR="009C373F" w:rsidRPr="00BA1489" w:rsidRDefault="009C373F" w:rsidP="00BA1489">
      <w:pPr>
        <w:pStyle w:val="NormalBeforeBullet"/>
      </w:pPr>
      <w:r w:rsidRPr="00BA1489">
        <w:t xml:space="preserve">There were differences according to factors such as where people lived, warranting further monitoring and attention. </w:t>
      </w:r>
    </w:p>
    <w:p w14:paraId="3B7CD12C" w14:textId="77777777" w:rsidR="009C373F" w:rsidRPr="00BA1489" w:rsidRDefault="009C373F" w:rsidP="00BA1489">
      <w:pPr>
        <w:pStyle w:val="ListBullet"/>
      </w:pPr>
      <w:r w:rsidRPr="00BA1489">
        <w:t>In 2023, people living in the most advantaged areas (Quintile 5) were substantially more likely to report a high sense of control than people living in the most disadvantaged areas (Quintile 1) (76.4% compared with 62.2%).</w:t>
      </w:r>
    </w:p>
    <w:p w14:paraId="1DBCFCEC" w14:textId="6B8C4274" w:rsidR="009C373F" w:rsidRPr="00BA1489" w:rsidRDefault="009C373F" w:rsidP="00BA1489">
      <w:pPr>
        <w:pStyle w:val="ListBullet"/>
        <w:rPr>
          <w:rStyle w:val="normaltextrun"/>
          <w:color w:val="auto"/>
        </w:rPr>
      </w:pPr>
      <w:r w:rsidRPr="00BA1489">
        <w:t>In 2023, people living in Outer regional and Remote areas were slightly less likely to report a high sense of control (69.8%) than people living in Inner regional areas (71.2%) and Major cities (71.5%).  </w:t>
      </w:r>
    </w:p>
    <w:p w14:paraId="763FAF1D" w14:textId="4D3ED883" w:rsidR="009C373F" w:rsidRPr="00BA1489" w:rsidRDefault="009C373F" w:rsidP="00DD2F96">
      <w:pPr>
        <w:pStyle w:val="Heading3"/>
      </w:pPr>
      <w:r w:rsidRPr="00BA1489">
        <w:rPr>
          <w:rStyle w:val="normaltextrun"/>
        </w:rPr>
        <w:t>Outcomes for people with lived experience</w:t>
      </w:r>
      <w:r w:rsidRPr="00BA1489">
        <w:rPr>
          <w:rStyle w:val="eop"/>
        </w:rPr>
        <w:t> </w:t>
      </w:r>
    </w:p>
    <w:p w14:paraId="042DF362" w14:textId="77777777" w:rsidR="009C373F" w:rsidRPr="00BA1489" w:rsidRDefault="009C373F" w:rsidP="00BA1489">
      <w:r w:rsidRPr="00BA1489">
        <w:t>Latest available data from the HILDA Survey showed a gap between sense of control reported by people with a long-term mental health condition compared to people without.</w:t>
      </w:r>
    </w:p>
    <w:p w14:paraId="71DEB637" w14:textId="27114107" w:rsidR="009C373F" w:rsidRPr="00BA1489" w:rsidRDefault="009C373F" w:rsidP="004245F5">
      <w:pPr>
        <w:pStyle w:val="NormalBeforeBullet"/>
      </w:pPr>
      <w:r w:rsidRPr="00BA1489">
        <w:t xml:space="preserve">In 2023, almost 2 in 5 people with a long-term mental health condition </w:t>
      </w:r>
      <w:r w:rsidR="00035EE7">
        <w:t xml:space="preserve">(39.9%) </w:t>
      </w:r>
      <w:r w:rsidRPr="00BA1489">
        <w:t>reported a high sense of control</w:t>
      </w:r>
      <w:r w:rsidR="002B01FB">
        <w:t>.</w:t>
      </w:r>
      <w:r w:rsidRPr="00BA1489">
        <w:t xml:space="preserve"> This proportion is much lower compared to:</w:t>
      </w:r>
    </w:p>
    <w:p w14:paraId="08013DFE" w14:textId="77777777" w:rsidR="009C373F" w:rsidRPr="00BA1489" w:rsidRDefault="009C373F" w:rsidP="00BA1489">
      <w:pPr>
        <w:pStyle w:val="ListBullet"/>
        <w:rPr>
          <w:rStyle w:val="normaltextrun"/>
        </w:rPr>
      </w:pPr>
      <w:r w:rsidRPr="00BA1489">
        <w:rPr>
          <w:rStyle w:val="normaltextrun"/>
        </w:rPr>
        <w:t>People with other long-term health conditions (62.6%); and</w:t>
      </w:r>
    </w:p>
    <w:p w14:paraId="32B3DCDE" w14:textId="140A3A62" w:rsidR="009C373F" w:rsidRPr="00BA1489" w:rsidRDefault="009C373F" w:rsidP="00BA1489">
      <w:pPr>
        <w:pStyle w:val="ListBullet"/>
        <w:rPr>
          <w:rStyle w:val="normaltextrun"/>
        </w:rPr>
      </w:pPr>
      <w:r w:rsidRPr="00BA1489">
        <w:rPr>
          <w:rStyle w:val="normaltextrun"/>
        </w:rPr>
        <w:t>People without any long-term health condition</w:t>
      </w:r>
      <w:r w:rsidR="002B01FB">
        <w:rPr>
          <w:rStyle w:val="normaltextrun"/>
        </w:rPr>
        <w:t>s</w:t>
      </w:r>
      <w:r w:rsidRPr="00BA1489">
        <w:rPr>
          <w:rStyle w:val="normaltextrun"/>
        </w:rPr>
        <w:t xml:space="preserve"> (77.0%). </w:t>
      </w:r>
    </w:p>
    <w:p w14:paraId="6889CBA4" w14:textId="77777777" w:rsidR="00E31B32" w:rsidRDefault="00E31B32" w:rsidP="009C373F">
      <w:pPr>
        <w:suppressAutoHyphens w:val="0"/>
        <w:autoSpaceDE/>
        <w:autoSpaceDN/>
        <w:adjustRightInd/>
        <w:spacing w:after="0" w:line="240" w:lineRule="auto"/>
        <w:textAlignment w:val="auto"/>
        <w:rPr>
          <w:rStyle w:val="normaltextrun"/>
          <w:rFonts w:ascii="Aptos" w:hAnsi="Aptos" w:cs="Segoe UI"/>
          <w:b/>
          <w:bCs/>
          <w:color w:val="008143"/>
          <w:sz w:val="26"/>
          <w:szCs w:val="26"/>
        </w:rPr>
      </w:pPr>
    </w:p>
    <w:p w14:paraId="4EC2DD25" w14:textId="77777777" w:rsidR="00E31B32" w:rsidRDefault="00E31B32" w:rsidP="009C373F">
      <w:pPr>
        <w:suppressAutoHyphens w:val="0"/>
        <w:autoSpaceDE/>
        <w:autoSpaceDN/>
        <w:adjustRightInd/>
        <w:spacing w:after="0" w:line="240" w:lineRule="auto"/>
        <w:textAlignment w:val="auto"/>
        <w:rPr>
          <w:rStyle w:val="normaltextrun"/>
          <w:rFonts w:ascii="Aptos" w:hAnsi="Aptos" w:cs="Segoe UI"/>
          <w:b/>
          <w:bCs/>
          <w:color w:val="008143"/>
          <w:sz w:val="26"/>
          <w:szCs w:val="26"/>
        </w:rPr>
      </w:pPr>
    </w:p>
    <w:p w14:paraId="70FF96C1" w14:textId="108302FE" w:rsidR="00F80413" w:rsidRDefault="009C373F" w:rsidP="009F46B4">
      <w:pPr>
        <w:pStyle w:val="Heading2"/>
      </w:pPr>
      <w:r>
        <w:rPr>
          <w:rStyle w:val="normaltextrun"/>
          <w:rFonts w:ascii="Aptos" w:hAnsi="Aptos" w:cs="Segoe UI"/>
          <w:b/>
          <w:bCs/>
          <w:color w:val="008143"/>
          <w:sz w:val="26"/>
        </w:rPr>
        <w:br w:type="page"/>
      </w:r>
      <w:r w:rsidR="00737DA7" w:rsidRPr="00173279">
        <w:rPr>
          <w:noProof/>
        </w:rPr>
        <w:lastRenderedPageBreak/>
        <mc:AlternateContent>
          <mc:Choice Requires="wps">
            <w:drawing>
              <wp:anchor distT="0" distB="0" distL="114300" distR="114300" simplePos="0" relativeHeight="251658257" behindDoc="1" locked="0" layoutInCell="1" allowOverlap="1" wp14:anchorId="371A6EC1" wp14:editId="78408C5E">
                <wp:simplePos x="0" y="0"/>
                <wp:positionH relativeFrom="page">
                  <wp:posOffset>745067</wp:posOffset>
                </wp:positionH>
                <wp:positionV relativeFrom="page">
                  <wp:posOffset>1007533</wp:posOffset>
                </wp:positionV>
                <wp:extent cx="6147435" cy="7738534"/>
                <wp:effectExtent l="0" t="0" r="12065" b="8890"/>
                <wp:wrapNone/>
                <wp:docPr id="280120042" name="Rectangle 2801200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7738534"/>
                        </a:xfrm>
                        <a:prstGeom prst="rect">
                          <a:avLst/>
                        </a:prstGeom>
                        <a:solidFill>
                          <a:srgbClr val="F9F9E5">
                            <a:alpha val="49804"/>
                          </a:srgbClr>
                        </a:solidFill>
                        <a:ln w="12700">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C1A3ED4" id="Rectangle 280120042" o:spid="_x0000_s1026" alt="&quot;&quot;" style="position:absolute;margin-left:58.65pt;margin-top:79.35pt;width:484.05pt;height:609.35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" fillcolor="#f9f9e5" strokecolor="#c6d533 [3209]" strokeweight="1pt">
                <v:fill opacity="32639f"/>
                <w10:wrap anchorx="page" anchory="page"/>
              </v:rect>
            </w:pict>
          </mc:Fallback>
        </mc:AlternateContent>
      </w:r>
      <w:r w:rsidR="00EC2D4B" w:rsidRPr="00173279">
        <w:rPr>
          <w:noProof/>
        </w:rPr>
        <mc:AlternateContent>
          <mc:Choice Requires="wps">
            <w:drawing>
              <wp:anchor distT="0" distB="0" distL="114300" distR="114300" simplePos="0" relativeHeight="251658286" behindDoc="1" locked="0" layoutInCell="1" allowOverlap="1" wp14:anchorId="3F55A55C" wp14:editId="1D03B74C">
                <wp:simplePos x="0" y="0"/>
                <wp:positionH relativeFrom="page">
                  <wp:posOffset>0</wp:posOffset>
                </wp:positionH>
                <wp:positionV relativeFrom="page">
                  <wp:posOffset>10141</wp:posOffset>
                </wp:positionV>
                <wp:extent cx="7560000" cy="153909"/>
                <wp:effectExtent l="0" t="0" r="0" b="6350"/>
                <wp:wrapNone/>
                <wp:docPr id="1013061838" name="Rectangle 10130618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FF93766" id="Rectangle 1013061838" o:spid="_x0000_s1026" alt="&quot;&quot;" style="position:absolute;margin-left:0;margin-top:.8pt;width:595.3pt;height:12.1pt;z-index:-2516581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c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" fillcolor="#c6d533 [3209]" stroked="f" strokeweight="1pt">
                <w10:wrap anchorx="page" anchory="page"/>
              </v:rect>
            </w:pict>
          </mc:Fallback>
        </mc:AlternateContent>
      </w:r>
      <w:r w:rsidR="00AC00DB" w:rsidRPr="00173279">
        <w:t>Box 3 - Aboriginal</w:t>
      </w:r>
      <w:r w:rsidR="00AC00DB" w:rsidRPr="003800EF">
        <w:t xml:space="preserve"> and Torres Strait Islander people and mental health and wellbeing</w:t>
      </w:r>
    </w:p>
    <w:p w14:paraId="6E407BC9" w14:textId="09F0FB4C" w:rsidR="00841C7A" w:rsidRPr="00737DA7" w:rsidRDefault="00841C7A" w:rsidP="00737DA7">
      <w:pPr>
        <w:rPr>
          <w:lang w:val="en-AU" w:eastAsia="en-AU"/>
        </w:rPr>
      </w:pPr>
      <w:r w:rsidRPr="00737DA7">
        <w:t>Social and emotional wellbeing (SEWB) is the foundation of physical and mental health for Aboriginal and Torres Strait Islander peoples. It encompasses interconnected domains including mind and emotions, body, family and kinship, community, culture, Country, and spirituality and ancestors.</w:t>
      </w:r>
      <w:r w:rsidR="00173279">
        <w:rPr>
          <w:rStyle w:val="EndnoteReference"/>
        </w:rPr>
        <w:endnoteReference w:id="103"/>
      </w:r>
      <w:r w:rsidRPr="00737DA7">
        <w:t xml:space="preserve"> Racism is a key structural determinant of social and emotional wellbeing, affecting psychological distress, identity, belonging, trust in services and access to culturally safe care. </w:t>
      </w:r>
    </w:p>
    <w:p w14:paraId="3AD9B3C6" w14:textId="36A0CB48" w:rsidR="00841C7A" w:rsidRPr="00E31B32" w:rsidRDefault="00841C7A" w:rsidP="00841C7A">
      <w:r w:rsidRPr="00E31B32">
        <w:t>Addressing racism is central to improving mental health and social and emotional wellbeing outcomes, and should be considered alongside other social, cultural and historical determinants of wellbeing.</w:t>
      </w:r>
      <w:r w:rsidRPr="00D62208">
        <w:rPr>
          <w:rStyle w:val="normaltextrun"/>
          <w:rFonts w:ascii="Aptos" w:hAnsi="Aptos" w:cs="Segoe UI"/>
          <w:color w:val="000000"/>
          <w:sz w:val="22"/>
        </w:rPr>
        <w:t> </w:t>
      </w:r>
      <w:r w:rsidRPr="00AB5640">
        <w:t>The</w:t>
      </w:r>
      <w:r w:rsidRPr="005478AB">
        <w:t xml:space="preserve"> </w:t>
      </w:r>
      <w:proofErr w:type="spellStart"/>
      <w:r w:rsidRPr="005478AB">
        <w:rPr>
          <w:i/>
          <w:iCs/>
        </w:rPr>
        <w:t>Gayaa</w:t>
      </w:r>
      <w:proofErr w:type="spellEnd"/>
      <w:r w:rsidRPr="005478AB">
        <w:rPr>
          <w:i/>
          <w:iCs/>
        </w:rPr>
        <w:t xml:space="preserve"> </w:t>
      </w:r>
      <w:proofErr w:type="spellStart"/>
      <w:r w:rsidRPr="005478AB">
        <w:rPr>
          <w:i/>
          <w:iCs/>
        </w:rPr>
        <w:t>Dhuwi</w:t>
      </w:r>
      <w:proofErr w:type="spellEnd"/>
      <w:r w:rsidRPr="005478AB">
        <w:rPr>
          <w:i/>
          <w:iCs/>
        </w:rPr>
        <w:t xml:space="preserve"> (Proud Spirit) Declaration</w:t>
      </w:r>
      <w:r w:rsidRPr="00AB5640">
        <w:t xml:space="preserve"> calls for</w:t>
      </w:r>
      <w:r w:rsidRPr="005478AB">
        <w:t xml:space="preserve"> Aboriginal and Torres Strait Islander concepts of wellbeing, mental health and healing </w:t>
      </w:r>
      <w:r w:rsidRPr="00AB5640">
        <w:t>to</w:t>
      </w:r>
      <w:r w:rsidRPr="005478AB">
        <w:t xml:space="preserve"> be recognised throughout the Australian mental health system</w:t>
      </w:r>
      <w:r w:rsidRPr="00AB5640">
        <w:t>.</w:t>
      </w:r>
      <w:r w:rsidR="00773342">
        <w:rPr>
          <w:rStyle w:val="EndnoteReference"/>
        </w:rPr>
        <w:endnoteReference w:id="104"/>
      </w:r>
      <w:r w:rsidRPr="00AB5640">
        <w:t xml:space="preserve"> </w:t>
      </w:r>
      <w:proofErr w:type="spellStart"/>
      <w:r w:rsidRPr="004E5D44">
        <w:rPr>
          <w:i/>
          <w:iCs/>
        </w:rPr>
        <w:t>Gayaa</w:t>
      </w:r>
      <w:proofErr w:type="spellEnd"/>
      <w:r w:rsidRPr="004E5D44">
        <w:rPr>
          <w:i/>
          <w:iCs/>
        </w:rPr>
        <w:t xml:space="preserve"> </w:t>
      </w:r>
      <w:proofErr w:type="spellStart"/>
      <w:r w:rsidRPr="004E5D44">
        <w:rPr>
          <w:i/>
          <w:iCs/>
        </w:rPr>
        <w:t>Dhuwi</w:t>
      </w:r>
      <w:proofErr w:type="spellEnd"/>
      <w:r w:rsidRPr="00AB5640">
        <w:t xml:space="preserve"> (</w:t>
      </w:r>
      <w:r w:rsidRPr="004E5D44">
        <w:rPr>
          <w:i/>
          <w:iCs/>
        </w:rPr>
        <w:t>Proud Spirit</w:t>
      </w:r>
      <w:r w:rsidRPr="00AB5640">
        <w:t>) Australia, is the national peak body for social and emotional wellbeing, mental health and suicide prevention</w:t>
      </w:r>
      <w:r w:rsidRPr="005478AB">
        <w:t>.</w:t>
      </w:r>
      <w:r>
        <w:t xml:space="preserve"> </w:t>
      </w:r>
    </w:p>
    <w:p w14:paraId="4CD28008" w14:textId="0032AA90" w:rsidR="00841C7A" w:rsidRDefault="00841C7A" w:rsidP="00841C7A">
      <w:r w:rsidRPr="00C378AF">
        <w:t xml:space="preserve">Broad population measures, including those used in the Report Card, often fail to capture key social and cultural determinants of mental health, particularly </w:t>
      </w:r>
      <w:r>
        <w:t>SEWB</w:t>
      </w:r>
      <w:r w:rsidRPr="00C378AF">
        <w:t xml:space="preserve">. To address this, </w:t>
      </w:r>
      <w:proofErr w:type="spellStart"/>
      <w:r w:rsidRPr="004E5D44">
        <w:rPr>
          <w:i/>
          <w:iCs/>
        </w:rPr>
        <w:t>Gayaa</w:t>
      </w:r>
      <w:proofErr w:type="spellEnd"/>
      <w:r w:rsidRPr="004E5D44">
        <w:rPr>
          <w:i/>
          <w:iCs/>
        </w:rPr>
        <w:t xml:space="preserve"> </w:t>
      </w:r>
      <w:proofErr w:type="spellStart"/>
      <w:r w:rsidRPr="004E5D44">
        <w:rPr>
          <w:i/>
          <w:iCs/>
        </w:rPr>
        <w:t>Dhuwi</w:t>
      </w:r>
      <w:proofErr w:type="spellEnd"/>
      <w:r w:rsidRPr="00C378AF">
        <w:t xml:space="preserve"> (</w:t>
      </w:r>
      <w:r w:rsidRPr="004E5D44">
        <w:rPr>
          <w:i/>
          <w:iCs/>
        </w:rPr>
        <w:t>Proud Spirit)</w:t>
      </w:r>
      <w:r w:rsidRPr="00C378AF">
        <w:t xml:space="preserve"> Australia identifies the development of appropriate social and emotional wellbeing measures as a priority action in the </w:t>
      </w:r>
      <w:proofErr w:type="spellStart"/>
      <w:r w:rsidRPr="00C378AF">
        <w:rPr>
          <w:i/>
          <w:iCs/>
        </w:rPr>
        <w:t>Gayaa</w:t>
      </w:r>
      <w:proofErr w:type="spellEnd"/>
      <w:r w:rsidRPr="00C378AF">
        <w:rPr>
          <w:i/>
          <w:iCs/>
        </w:rPr>
        <w:t xml:space="preserve"> </w:t>
      </w:r>
      <w:proofErr w:type="spellStart"/>
      <w:r w:rsidRPr="00C378AF">
        <w:rPr>
          <w:i/>
          <w:iCs/>
        </w:rPr>
        <w:t>Dhuwi</w:t>
      </w:r>
      <w:proofErr w:type="spellEnd"/>
      <w:r w:rsidRPr="00C378AF">
        <w:rPr>
          <w:i/>
          <w:iCs/>
        </w:rPr>
        <w:t xml:space="preserve"> (Proud Spirit) Declaration Framework and Implementation Plan</w:t>
      </w:r>
      <w:r w:rsidRPr="00C378AF">
        <w:t>.</w:t>
      </w:r>
      <w:r w:rsidR="00773342">
        <w:rPr>
          <w:rStyle w:val="EndnoteReference"/>
        </w:rPr>
        <w:endnoteReference w:id="105"/>
      </w:r>
      <w:r w:rsidRPr="00C378AF">
        <w:t xml:space="preserve"> Another significant data gap identified by Aboriginal and Torres Strait Islander organisations is the definition and measurement of racism.</w:t>
      </w:r>
      <w:r>
        <w:t xml:space="preserve"> </w:t>
      </w:r>
    </w:p>
    <w:p w14:paraId="42868939" w14:textId="4E503A47" w:rsidR="00841C7A" w:rsidRPr="00E31B32" w:rsidRDefault="00841C7A" w:rsidP="00841C7A">
      <w:pPr>
        <w:pStyle w:val="Heading3"/>
      </w:pPr>
      <w:r w:rsidRPr="00E31B32">
        <w:rPr>
          <w:rStyle w:val="normaltextrun"/>
        </w:rPr>
        <w:t>What we understand from currently available data</w:t>
      </w:r>
    </w:p>
    <w:p w14:paraId="3E4B3323" w14:textId="1E5280FC" w:rsidR="00841C7A" w:rsidRPr="00E31B32" w:rsidRDefault="00841C7A" w:rsidP="00841C7A">
      <w:pPr>
        <w:rPr>
          <w:rFonts w:ascii="Aptos" w:hAnsi="Aptos"/>
          <w:sz w:val="22"/>
        </w:rPr>
      </w:pPr>
      <w:r w:rsidRPr="00FF4454">
        <w:t xml:space="preserve">The Commission acknowledges that </w:t>
      </w:r>
      <w:r>
        <w:t xml:space="preserve">the </w:t>
      </w:r>
      <w:r w:rsidRPr="00FF4454">
        <w:t>outcomes experienced by Aboriginal and Torres Strait Islander peoples are shaped by historical, social and structural factors. As highlighted by the Australian Human Rights Commission, Aboriginal and Torres Strait Islander peoples experience higher levels of unfair treatment and hardship than non-Indigenous Australians.</w:t>
      </w:r>
      <w:r w:rsidR="00773342">
        <w:rPr>
          <w:rStyle w:val="EndnoteReference"/>
        </w:rPr>
        <w:endnoteReference w:id="106"/>
      </w:r>
      <w:r>
        <w:t xml:space="preserve"> </w:t>
      </w:r>
      <w:r w:rsidRPr="00FF4454">
        <w:t xml:space="preserve">While measures such as psychological distress are important, they represent only one aspect of social and emotional </w:t>
      </w:r>
      <w:r w:rsidRPr="00E31B32">
        <w:t>wellbeing. The data below should be interpreted alongside the wider context of culture, kinship, community, Country, self-determination, racism, colonisation, intergenerational trauma and the strengths that support healing and wellbeing for Aboriginal and Torres Strait Islander peoples.</w:t>
      </w:r>
      <w:r w:rsidRPr="00D62208">
        <w:rPr>
          <w:rStyle w:val="normaltextrun"/>
          <w:color w:val="000000"/>
        </w:rPr>
        <w:t> </w:t>
      </w:r>
    </w:p>
    <w:p w14:paraId="65F5A0FA" w14:textId="5CF34898" w:rsidR="00841C7A" w:rsidRPr="009066C1" w:rsidRDefault="00841C7A" w:rsidP="009066C1">
      <w:pPr>
        <w:pStyle w:val="NormalBeforeBullet"/>
        <w:rPr>
          <w:rStyle w:val="normaltextrun"/>
        </w:rPr>
      </w:pPr>
      <w:r w:rsidRPr="009066C1">
        <w:rPr>
          <w:rStyle w:val="normaltextrun"/>
        </w:rPr>
        <w:t>Experiences of psychological distress for Aboriginal and Torres Strait Islander peoples are captured through the National Aboriginal and Torres Strait Islander Health Survey 2022-23. This survey was undertaken by the Australian Bureau of Statistics from August 2022 to March 2024. Based on findings released in November 2024, this survey found:</w:t>
      </w:r>
    </w:p>
    <w:p w14:paraId="1B2D79CE" w14:textId="451564D2" w:rsidR="00841C7A" w:rsidRPr="00E31B32" w:rsidRDefault="00841C7A" w:rsidP="00841C7A">
      <w:pPr>
        <w:pStyle w:val="ListBullet"/>
      </w:pPr>
      <w:r w:rsidRPr="00E31B32">
        <w:t>In 2022-23, 3 in 10 Aboriginal and Torres Strait Islander people aged 18 years and over (30</w:t>
      </w:r>
      <w:r w:rsidR="00075476">
        <w:t>.2</w:t>
      </w:r>
      <w:r w:rsidRPr="00E31B32">
        <w:t>%) experienced high or very high levels of psychological distress in the last 4 weeks. This is </w:t>
      </w:r>
      <w:proofErr w:type="gramStart"/>
      <w:r w:rsidRPr="00E31B32">
        <w:t>similar to</w:t>
      </w:r>
      <w:proofErr w:type="gramEnd"/>
      <w:r w:rsidRPr="00E31B32">
        <w:t> the proportion recorded in 2018–19 (31</w:t>
      </w:r>
      <w:r w:rsidR="00075476">
        <w:t>.1</w:t>
      </w:r>
      <w:r w:rsidRPr="00E31B32">
        <w:t>%).</w:t>
      </w:r>
    </w:p>
    <w:p w14:paraId="3AA6854A" w14:textId="6AF2CC79" w:rsidR="00841C7A" w:rsidRPr="00E31B32" w:rsidRDefault="00841C7A" w:rsidP="00841C7A">
      <w:pPr>
        <w:pStyle w:val="ListBullet"/>
      </w:pPr>
      <w:r w:rsidRPr="00E31B32">
        <w:t>Of this group, people aged 18-24 years (34.3%) and females (35.7%) were most likely to report high or very high levels of psychological distress. </w:t>
      </w:r>
    </w:p>
    <w:p w14:paraId="21543D3A" w14:textId="77777777" w:rsidR="00841C7A" w:rsidRPr="00E31B32" w:rsidRDefault="00841C7A" w:rsidP="00841C7A">
      <w:pPr>
        <w:pStyle w:val="NormalBeforeBullet"/>
      </w:pPr>
      <w:r w:rsidRPr="00E31B32">
        <w:t>Of note, several cultural strengths and determinants of social and emotional wellbeing were associated with lower levels of psychological distress. For example: </w:t>
      </w:r>
    </w:p>
    <w:p w14:paraId="37BDAFA4" w14:textId="60E12720" w:rsidR="00841C7A" w:rsidRPr="00E31B32" w:rsidRDefault="00841C7A" w:rsidP="00841C7A">
      <w:pPr>
        <w:pStyle w:val="ListBullet"/>
      </w:pPr>
      <w:r w:rsidRPr="00E31B32">
        <w:t>People who felt ‘satisfied’ or ‘very satisfied’ with their own level of knowledge of culture were more likely to experience low or moderate levels of psychological distress, (71%) relative to those who were not very satisfied or not at all satisfied (61%). </w:t>
      </w:r>
    </w:p>
    <w:p w14:paraId="0307EAB1" w14:textId="3DC54A5F" w:rsidR="00841C7A" w:rsidRPr="00E31B32" w:rsidRDefault="00841C7A" w:rsidP="00841C7A">
      <w:pPr>
        <w:pStyle w:val="ListBullet"/>
      </w:pPr>
      <w:r w:rsidRPr="00E31B32">
        <w:t>People who were not removed from their natural family (or did not have relatives removed from their natural family) were more likely to experience low or moderate levels of psychological distress (74%) than those who did experience this (60%). </w:t>
      </w:r>
    </w:p>
    <w:p w14:paraId="091C3473" w14:textId="77777777" w:rsidR="00737DA7" w:rsidRDefault="00737DA7">
      <w:pPr>
        <w:suppressAutoHyphens w:val="0"/>
        <w:autoSpaceDE/>
        <w:autoSpaceDN/>
        <w:adjustRightInd/>
        <w:spacing w:after="0" w:line="240" w:lineRule="auto"/>
        <w:textAlignment w:val="auto"/>
      </w:pPr>
      <w:r>
        <w:br w:type="page"/>
      </w:r>
    </w:p>
    <w:p w14:paraId="61C3400C" w14:textId="4A7C09CD" w:rsidR="00841C7A" w:rsidRDefault="00737DA7" w:rsidP="00841C7A">
      <w:pPr>
        <w:rPr>
          <w:rFonts w:ascii="Segoe UI" w:hAnsi="Segoe UI"/>
          <w:szCs w:val="18"/>
        </w:rPr>
      </w:pPr>
      <w:r>
        <w:rPr>
          <w:noProof/>
        </w:rPr>
        <w:lastRenderedPageBreak/>
        <mc:AlternateContent>
          <mc:Choice Requires="wps">
            <w:drawing>
              <wp:anchor distT="0" distB="0" distL="114300" distR="114300" simplePos="0" relativeHeight="251658258" behindDoc="1" locked="0" layoutInCell="1" allowOverlap="1" wp14:anchorId="4F0BEA45" wp14:editId="303FE4E9">
                <wp:simplePos x="0" y="0"/>
                <wp:positionH relativeFrom="page">
                  <wp:posOffset>742013</wp:posOffset>
                </wp:positionH>
                <wp:positionV relativeFrom="page">
                  <wp:posOffset>824459</wp:posOffset>
                </wp:positionV>
                <wp:extent cx="6147435" cy="6393305"/>
                <wp:effectExtent l="0" t="0" r="12065" b="7620"/>
                <wp:wrapNone/>
                <wp:docPr id="21185498" name="Rectangle 211854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6393305"/>
                        </a:xfrm>
                        <a:prstGeom prst="rect">
                          <a:avLst/>
                        </a:prstGeom>
                        <a:solidFill>
                          <a:srgbClr val="F9F9E5">
                            <a:alpha val="50196"/>
                          </a:srgbClr>
                        </a:solidFill>
                        <a:ln w="12700">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11B794A" id="Rectangle 21185498" o:spid="_x0000_s1026" alt="&quot;&quot;" style="position:absolute;margin-left:58.45pt;margin-top:64.9pt;width:484.05pt;height:503.4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" fillcolor="#f9f9e5" strokecolor="#c6d533 [3209]" strokeweight="1pt">
                <v:fill opacity="32896f"/>
                <w10:wrap anchorx="page" anchory="page"/>
              </v:rect>
            </w:pict>
          </mc:Fallback>
        </mc:AlternateContent>
      </w:r>
      <w:r w:rsidR="00841C7A" w:rsidRPr="00493A07">
        <w:t xml:space="preserve">The Productivity Commission’s review of the National Mental Health and Suicide Prevention Agreement emphasised the need to recognise factors affecting the social and emotional wellbeing of Aboriginal and Torres Strait Islander peoples. It recommended a dedicated schedule in the next National Agreement and, consistent with calls from </w:t>
      </w:r>
      <w:proofErr w:type="spellStart"/>
      <w:r w:rsidR="00841C7A" w:rsidRPr="004E5D44">
        <w:rPr>
          <w:i/>
          <w:iCs/>
        </w:rPr>
        <w:t>Gayaa</w:t>
      </w:r>
      <w:proofErr w:type="spellEnd"/>
      <w:r w:rsidR="00841C7A" w:rsidRPr="004E5D44">
        <w:rPr>
          <w:i/>
          <w:iCs/>
        </w:rPr>
        <w:t xml:space="preserve"> </w:t>
      </w:r>
      <w:proofErr w:type="spellStart"/>
      <w:r w:rsidR="00841C7A" w:rsidRPr="004E5D44">
        <w:rPr>
          <w:i/>
          <w:iCs/>
        </w:rPr>
        <w:t>Dhuwi</w:t>
      </w:r>
      <w:proofErr w:type="spellEnd"/>
      <w:r w:rsidR="00841C7A" w:rsidRPr="004E5D44">
        <w:rPr>
          <w:i/>
          <w:iCs/>
        </w:rPr>
        <w:t xml:space="preserve"> (Proud Spirit)</w:t>
      </w:r>
      <w:r w:rsidR="00841C7A" w:rsidRPr="00493A07">
        <w:t xml:space="preserve"> Australia, the inclusion of outcome measures co-designed with Aboriginal and Torres Strait Islander </w:t>
      </w:r>
      <w:r w:rsidR="00841C7A">
        <w:t>peoples.</w:t>
      </w:r>
      <w:r w:rsidR="00C41EA8">
        <w:rPr>
          <w:rStyle w:val="EndnoteReference"/>
        </w:rPr>
        <w:endnoteReference w:id="107"/>
      </w:r>
      <w:r w:rsidR="00841C7A">
        <w:t xml:space="preserve"> </w:t>
      </w:r>
      <w:r w:rsidR="00841C7A" w:rsidRPr="001037B3">
        <w:t>The Commission support</w:t>
      </w:r>
      <w:r w:rsidR="00841C7A">
        <w:t>s</w:t>
      </w:r>
      <w:r w:rsidR="00841C7A" w:rsidRPr="001037B3">
        <w:t xml:space="preserve"> call</w:t>
      </w:r>
      <w:r w:rsidR="00841C7A">
        <w:t>s</w:t>
      </w:r>
      <w:r w:rsidR="00841C7A" w:rsidRPr="001037B3">
        <w:t xml:space="preserve"> for the development of appropriate measures for social and emotional wellbeing and improved data on racism. Efforts to address these gaps should align with Indigenous Data Sovereignty Principles, including the rights of Aboriginal and Torres Strait Islander peoples to </w:t>
      </w:r>
      <w:r w:rsidR="00AC6985">
        <w:rPr>
          <w:noProof/>
        </w:rPr>
        <mc:AlternateContent>
          <mc:Choice Requires="wps">
            <w:drawing>
              <wp:anchor distT="0" distB="0" distL="114300" distR="114300" simplePos="0" relativeHeight="251658287" behindDoc="1" locked="0" layoutInCell="1" allowOverlap="1" wp14:anchorId="421AE8FA" wp14:editId="13398FAF">
                <wp:simplePos x="0" y="0"/>
                <wp:positionH relativeFrom="page">
                  <wp:posOffset>0</wp:posOffset>
                </wp:positionH>
                <wp:positionV relativeFrom="page">
                  <wp:posOffset>10141</wp:posOffset>
                </wp:positionV>
                <wp:extent cx="7560000" cy="153909"/>
                <wp:effectExtent l="0" t="0" r="0" b="6350"/>
                <wp:wrapNone/>
                <wp:docPr id="180734107" name="Rectangle 1807341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F8752D1" id="Rectangle 180734107" o:spid="_x0000_s1026" alt="&quot;&quot;" style="position:absolute;margin-left:0;margin-top:.8pt;width:595.3pt;height:12.1pt;z-index:-2516581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c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" fillcolor="#c6d533 [3209]" stroked="f" strokeweight="1pt">
                <w10:wrap anchorx="page" anchory="page"/>
              </v:rect>
            </w:pict>
          </mc:Fallback>
        </mc:AlternateContent>
      </w:r>
      <w:r w:rsidR="00841C7A" w:rsidRPr="001037B3">
        <w:t>access, govern, control, interpret and determine how data about their peoples and communities is collected, used and reported.</w:t>
      </w:r>
    </w:p>
    <w:p w14:paraId="1A7CEB99" w14:textId="7F095586" w:rsidR="00841C7A" w:rsidRPr="00FC1CFE" w:rsidRDefault="00841C7A" w:rsidP="00EA01A8">
      <w:pPr>
        <w:pStyle w:val="Heading3"/>
      </w:pPr>
      <w:r w:rsidRPr="00FC1CFE">
        <w:rPr>
          <w:rStyle w:val="normaltextrun"/>
        </w:rPr>
        <w:t>Where can I find more data and research on Aboriginal and Torres Strait Islander peoples’ social and emotional wellbeing and mental health?</w:t>
      </w:r>
      <w:r w:rsidRPr="00FC1CFE">
        <w:rPr>
          <w:rStyle w:val="eop"/>
        </w:rPr>
        <w:t> </w:t>
      </w:r>
    </w:p>
    <w:p w14:paraId="456711E4" w14:textId="369652EE" w:rsidR="00841C7A" w:rsidRPr="007575CA" w:rsidRDefault="00841C7A" w:rsidP="00841C7A">
      <w:pPr>
        <w:pStyle w:val="NormalBeforeBullet"/>
      </w:pPr>
      <w:r w:rsidRPr="007575CA">
        <w:t>Several existing data collections and studies measure aspects of the social and emotional wellbeing and mental health of Aboriginal and Torres Strait Islander peoples, including:</w:t>
      </w:r>
    </w:p>
    <w:p w14:paraId="1E263258" w14:textId="435751B4" w:rsidR="00841C7A" w:rsidRPr="00BF1CA2" w:rsidRDefault="00841C7A" w:rsidP="00841C7A">
      <w:pPr>
        <w:pStyle w:val="ListBullet"/>
      </w:pPr>
      <w:r w:rsidRPr="00E31B32">
        <w:t>The </w:t>
      </w:r>
      <w:r w:rsidRPr="00E31B32">
        <w:rPr>
          <w:b/>
          <w:bCs/>
        </w:rPr>
        <w:t>Mayi </w:t>
      </w:r>
      <w:proofErr w:type="spellStart"/>
      <w:r w:rsidRPr="00E31B32">
        <w:rPr>
          <w:b/>
          <w:bCs/>
        </w:rPr>
        <w:t>Kuwayu</w:t>
      </w:r>
      <w:proofErr w:type="spellEnd"/>
      <w:r w:rsidRPr="00E31B32">
        <w:rPr>
          <w:b/>
          <w:bCs/>
        </w:rPr>
        <w:t> Study</w:t>
      </w:r>
      <w:r w:rsidRPr="00E31B32">
        <w:t xml:space="preserve"> - conducted every 3 years, this survey examines culture, wellbeing and health, with a focus on understanding the cultural determinants of health and their impacts on mental and physical health. The survey is designed, led and controlled by Aboriginal and Torres Strait Islander peoples. Further information can be found at</w:t>
      </w:r>
      <w:r w:rsidRPr="00BF1CA2">
        <w:t>: </w:t>
      </w:r>
      <w:hyperlink r:id="rId88" w:tgtFrame="_blank" w:history="1">
        <w:r w:rsidRPr="00BF1CA2">
          <w:rPr>
            <w:rStyle w:val="Hyperlink"/>
            <w:u w:val="none"/>
          </w:rPr>
          <w:t>https://mkstudy.com.au/</w:t>
        </w:r>
      </w:hyperlink>
    </w:p>
    <w:p w14:paraId="3A661DA1" w14:textId="01926D2B" w:rsidR="00841C7A" w:rsidRPr="00BF1CA2" w:rsidRDefault="00841C7A" w:rsidP="00841C7A">
      <w:pPr>
        <w:pStyle w:val="ListBullet"/>
      </w:pPr>
      <w:r w:rsidRPr="00BF1CA2">
        <w:t>In June 2025, the </w:t>
      </w:r>
      <w:proofErr w:type="spellStart"/>
      <w:r w:rsidRPr="00BF1CA2">
        <w:rPr>
          <w:b/>
          <w:bCs/>
        </w:rPr>
        <w:t>Yardhura</w:t>
      </w:r>
      <w:proofErr w:type="spellEnd"/>
      <w:r w:rsidRPr="00BF1CA2">
        <w:rPr>
          <w:b/>
          <w:bCs/>
        </w:rPr>
        <w:t> </w:t>
      </w:r>
      <w:proofErr w:type="spellStart"/>
      <w:r w:rsidRPr="00BF1CA2">
        <w:rPr>
          <w:b/>
          <w:bCs/>
        </w:rPr>
        <w:t>Walani</w:t>
      </w:r>
      <w:proofErr w:type="spellEnd"/>
      <w:r w:rsidRPr="00BF1CA2">
        <w:rPr>
          <w:b/>
          <w:bCs/>
        </w:rPr>
        <w:t xml:space="preserve"> National Centre for Aboriginal and Torres Strait Islander Wellbeing Research published analysis of </w:t>
      </w:r>
      <w:r w:rsidR="00025FFB">
        <w:rPr>
          <w:b/>
          <w:bCs/>
        </w:rPr>
        <w:t xml:space="preserve">data from the </w:t>
      </w:r>
      <w:r w:rsidRPr="00BF1CA2">
        <w:rPr>
          <w:b/>
          <w:bCs/>
        </w:rPr>
        <w:t>Mayi </w:t>
      </w:r>
      <w:proofErr w:type="spellStart"/>
      <w:r w:rsidRPr="00BF1CA2">
        <w:rPr>
          <w:b/>
          <w:bCs/>
        </w:rPr>
        <w:t>Kuwayu</w:t>
      </w:r>
      <w:proofErr w:type="spellEnd"/>
      <w:r w:rsidR="00025FFB">
        <w:rPr>
          <w:b/>
          <w:bCs/>
        </w:rPr>
        <w:t xml:space="preserve"> study</w:t>
      </w:r>
      <w:r w:rsidRPr="00BF1CA2">
        <w:rPr>
          <w:b/>
          <w:bCs/>
        </w:rPr>
        <w:t> </w:t>
      </w:r>
      <w:r w:rsidRPr="00BF1CA2">
        <w:t>- including several measures of social and emotional wellbeing, collected before and after the Voice to Parliament Referendum which occurred from January 2022 to April 2025. Findings from the final report</w:t>
      </w:r>
      <w:r w:rsidRPr="00BF1CA2">
        <w:rPr>
          <w:rStyle w:val="Hyperlink"/>
          <w:u w:val="none"/>
        </w:rPr>
        <w:t>, </w:t>
      </w:r>
      <w:hyperlink r:id="rId89" w:tgtFrame="_blank" w:history="1">
        <w:r w:rsidRPr="00BF1CA2">
          <w:rPr>
            <w:rStyle w:val="Hyperlink"/>
            <w:u w:val="none"/>
          </w:rPr>
          <w:t>Monitoring Aboriginal and Torres Strait Islander mental health and wellbeing around the Voice to Parliament Referendum</w:t>
        </w:r>
      </w:hyperlink>
      <w:r w:rsidRPr="00BF1CA2">
        <w:t>, underscored the need for continued efforts to address racism and discrimination in Australia.  </w:t>
      </w:r>
    </w:p>
    <w:p w14:paraId="7A8B8426" w14:textId="06530742" w:rsidR="00841C7A" w:rsidRDefault="00841C7A" w:rsidP="00841C7A">
      <w:pPr>
        <w:pStyle w:val="ListBullet"/>
      </w:pPr>
      <w:r w:rsidRPr="00BF1CA2">
        <w:rPr>
          <w:b/>
          <w:bCs/>
        </w:rPr>
        <w:t>Footprints in Time -</w:t>
      </w:r>
      <w:r w:rsidRPr="00BF1CA2">
        <w:rPr>
          <w:rStyle w:val="normaltextrun"/>
          <w:rFonts w:ascii="Aptos" w:hAnsi="Aptos"/>
          <w:color w:val="000000"/>
          <w:sz w:val="22"/>
          <w:szCs w:val="22"/>
          <w:lang w:val="en-GB"/>
        </w:rPr>
        <w:t xml:space="preserve"> </w:t>
      </w:r>
      <w:r w:rsidRPr="00BF1CA2">
        <w:t>this longitudinal study examines the developmental pathways of Aboriginal and Torres Strait Islander children, focusing on factors that help children “grow up strong”.</w:t>
      </w:r>
      <w:r w:rsidRPr="00BF1CA2">
        <w:rPr>
          <w:rStyle w:val="normaltextrun"/>
          <w:rFonts w:ascii="Aptos" w:hAnsi="Aptos"/>
          <w:color w:val="000000"/>
          <w:sz w:val="22"/>
          <w:szCs w:val="22"/>
          <w:lang w:val="en-GB"/>
        </w:rPr>
        <w:t xml:space="preserve"> </w:t>
      </w:r>
      <w:r w:rsidRPr="00BF1CA2">
        <w:t>Findings from the first </w:t>
      </w:r>
      <w:r w:rsidRPr="00BF1CA2">
        <w:rPr>
          <w:b/>
          <w:bCs/>
        </w:rPr>
        <w:t>10 years of Footprints in Time</w:t>
      </w:r>
      <w:r w:rsidRPr="00BF1CA2">
        <w:t> are available at: </w:t>
      </w:r>
      <w:hyperlink r:id="rId90" w:tgtFrame="_blank" w:history="1">
        <w:r w:rsidRPr="00BF1CA2">
          <w:rPr>
            <w:rStyle w:val="Hyperlink"/>
            <w:u w:val="none"/>
          </w:rPr>
          <w:t>A Decade of Data: Findings from the first 10 years of Footprints in Time, 2020 | Department of Social Services</w:t>
        </w:r>
      </w:hyperlink>
      <w:r w:rsidR="00025FFB">
        <w:t xml:space="preserve"> </w:t>
      </w:r>
      <w:r w:rsidRPr="00D62208">
        <w:rPr>
          <w:rStyle w:val="normaltextrun"/>
          <w:rFonts w:ascii="Aptos" w:hAnsi="Aptos"/>
          <w:color w:val="000000"/>
          <w:sz w:val="22"/>
          <w:szCs w:val="22"/>
          <w:lang w:val="en-GB"/>
        </w:rPr>
        <w:t> </w:t>
      </w:r>
    </w:p>
    <w:p w14:paraId="55599DC4" w14:textId="23E8F56C" w:rsidR="00841C7A" w:rsidRPr="00D62208" w:rsidRDefault="00841C7A" w:rsidP="00841C7A">
      <w:pPr>
        <w:pStyle w:val="ListBullet"/>
        <w:rPr>
          <w:rStyle w:val="eop"/>
          <w:rFonts w:ascii="Aptos" w:hAnsi="Aptos"/>
          <w:color w:val="000000"/>
          <w:sz w:val="22"/>
          <w:szCs w:val="22"/>
        </w:rPr>
      </w:pPr>
      <w:r w:rsidRPr="00E31B32">
        <w:rPr>
          <w:b/>
          <w:bCs/>
        </w:rPr>
        <w:t>Aboriginal and Torres Strait Islander social and emotional wellbeing measures</w:t>
      </w:r>
      <w:r w:rsidRPr="00E31B32">
        <w:t> - a collaborative project between the </w:t>
      </w:r>
      <w:hyperlink r:id="rId91" w:tgtFrame="_blank" w:history="1">
        <w:r w:rsidRPr="00E31B32">
          <w:t>Aboriginal and Torres Strait Islander Social and Emotional Wellbeing Measurement Consortium</w:t>
        </w:r>
      </w:hyperlink>
      <w:r w:rsidRPr="00E31B32">
        <w:t> and the Australian Institute of Health and Welfare (AIHW) First Nations Health and Welfare Group which has researched over 30 SEWB measures. These are grouped into three categories: culturally derived, culturally informed and culturally adapted. </w:t>
      </w:r>
    </w:p>
    <w:p w14:paraId="4CDAFC24" w14:textId="7FB21123" w:rsidR="009C373F" w:rsidRPr="00367C40" w:rsidRDefault="00841C7A" w:rsidP="00367C40">
      <w:pPr>
        <w:pStyle w:val="ListBullet"/>
        <w:rPr>
          <w:rStyle w:val="normaltextrun"/>
        </w:rPr>
      </w:pPr>
      <w:r w:rsidRPr="00E31B32">
        <w:rPr>
          <w:b/>
          <w:bCs/>
        </w:rPr>
        <w:t>The </w:t>
      </w:r>
      <w:hyperlink r:id="rId92" w:tgtFrame="_blank" w:history="1">
        <w:r w:rsidRPr="00E31B32">
          <w:rPr>
            <w:b/>
            <w:bCs/>
          </w:rPr>
          <w:t>Aboriginal and Torres Strait Islander Health Performance Framework</w:t>
        </w:r>
      </w:hyperlink>
      <w:r w:rsidRPr="00E31B32">
        <w:rPr>
          <w:b/>
          <w:bCs/>
        </w:rPr>
        <w:t xml:space="preserve">- </w:t>
      </w:r>
      <w:r>
        <w:t>b</w:t>
      </w:r>
      <w:r w:rsidRPr="008D3D9F">
        <w:t>rings together information on health outcomes, determinants of health and health system performance. This includes Measure 1.18, which presents data, research findings and policy implications relating to social and emotional wellbeing to inform governments, health services and the research sector.</w:t>
      </w:r>
      <w:r w:rsidR="009C373F" w:rsidRPr="008D3D9F">
        <w:t xml:space="preserve"> </w:t>
      </w:r>
    </w:p>
    <w:p w14:paraId="7E2471BF" w14:textId="77777777" w:rsidR="001E1C0E" w:rsidRDefault="00FF39F5" w:rsidP="00DD548D">
      <w:pPr>
        <w:suppressAutoHyphens w:val="0"/>
        <w:autoSpaceDE/>
        <w:autoSpaceDN/>
        <w:adjustRightInd/>
        <w:spacing w:after="0" w:line="240" w:lineRule="auto"/>
        <w:textAlignment w:val="auto"/>
      </w:pPr>
      <w:r>
        <w:br w:type="page"/>
      </w:r>
    </w:p>
    <w:p w14:paraId="601B8A43" w14:textId="22127667" w:rsidR="001E1C0E" w:rsidRPr="00C00D1D" w:rsidRDefault="00C00D1D" w:rsidP="00C00D1D">
      <w:pPr>
        <w:pStyle w:val="Heading1"/>
        <w:rPr>
          <w:color w:val="FFFFFF" w:themeColor="background1"/>
        </w:rPr>
      </w:pPr>
      <w:bookmarkStart w:id="29" w:name="_Toc237878287"/>
      <w:r w:rsidRPr="00C00D1D">
        <w:rPr>
          <w:color w:val="FFFFFF" w:themeColor="background1"/>
        </w:rPr>
        <w:lastRenderedPageBreak/>
        <w:t>Domain 2 Social Determinants</w:t>
      </w:r>
      <w:bookmarkEnd w:id="29"/>
    </w:p>
    <w:p w14:paraId="0807C5C0" w14:textId="6D80FBFC" w:rsidR="009C373F" w:rsidRPr="00EC436B" w:rsidRDefault="00DD548D" w:rsidP="005646A4">
      <w:pPr>
        <w:pStyle w:val="NMHCIntroParagraph"/>
      </w:pPr>
      <w:r w:rsidRPr="00EC436B">
        <w:rPr>
          <w:noProof/>
        </w:rPr>
        <w:drawing>
          <wp:anchor distT="0" distB="0" distL="114300" distR="114300" simplePos="0" relativeHeight="251658332" behindDoc="0" locked="0" layoutInCell="1" allowOverlap="1" wp14:anchorId="37BDD736" wp14:editId="336161BC">
            <wp:simplePos x="0" y="0"/>
            <wp:positionH relativeFrom="margin">
              <wp:posOffset>-931545</wp:posOffset>
            </wp:positionH>
            <wp:positionV relativeFrom="margin">
              <wp:posOffset>-953770</wp:posOffset>
            </wp:positionV>
            <wp:extent cx="7558405" cy="3058160"/>
            <wp:effectExtent l="0" t="0" r="0" b="2540"/>
            <wp:wrapSquare wrapText="bothSides"/>
            <wp:docPr id="1415286625" name="Picture 92" descr="Title on photograph &#10;“Domain 2 Social Determinants&quot;&#10;&#10;Photograph of an elderly man outdoors wearing headphones with eyes closed and hands crossed over chest, suggesting a moment of relaxation or mindfulness. Background features trees and natural light, conveying a peaceful environment related to of health.&#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86625" name="Picture 92" descr="Title on photograph &#10;“Domain 2 Social Determinants&quot;&#10;&#10;Photograph of an elderly man outdoors wearing headphones with eyes closed and hands crossed over chest, suggesting a moment of relaxation or mindfulness. Background features trees and natural light, conveying a peaceful environment related to of health.&#10;&#10;">
                      <a:extLst>
                        <a:ext uri="{C183D7F6-B498-43B3-948B-1728B52AA6E4}">
                          <adec:decorative xmlns:adec="http://schemas.microsoft.com/office/drawing/2017/decorative" val="0"/>
                        </a:ext>
                      </a:extLst>
                    </pic:cNvPr>
                    <pic:cNvPicPr/>
                  </pic:nvPicPr>
                  <pic:blipFill>
                    <a:blip r:embed="rId93" cstate="email">
                      <a:extLst>
                        <a:ext uri="{28A0092B-C50C-407E-A947-70E740481C1C}">
                          <a14:useLocalDpi xmlns:a14="http://schemas.microsoft.com/office/drawing/2010/main"/>
                        </a:ext>
                      </a:extLst>
                    </a:blip>
                    <a:stretch>
                      <a:fillRect/>
                    </a:stretch>
                  </pic:blipFill>
                  <pic:spPr>
                    <a:xfrm>
                      <a:off x="0" y="0"/>
                      <a:ext cx="7558405" cy="3058160"/>
                    </a:xfrm>
                    <a:prstGeom prst="rect">
                      <a:avLst/>
                    </a:prstGeom>
                  </pic:spPr>
                </pic:pic>
              </a:graphicData>
            </a:graphic>
            <wp14:sizeRelH relativeFrom="page">
              <wp14:pctWidth>0</wp14:pctWidth>
            </wp14:sizeRelH>
            <wp14:sizeRelV relativeFrom="page">
              <wp14:pctHeight>0</wp14:pctHeight>
            </wp14:sizeRelV>
          </wp:anchor>
        </w:drawing>
      </w:r>
      <w:r w:rsidR="00124A35" w:rsidRPr="00EC436B">
        <w:rPr>
          <w:noProof/>
        </w:rPr>
        <mc:AlternateContent>
          <mc:Choice Requires="wps">
            <w:drawing>
              <wp:anchor distT="0" distB="0" distL="114300" distR="114300" simplePos="0" relativeHeight="251658262" behindDoc="1" locked="0" layoutInCell="1" allowOverlap="1" wp14:anchorId="0F87D0F1" wp14:editId="1DD632B6">
                <wp:simplePos x="0" y="0"/>
                <wp:positionH relativeFrom="page">
                  <wp:posOffset>-14990</wp:posOffset>
                </wp:positionH>
                <wp:positionV relativeFrom="page">
                  <wp:posOffset>8890</wp:posOffset>
                </wp:positionV>
                <wp:extent cx="7560000" cy="153909"/>
                <wp:effectExtent l="0" t="0" r="0" b="0"/>
                <wp:wrapNone/>
                <wp:docPr id="1416712003" name="Rectangle 14167120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rgbClr val="26B8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415DF63" id="Rectangle 1416712003" o:spid="_x0000_s1026" alt="&quot;&quot;" style="position:absolute;margin-left:-1.2pt;margin-top:.7pt;width:595.3pt;height:12.1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" fillcolor="#26b8ea" stroked="f" strokeweight="1pt">
                <w10:wrap anchorx="page" anchory="page"/>
              </v:rect>
            </w:pict>
          </mc:Fallback>
        </mc:AlternateContent>
      </w:r>
      <w:r w:rsidR="009C373F" w:rsidRPr="00EC436B">
        <w:t xml:space="preserve">This domain looks at the social determinants that can shape mental health </w:t>
      </w:r>
      <w:r w:rsidR="006D0BC3">
        <w:br/>
      </w:r>
      <w:r w:rsidR="009C373F" w:rsidRPr="00EC436B">
        <w:t xml:space="preserve">and wellbeing, guided by the question, are the factors that influence mental </w:t>
      </w:r>
      <w:r w:rsidR="006D0BC3">
        <w:br/>
      </w:r>
      <w:r w:rsidR="009C373F" w:rsidRPr="00EC436B">
        <w:t>health improving?</w:t>
      </w:r>
    </w:p>
    <w:p w14:paraId="74FB2C32" w14:textId="7028E6AF" w:rsidR="009C373F" w:rsidRDefault="009C373F" w:rsidP="00675B65">
      <w:pPr>
        <w:rPr>
          <w:lang w:val="en-AU" w:eastAsia="en-AU"/>
        </w:rPr>
      </w:pPr>
      <w:r w:rsidRPr="007575CA">
        <w:rPr>
          <w:lang w:val="en-AU" w:eastAsia="en-AU"/>
        </w:rPr>
        <w:t>Where available data allows, we also consider what are the experiences of people with mental health challenges compared to the community</w:t>
      </w:r>
      <w:r>
        <w:rPr>
          <w:lang w:val="en-AU" w:eastAsia="en-AU"/>
        </w:rPr>
        <w:t>.</w:t>
      </w:r>
    </w:p>
    <w:p w14:paraId="02E8C131" w14:textId="5D3CBDBC" w:rsidR="00FF39F5" w:rsidRPr="006D0BC3" w:rsidRDefault="006D0BC3" w:rsidP="005646A4">
      <w:pPr>
        <w:pStyle w:val="Heading3"/>
        <w:rPr>
          <w:rFonts w:eastAsiaTheme="minorHAnsi" w:cs="Roboto-Light"/>
          <w:color w:val="545A60" w:themeColor="accent3"/>
          <w:szCs w:val="22"/>
          <w:lang w:val="en-AU" w:eastAsia="en-AU"/>
        </w:rPr>
      </w:pPr>
      <w:r>
        <w:rPr>
          <w:noProof/>
        </w:rPr>
        <w:drawing>
          <wp:anchor distT="0" distB="0" distL="114300" distR="114300" simplePos="0" relativeHeight="251658333" behindDoc="1" locked="0" layoutInCell="1" allowOverlap="1" wp14:anchorId="052EBCA5" wp14:editId="349629EB">
            <wp:simplePos x="0" y="0"/>
            <wp:positionH relativeFrom="column">
              <wp:posOffset>0</wp:posOffset>
            </wp:positionH>
            <wp:positionV relativeFrom="paragraph">
              <wp:posOffset>247455</wp:posOffset>
            </wp:positionV>
            <wp:extent cx="5397500" cy="5397500"/>
            <wp:effectExtent l="0" t="0" r="0" b="0"/>
            <wp:wrapNone/>
            <wp:docPr id="205940377" name="Picture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0377" name="Picture 95">
                      <a:extLst>
                        <a:ext uri="{C183D7F6-B498-43B3-948B-1728B52AA6E4}">
                          <adec:decorative xmlns:adec="http://schemas.microsoft.com/office/drawing/2017/decorative" val="1"/>
                        </a:ext>
                      </a:extLst>
                    </pic:cNvPr>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397500" cy="5397500"/>
                    </a:xfrm>
                    <a:prstGeom prst="rect">
                      <a:avLst/>
                    </a:prstGeom>
                  </pic:spPr>
                </pic:pic>
              </a:graphicData>
            </a:graphic>
            <wp14:sizeRelH relativeFrom="page">
              <wp14:pctWidth>0</wp14:pctWidth>
            </wp14:sizeRelH>
            <wp14:sizeRelV relativeFrom="page">
              <wp14:pctHeight>0</wp14:pctHeight>
            </wp14:sizeRelV>
          </wp:anchor>
        </w:drawing>
      </w:r>
      <w:r w:rsidR="009C373F" w:rsidRPr="00EA0EF9">
        <w:rPr>
          <w:lang w:val="en-AU" w:eastAsia="en-AU"/>
        </w:rPr>
        <w:t>To understand th</w:t>
      </w:r>
      <w:r w:rsidR="009C373F">
        <w:rPr>
          <w:lang w:val="en-AU" w:eastAsia="en-AU"/>
        </w:rPr>
        <w:t>ese</w:t>
      </w:r>
      <w:r w:rsidR="009C373F" w:rsidRPr="00EA0EF9">
        <w:rPr>
          <w:lang w:val="en-AU" w:eastAsia="en-AU"/>
        </w:rPr>
        <w:t xml:space="preserve"> question</w:t>
      </w:r>
      <w:r w:rsidR="009C373F">
        <w:rPr>
          <w:lang w:val="en-AU" w:eastAsia="en-AU"/>
        </w:rPr>
        <w:t>s</w:t>
      </w:r>
      <w:r w:rsidR="009C373F" w:rsidRPr="00EA0EF9">
        <w:rPr>
          <w:lang w:val="en-AU" w:eastAsia="en-AU"/>
        </w:rPr>
        <w:t xml:space="preserve">, the Commission draws on </w:t>
      </w:r>
      <w:r w:rsidR="009C373F">
        <w:rPr>
          <w:lang w:val="en-AU" w:eastAsia="en-AU"/>
        </w:rPr>
        <w:t>nine</w:t>
      </w:r>
      <w:r w:rsidR="009C373F" w:rsidRPr="00EA0EF9">
        <w:rPr>
          <w:lang w:val="en-AU" w:eastAsia="en-AU"/>
        </w:rPr>
        <w:t xml:space="preserve"> indicators: </w:t>
      </w:r>
      <w:r w:rsidR="00DD548D">
        <w:t xml:space="preserve"> </w:t>
      </w:r>
      <w:r w:rsidR="00FF39F5">
        <w:br w:type="page"/>
      </w:r>
    </w:p>
    <w:p w14:paraId="03DA8388" w14:textId="3AC962D1" w:rsidR="009C373F" w:rsidRPr="000306C7" w:rsidRDefault="00621AF7" w:rsidP="00424218">
      <w:pPr>
        <w:pStyle w:val="NMHCIntroParagraph"/>
      </w:pPr>
      <w:r w:rsidRPr="00424218">
        <w:rPr>
          <w:noProof/>
        </w:rPr>
        <w:lastRenderedPageBreak/>
        <mc:AlternateContent>
          <mc:Choice Requires="wps">
            <w:drawing>
              <wp:anchor distT="0" distB="0" distL="114300" distR="114300" simplePos="0" relativeHeight="251658259" behindDoc="1" locked="0" layoutInCell="1" allowOverlap="1" wp14:anchorId="249910C3" wp14:editId="6B568A11">
                <wp:simplePos x="0" y="0"/>
                <wp:positionH relativeFrom="page">
                  <wp:posOffset>720620</wp:posOffset>
                </wp:positionH>
                <wp:positionV relativeFrom="page">
                  <wp:posOffset>847787</wp:posOffset>
                </wp:positionV>
                <wp:extent cx="6147435" cy="6643025"/>
                <wp:effectExtent l="0" t="0" r="0" b="0"/>
                <wp:wrapNone/>
                <wp:docPr id="659362789" name="Rectangle 6593627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6643025"/>
                        </a:xfrm>
                        <a:prstGeom prst="rect">
                          <a:avLst/>
                        </a:prstGeom>
                        <a:solidFill>
                          <a:schemeClr val="bg1"/>
                        </a:solidFill>
                        <a:ln w="190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5F58A2B" id="Rectangle 659362789" o:spid="_x0000_s1026" alt="&quot;&quot;" style="position:absolute;margin-left:56.75pt;margin-top:66.75pt;width:484.05pt;height:523.05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" fillcolor="white [3212]" stroked="f" strokeweight="1.5pt">
                <w10:wrap anchorx="page" anchory="page"/>
              </v:rect>
            </w:pict>
          </mc:Fallback>
        </mc:AlternateContent>
      </w:r>
      <w:r w:rsidR="00CF3806" w:rsidRPr="00424218">
        <w:rPr>
          <w:rFonts w:ascii="Aptos" w:hAnsi="Aptos"/>
          <w:noProof/>
          <w:sz w:val="22"/>
        </w:rPr>
        <w:drawing>
          <wp:anchor distT="0" distB="0" distL="114300" distR="114300" simplePos="0" relativeHeight="251658260" behindDoc="0" locked="0" layoutInCell="1" allowOverlap="1" wp14:anchorId="61EE635A" wp14:editId="76AF3698">
            <wp:simplePos x="0" y="0"/>
            <wp:positionH relativeFrom="column">
              <wp:posOffset>5331655</wp:posOffset>
            </wp:positionH>
            <wp:positionV relativeFrom="paragraph">
              <wp:posOffset>-68092</wp:posOffset>
            </wp:positionV>
            <wp:extent cx="619517" cy="619517"/>
            <wp:effectExtent l="0" t="0" r="0" b="0"/>
            <wp:wrapNone/>
            <wp:docPr id="901785798"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85798" name="Picture 29">
                      <a:extLst>
                        <a:ext uri="{C183D7F6-B498-43B3-948B-1728B52AA6E4}">
                          <adec:decorative xmlns:adec="http://schemas.microsoft.com/office/drawing/2017/decorative" val="1"/>
                        </a:ext>
                      </a:extLst>
                    </pic:cNvPr>
                    <pic:cNvPicPr/>
                  </pic:nvPicPr>
                  <pic:blipFill>
                    <a:blip r:embed="rId95">
                      <a:extLst>
                        <a:ext uri="{96DAC541-7B7A-43D3-8B79-37D633B846F1}">
                          <asvg:svgBlip xmlns:asvg="http://schemas.microsoft.com/office/drawing/2016/SVG/main" r:embed="rId96"/>
                        </a:ext>
                      </a:extLst>
                    </a:blip>
                    <a:stretch>
                      <a:fillRect/>
                    </a:stretch>
                  </pic:blipFill>
                  <pic:spPr>
                    <a:xfrm>
                      <a:off x="0" y="0"/>
                      <a:ext cx="619517" cy="619517"/>
                    </a:xfrm>
                    <a:prstGeom prst="rect">
                      <a:avLst/>
                    </a:prstGeom>
                  </pic:spPr>
                </pic:pic>
              </a:graphicData>
            </a:graphic>
            <wp14:sizeRelH relativeFrom="page">
              <wp14:pctWidth>0</wp14:pctWidth>
            </wp14:sizeRelH>
            <wp14:sizeRelV relativeFrom="page">
              <wp14:pctHeight>0</wp14:pctHeight>
            </wp14:sizeRelV>
          </wp:anchor>
        </w:drawing>
      </w:r>
      <w:r w:rsidR="003938D6">
        <w:rPr>
          <w:noProof/>
        </w:rPr>
        <mc:AlternateContent>
          <mc:Choice Requires="wps">
            <w:drawing>
              <wp:anchor distT="0" distB="0" distL="114300" distR="114300" simplePos="0" relativeHeight="251658241" behindDoc="1" locked="0" layoutInCell="1" allowOverlap="1" wp14:anchorId="61776E48" wp14:editId="3658A32F">
                <wp:simplePos x="0" y="0"/>
                <wp:positionH relativeFrom="page">
                  <wp:posOffset>-9728</wp:posOffset>
                </wp:positionH>
                <wp:positionV relativeFrom="page">
                  <wp:posOffset>161696</wp:posOffset>
                </wp:positionV>
                <wp:extent cx="7559675" cy="9899650"/>
                <wp:effectExtent l="0" t="0" r="0" b="6350"/>
                <wp:wrapNone/>
                <wp:docPr id="1643956681" name="Rectangle 16439566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9899650"/>
                        </a:xfrm>
                        <a:prstGeom prst="rect">
                          <a:avLst/>
                        </a:prstGeom>
                        <a:solidFill>
                          <a:srgbClr val="F9F9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6FE26EC" id="Rectangle 1643956681" o:spid="_x0000_s1026" alt="&quot;&quot;" style="position:absolute;margin-left:-.75pt;margin-top:12.75pt;width:595.25pt;height:77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" fillcolor="#f9f9e5" stroked="f" strokeweight="1pt">
                <w10:wrap anchorx="page" anchory="page"/>
              </v:rect>
            </w:pict>
          </mc:Fallback>
        </mc:AlternateContent>
      </w:r>
      <w:r w:rsidR="00124A35" w:rsidRPr="00424218">
        <w:rPr>
          <w:noProof/>
        </w:rPr>
        <mc:AlternateContent>
          <mc:Choice Requires="wps">
            <w:drawing>
              <wp:anchor distT="0" distB="0" distL="114300" distR="114300" simplePos="0" relativeHeight="251658263" behindDoc="1" locked="0" layoutInCell="1" allowOverlap="1" wp14:anchorId="48326BE7" wp14:editId="76E48278">
                <wp:simplePos x="0" y="0"/>
                <wp:positionH relativeFrom="page">
                  <wp:posOffset>-7495</wp:posOffset>
                </wp:positionH>
                <wp:positionV relativeFrom="page">
                  <wp:posOffset>8921</wp:posOffset>
                </wp:positionV>
                <wp:extent cx="7560000" cy="153909"/>
                <wp:effectExtent l="0" t="0" r="0" b="0"/>
                <wp:wrapNone/>
                <wp:docPr id="447891492" name="Rectangle 4478914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rgbClr val="26B8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52149D6" id="Rectangle 447891492" o:spid="_x0000_s1026" alt="&quot;&quot;" style="position:absolute;margin-left:-.6pt;margin-top:.7pt;width:595.3pt;height:12.1pt;z-index:-251658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" fillcolor="#26b8ea" stroked="f" strokeweight="1pt">
                <w10:wrap anchorx="page" anchory="page"/>
              </v:rect>
            </w:pict>
          </mc:Fallback>
        </mc:AlternateContent>
      </w:r>
      <w:r w:rsidR="009C373F" w:rsidRPr="00424218">
        <w:t>Social Determinants: Domain 2 Key Insights</w:t>
      </w:r>
    </w:p>
    <w:p w14:paraId="521B2E82" w14:textId="3B1C05E1" w:rsidR="00621AF7" w:rsidRDefault="00621AF7" w:rsidP="006803C9">
      <w:pPr>
        <w:pStyle w:val="Heading3"/>
      </w:pPr>
    </w:p>
    <w:p w14:paraId="70F4A356" w14:textId="09CD4F4D" w:rsidR="009C373F" w:rsidRPr="006803C9" w:rsidRDefault="004053E3" w:rsidP="006803C9">
      <w:pPr>
        <w:pStyle w:val="Heading3"/>
      </w:pPr>
      <w:r>
        <w:rPr>
          <w:noProof/>
        </w:rPr>
        <w:drawing>
          <wp:inline distT="0" distB="0" distL="0" distR="0" wp14:anchorId="2811E910" wp14:editId="5226CE19">
            <wp:extent cx="387752" cy="387752"/>
            <wp:effectExtent l="0" t="0" r="6350" b="6350"/>
            <wp:docPr id="54896873"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97004" name="Picture 100">
                      <a:extLst>
                        <a:ext uri="{C183D7F6-B498-43B3-948B-1728B52AA6E4}">
                          <adec:decorative xmlns:adec="http://schemas.microsoft.com/office/drawing/2017/decorative" val="1"/>
                        </a:ext>
                      </a:extLst>
                    </pic:cNvPr>
                    <pic:cNvPicPr/>
                  </pic:nvPicPr>
                  <pic:blipFill>
                    <a:blip r:embed="rId97">
                      <a:extLst>
                        <a:ext uri="{96DAC541-7B7A-43D3-8B79-37D633B846F1}">
                          <asvg:svgBlip xmlns:asvg="http://schemas.microsoft.com/office/drawing/2016/SVG/main" r:embed="rId98"/>
                        </a:ext>
                      </a:extLst>
                    </a:blip>
                    <a:stretch>
                      <a:fillRect/>
                    </a:stretch>
                  </pic:blipFill>
                  <pic:spPr>
                    <a:xfrm>
                      <a:off x="0" y="0"/>
                      <a:ext cx="394822" cy="394822"/>
                    </a:xfrm>
                    <a:prstGeom prst="rect">
                      <a:avLst/>
                    </a:prstGeom>
                  </pic:spPr>
                </pic:pic>
              </a:graphicData>
            </a:graphic>
          </wp:inline>
        </w:drawing>
      </w:r>
      <w:r>
        <w:t xml:space="preserve"> </w:t>
      </w:r>
      <w:r w:rsidR="004E5D44">
        <w:br/>
      </w:r>
      <w:r w:rsidR="009C373F" w:rsidRPr="006803C9">
        <w:t>People with mental health conditions are disproportionately experiencing loneliness and discrimination</w:t>
      </w:r>
    </w:p>
    <w:p w14:paraId="742B1D84" w14:textId="2BFB05B1" w:rsidR="009C373F" w:rsidRPr="000839C8" w:rsidRDefault="009C373F" w:rsidP="000839C8">
      <w:pPr>
        <w:pStyle w:val="ListBullet"/>
      </w:pPr>
      <w:r w:rsidRPr="000839C8">
        <w:t>Overall, the estimated proportion of people aged 15 and over experiencing loneliness has remained relatively steady between 2011 (15.3%) and 2024 (15.4%).</w:t>
      </w:r>
      <w:r w:rsidR="008028A6" w:rsidRPr="000839C8">
        <w:rPr>
          <w:rStyle w:val="EndnoteReference"/>
        </w:rPr>
        <w:endnoteReference w:id="108"/>
      </w:r>
    </w:p>
    <w:p w14:paraId="351833C9" w14:textId="0012C634" w:rsidR="009C373F" w:rsidRPr="000839C8" w:rsidRDefault="009C373F" w:rsidP="000839C8">
      <w:pPr>
        <w:pStyle w:val="ListBullet"/>
      </w:pPr>
      <w:r w:rsidRPr="000839C8">
        <w:t xml:space="preserve">In 2024, </w:t>
      </w:r>
      <w:r w:rsidRPr="00627FFD">
        <w:rPr>
          <w:b/>
          <w:bCs/>
        </w:rPr>
        <w:t>people who had a long-term mental health condition were almost 3 times as likely to report loneliness</w:t>
      </w:r>
      <w:r w:rsidRPr="000839C8">
        <w:t xml:space="preserve"> than those without a long-term mental health condition (35.0% compared with 12.2%).</w:t>
      </w:r>
      <w:r w:rsidR="008028A6" w:rsidRPr="000839C8">
        <w:rPr>
          <w:rStyle w:val="EndnoteReference"/>
        </w:rPr>
        <w:endnoteReference w:id="109"/>
      </w:r>
    </w:p>
    <w:p w14:paraId="7C876FF8" w14:textId="094D383D" w:rsidR="009C373F" w:rsidRPr="000839C8" w:rsidRDefault="009C373F" w:rsidP="000839C8">
      <w:pPr>
        <w:pStyle w:val="ListBullet"/>
      </w:pPr>
      <w:r w:rsidRPr="000839C8">
        <w:t xml:space="preserve">In 2025, </w:t>
      </w:r>
      <w:r w:rsidRPr="00564C23">
        <w:rPr>
          <w:b/>
          <w:bCs/>
        </w:rPr>
        <w:t>people with a mental health condition were almost twice as likely to experience discrimination or be treated unfairly</w:t>
      </w:r>
      <w:r w:rsidRPr="000839C8">
        <w:t>, compared with those without a mental health condition (31.2% and 16.3%, respectively).</w:t>
      </w:r>
      <w:r w:rsidR="008028A6" w:rsidRPr="000839C8">
        <w:rPr>
          <w:rStyle w:val="EndnoteReference"/>
        </w:rPr>
        <w:endnoteReference w:id="110"/>
      </w:r>
    </w:p>
    <w:p w14:paraId="7BDA93CB" w14:textId="3D1A53D1" w:rsidR="00621AF7" w:rsidRDefault="00621AF7" w:rsidP="005A2EF3">
      <w:pPr>
        <w:pStyle w:val="Heading3"/>
      </w:pPr>
    </w:p>
    <w:p w14:paraId="72DF8802" w14:textId="2467E0DE" w:rsidR="009C373F" w:rsidRPr="005A2EF3" w:rsidRDefault="004053E3" w:rsidP="005A2EF3">
      <w:pPr>
        <w:pStyle w:val="Heading3"/>
      </w:pPr>
      <w:r>
        <w:rPr>
          <w:noProof/>
        </w:rPr>
        <w:drawing>
          <wp:inline distT="0" distB="0" distL="0" distR="0" wp14:anchorId="2C223573" wp14:editId="37693F04">
            <wp:extent cx="387752" cy="387752"/>
            <wp:effectExtent l="0" t="0" r="6350" b="6350"/>
            <wp:docPr id="950067564"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95914" name="Picture 100">
                      <a:extLst>
                        <a:ext uri="{C183D7F6-B498-43B3-948B-1728B52AA6E4}">
                          <adec:decorative xmlns:adec="http://schemas.microsoft.com/office/drawing/2017/decorative" val="1"/>
                        </a:ext>
                      </a:extLst>
                    </pic:cNvPr>
                    <pic:cNvPicPr/>
                  </pic:nvPicPr>
                  <pic:blipFill>
                    <a:blip r:embed="rId99">
                      <a:extLst>
                        <a:ext uri="{96DAC541-7B7A-43D3-8B79-37D633B846F1}">
                          <asvg:svgBlip xmlns:asvg="http://schemas.microsoft.com/office/drawing/2016/SVG/main" r:embed="rId100"/>
                        </a:ext>
                      </a:extLst>
                    </a:blip>
                    <a:stretch>
                      <a:fillRect/>
                    </a:stretch>
                  </pic:blipFill>
                  <pic:spPr>
                    <a:xfrm>
                      <a:off x="0" y="0"/>
                      <a:ext cx="394506" cy="394506"/>
                    </a:xfrm>
                    <a:prstGeom prst="rect">
                      <a:avLst/>
                    </a:prstGeom>
                  </pic:spPr>
                </pic:pic>
              </a:graphicData>
            </a:graphic>
          </wp:inline>
        </w:drawing>
      </w:r>
      <w:r>
        <w:t xml:space="preserve"> </w:t>
      </w:r>
      <w:r w:rsidR="004E5D44">
        <w:br/>
      </w:r>
      <w:r w:rsidR="009C373F" w:rsidRPr="005A2EF3">
        <w:t xml:space="preserve">Demand for homelessness support is increasing </w:t>
      </w:r>
    </w:p>
    <w:p w14:paraId="0471ABCB" w14:textId="1852465D" w:rsidR="009C373F" w:rsidRPr="00627FFD" w:rsidRDefault="009C373F" w:rsidP="00627FFD">
      <w:pPr>
        <w:pStyle w:val="ListBullet"/>
      </w:pPr>
      <w:r w:rsidRPr="00627FFD">
        <w:t xml:space="preserve">Persistent homelessness is increasing in Australia, </w:t>
      </w:r>
      <w:r w:rsidRPr="00F81DB7">
        <w:rPr>
          <w:b/>
          <w:bCs/>
        </w:rPr>
        <w:t>with the largest growth in absolute numbers among those with a current mental health issue, alongside Aboriginal and Torres Strait Islander clients.</w:t>
      </w:r>
    </w:p>
    <w:p w14:paraId="17D82FFD" w14:textId="35DD795B" w:rsidR="009C373F" w:rsidRPr="006803C9" w:rsidRDefault="009C373F" w:rsidP="000839C8">
      <w:pPr>
        <w:pStyle w:val="ListBullet"/>
      </w:pPr>
      <w:r w:rsidRPr="006803C9">
        <w:t xml:space="preserve">Between 2018–19 and 2024–25, the number of Specialist Homelessness Services clients experiencing persistent homelessness rose by </w:t>
      </w:r>
      <w:r w:rsidRPr="00564C23">
        <w:rPr>
          <w:b/>
          <w:bCs/>
        </w:rPr>
        <w:t>39%</w:t>
      </w:r>
      <w:r w:rsidRPr="006803C9">
        <w:t>, from around 29,500 to 41,100 clients.</w:t>
      </w:r>
      <w:r w:rsidR="008028A6" w:rsidRPr="004B3CE8">
        <w:rPr>
          <w:vertAlign w:val="superscript"/>
        </w:rPr>
        <w:endnoteReference w:id="111"/>
      </w:r>
      <w:r w:rsidR="008028A6" w:rsidRPr="004B3CE8">
        <w:rPr>
          <w:vertAlign w:val="superscript"/>
        </w:rPr>
        <w:t xml:space="preserve"> </w:t>
      </w:r>
    </w:p>
    <w:p w14:paraId="5BB5BAF3" w14:textId="73EF66E5" w:rsidR="009C373F" w:rsidRPr="006803C9" w:rsidRDefault="009C373F" w:rsidP="000839C8">
      <w:pPr>
        <w:pStyle w:val="ListBullet"/>
      </w:pPr>
      <w:r w:rsidRPr="006803C9">
        <w:t xml:space="preserve">In 2024-25, </w:t>
      </w:r>
      <w:r w:rsidRPr="00FA4C0E">
        <w:rPr>
          <w:b/>
          <w:bCs/>
        </w:rPr>
        <w:t>31% of all Specialist Homelessness Services clients (around 88,800 clients) had a current mental health issue, an increase from 25%</w:t>
      </w:r>
      <w:r w:rsidRPr="006803C9">
        <w:t xml:space="preserve"> in 2014-15 (around 62,900 clients).</w:t>
      </w:r>
      <w:r w:rsidR="008028A6" w:rsidRPr="004B3CE8">
        <w:rPr>
          <w:vertAlign w:val="superscript"/>
        </w:rPr>
        <w:endnoteReference w:id="112"/>
      </w:r>
      <w:r w:rsidR="008028A6" w:rsidRPr="004B3CE8">
        <w:rPr>
          <w:vertAlign w:val="superscript"/>
        </w:rPr>
        <w:t> </w:t>
      </w:r>
      <w:r w:rsidRPr="004B3CE8">
        <w:rPr>
          <w:vertAlign w:val="superscript"/>
        </w:rPr>
        <w:t> </w:t>
      </w:r>
    </w:p>
    <w:p w14:paraId="5BCB2356" w14:textId="360E52EA" w:rsidR="00621AF7" w:rsidRDefault="00621AF7" w:rsidP="005A2EF3">
      <w:pPr>
        <w:pStyle w:val="Heading3"/>
      </w:pPr>
    </w:p>
    <w:p w14:paraId="65D1E566" w14:textId="402A5859" w:rsidR="009C373F" w:rsidRPr="006803C9" w:rsidRDefault="004053E3" w:rsidP="005A2EF3">
      <w:pPr>
        <w:pStyle w:val="Heading3"/>
      </w:pPr>
      <w:r>
        <w:rPr>
          <w:noProof/>
        </w:rPr>
        <w:drawing>
          <wp:inline distT="0" distB="0" distL="0" distR="0" wp14:anchorId="20C3ECE9" wp14:editId="176462BD">
            <wp:extent cx="387752" cy="387752"/>
            <wp:effectExtent l="0" t="0" r="6350" b="6350"/>
            <wp:docPr id="766591359"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95294" name="Picture 100">
                      <a:extLst>
                        <a:ext uri="{C183D7F6-B498-43B3-948B-1728B52AA6E4}">
                          <adec:decorative xmlns:adec="http://schemas.microsoft.com/office/drawing/2017/decorative" val="1"/>
                        </a:ext>
                      </a:extLst>
                    </pic:cNvPr>
                    <pic:cNvPicPr/>
                  </pic:nvPicPr>
                  <pic:blipFill>
                    <a:blip r:embed="rId101">
                      <a:extLst>
                        <a:ext uri="{96DAC541-7B7A-43D3-8B79-37D633B846F1}">
                          <asvg:svgBlip xmlns:asvg="http://schemas.microsoft.com/office/drawing/2016/SVG/main" r:embed="rId102"/>
                        </a:ext>
                      </a:extLst>
                    </a:blip>
                    <a:stretch>
                      <a:fillRect/>
                    </a:stretch>
                  </pic:blipFill>
                  <pic:spPr>
                    <a:xfrm>
                      <a:off x="0" y="0"/>
                      <a:ext cx="394240" cy="394240"/>
                    </a:xfrm>
                    <a:prstGeom prst="rect">
                      <a:avLst/>
                    </a:prstGeom>
                  </pic:spPr>
                </pic:pic>
              </a:graphicData>
            </a:graphic>
          </wp:inline>
        </w:drawing>
      </w:r>
      <w:r>
        <w:t xml:space="preserve"> </w:t>
      </w:r>
      <w:r w:rsidR="004E5D44">
        <w:br/>
      </w:r>
      <w:r w:rsidR="009C373F" w:rsidRPr="006803C9">
        <w:t>Financial stress is increasing, especially for people experiencing mental health conditions</w:t>
      </w:r>
    </w:p>
    <w:p w14:paraId="405A7430" w14:textId="6972C1B1" w:rsidR="009C373F" w:rsidRPr="005A2EF3" w:rsidRDefault="009C373F" w:rsidP="005A2EF3">
      <w:pPr>
        <w:pStyle w:val="ListBullet"/>
      </w:pPr>
      <w:r w:rsidRPr="005A2EF3">
        <w:t>In 2025, more than 1 in 5 (21.2%) people aged 15 years and over could not raise $2,000 within a week, a proportion which has steadily increased over time (18.8% in 2020 and 13.1% in 2014)</w:t>
      </w:r>
      <w:r w:rsidR="00471A25">
        <w:t>.</w:t>
      </w:r>
      <w:r w:rsidRPr="004B3CE8">
        <w:rPr>
          <w:rStyle w:val="FootnoteReference"/>
        </w:rPr>
        <w:footnoteReference w:id="14"/>
      </w:r>
      <w:r w:rsidRPr="004B3CE8">
        <w:rPr>
          <w:vertAlign w:val="superscript"/>
        </w:rPr>
        <w:t xml:space="preserve"> </w:t>
      </w:r>
    </w:p>
    <w:p w14:paraId="6928321F" w14:textId="0F02DEEC" w:rsidR="009C373F" w:rsidRPr="005A2EF3" w:rsidRDefault="009C373F" w:rsidP="005A2EF3">
      <w:pPr>
        <w:pStyle w:val="ListBullet"/>
      </w:pPr>
      <w:r w:rsidRPr="005A2EF3">
        <w:t>Between 2011 and 2024, people living in areas classified as the most disadvantaged were the most likely to experience financial stress.</w:t>
      </w:r>
      <w:r w:rsidRPr="004B3CE8">
        <w:rPr>
          <w:rStyle w:val="FootnoteReference"/>
        </w:rPr>
        <w:footnoteReference w:id="15"/>
      </w:r>
    </w:p>
    <w:p w14:paraId="4617C38D" w14:textId="7F2EF408" w:rsidR="009C373F" w:rsidRPr="001D7E96" w:rsidRDefault="009C373F" w:rsidP="005A2EF3">
      <w:pPr>
        <w:pStyle w:val="ListBullet"/>
        <w:rPr>
          <w:b/>
          <w:bCs/>
        </w:rPr>
      </w:pPr>
      <w:r w:rsidRPr="001D7E96">
        <w:rPr>
          <w:b/>
          <w:bCs/>
        </w:rPr>
        <w:t xml:space="preserve">We continue to see a heightened gap in financial stress for people experiencing mental health conditions.  </w:t>
      </w:r>
    </w:p>
    <w:p w14:paraId="18B5CE78" w14:textId="3BFC0387" w:rsidR="009C373F" w:rsidRDefault="009C373F" w:rsidP="004B3CE8">
      <w:pPr>
        <w:pStyle w:val="ListBullet"/>
      </w:pPr>
      <w:r w:rsidRPr="004B3CE8">
        <w:t xml:space="preserve">In 2025, almost 1 in 3 (31.6%) people who have a mental health condition could not raise $2,000 within a week, compared with almost 1 in 5 (19.6%) people who do not have a mental health condition. </w:t>
      </w:r>
      <w:r w:rsidRPr="001D7E96">
        <w:rPr>
          <w:b/>
          <w:bCs/>
        </w:rPr>
        <w:t xml:space="preserve">This gap has not improved </w:t>
      </w:r>
      <w:r w:rsidRPr="004B3CE8">
        <w:t>compared to previous years.</w:t>
      </w:r>
    </w:p>
    <w:p w14:paraId="3ADBA143" w14:textId="293744C7" w:rsidR="00FA4C0E" w:rsidRPr="007459AA" w:rsidRDefault="00FA4C0E" w:rsidP="007459AA">
      <w:pPr>
        <w:suppressAutoHyphens w:val="0"/>
        <w:autoSpaceDE/>
        <w:autoSpaceDN/>
        <w:adjustRightInd/>
        <w:spacing w:after="0" w:line="240" w:lineRule="auto"/>
        <w:textAlignment w:val="auto"/>
        <w:rPr>
          <w:rFonts w:eastAsia="Times New Roman" w:cs="Segoe UI"/>
          <w:szCs w:val="18"/>
          <w:lang w:val="en-AU" w:eastAsia="en-AU"/>
        </w:rPr>
      </w:pPr>
      <w:r>
        <w:br w:type="page"/>
      </w:r>
    </w:p>
    <w:p w14:paraId="556870AF" w14:textId="1FF1E26B" w:rsidR="009C373F" w:rsidRPr="005646A4" w:rsidRDefault="0008650D" w:rsidP="005646A4">
      <w:pPr>
        <w:pStyle w:val="NMHCIntroParagraph"/>
      </w:pPr>
      <w:r w:rsidRPr="005646A4">
        <w:rPr>
          <w:noProof/>
        </w:rPr>
        <w:lastRenderedPageBreak/>
        <mc:AlternateContent>
          <mc:Choice Requires="wps">
            <w:drawing>
              <wp:anchor distT="0" distB="0" distL="114300" distR="114300" simplePos="0" relativeHeight="251658350" behindDoc="1" locked="0" layoutInCell="1" allowOverlap="1" wp14:anchorId="60ADC0CD" wp14:editId="09A8C0A7">
                <wp:simplePos x="0" y="0"/>
                <wp:positionH relativeFrom="page">
                  <wp:posOffset>0</wp:posOffset>
                </wp:positionH>
                <wp:positionV relativeFrom="page">
                  <wp:posOffset>6350</wp:posOffset>
                </wp:positionV>
                <wp:extent cx="7560000" cy="153909"/>
                <wp:effectExtent l="0" t="0" r="0" b="0"/>
                <wp:wrapNone/>
                <wp:docPr id="490635871" name="Rectangle 4906358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rgbClr val="26B8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27D964A" id="Rectangle 490635871" o:spid="_x0000_s1026" alt="&quot;&quot;" style="position:absolute;margin-left:0;margin-top:.5pt;width:595.3pt;height:12.1pt;z-index:-2516581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" fillcolor="#26b8ea" stroked="f" strokeweight="1pt">
                <w10:wrap anchorx="page" anchory="page"/>
              </v:rect>
            </w:pict>
          </mc:Fallback>
        </mc:AlternateContent>
      </w:r>
      <w:r w:rsidR="00682D81" w:rsidRPr="005646A4">
        <w:rPr>
          <w:noProof/>
        </w:rPr>
        <mc:AlternateContent>
          <mc:Choice Requires="wps">
            <w:drawing>
              <wp:anchor distT="0" distB="0" distL="114300" distR="114300" simplePos="0" relativeHeight="251658349" behindDoc="1" locked="0" layoutInCell="1" allowOverlap="1" wp14:anchorId="18B48DBC" wp14:editId="577340E7">
                <wp:simplePos x="0" y="0"/>
                <wp:positionH relativeFrom="page">
                  <wp:posOffset>0</wp:posOffset>
                </wp:positionH>
                <wp:positionV relativeFrom="page">
                  <wp:posOffset>6350</wp:posOffset>
                </wp:positionV>
                <wp:extent cx="7560000" cy="153909"/>
                <wp:effectExtent l="0" t="0" r="0" b="0"/>
                <wp:wrapNone/>
                <wp:docPr id="1470520454" name="Rectangle 14705204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rgbClr val="26B8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6A3FE29" id="Rectangle 1470520454" o:spid="_x0000_s1026" alt="&quot;&quot;" style="position:absolute;margin-left:0;margin-top:.5pt;width:595.3pt;height:12.1pt;z-index:-2516581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" fillcolor="#26b8ea" stroked="f" strokeweight="1pt">
                <w10:wrap anchorx="page" anchory="page"/>
              </v:rect>
            </w:pict>
          </mc:Fallback>
        </mc:AlternateContent>
      </w:r>
      <w:r w:rsidR="00DF7D63" w:rsidRPr="005646A4">
        <w:rPr>
          <w:noProof/>
        </w:rPr>
        <mc:AlternateContent>
          <mc:Choice Requires="wps">
            <w:drawing>
              <wp:anchor distT="0" distB="0" distL="114300" distR="114300" simplePos="0" relativeHeight="251658271" behindDoc="1" locked="0" layoutInCell="1" allowOverlap="1" wp14:anchorId="42EFF817" wp14:editId="357F1F48">
                <wp:simplePos x="0" y="0"/>
                <wp:positionH relativeFrom="page">
                  <wp:posOffset>0</wp:posOffset>
                </wp:positionH>
                <wp:positionV relativeFrom="page">
                  <wp:posOffset>9493</wp:posOffset>
                </wp:positionV>
                <wp:extent cx="7560000" cy="153909"/>
                <wp:effectExtent l="0" t="0" r="0" b="0"/>
                <wp:wrapNone/>
                <wp:docPr id="538993388" name="Rectangle 5389933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rgbClr val="26B8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2FC6011" id="Rectangle 538993388" o:spid="_x0000_s1026" alt="&quot;&quot;" style="position:absolute;margin-left:0;margin-top:.75pt;width:595.3pt;height:12.1pt;z-index:-2516582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" fillcolor="#26b8ea" stroked="f" strokeweight="1pt">
                <w10:wrap anchorx="page" anchory="page"/>
              </v:rect>
            </w:pict>
          </mc:Fallback>
        </mc:AlternateContent>
      </w:r>
      <w:r w:rsidR="009C373F" w:rsidRPr="005646A4">
        <w:t>Are the factors that influence mental health improving?</w:t>
      </w:r>
      <w:r w:rsidR="003E0570" w:rsidRPr="005646A4">
        <w:t xml:space="preserve"> </w:t>
      </w:r>
    </w:p>
    <w:p w14:paraId="5DF4B5DA" w14:textId="15E8E595" w:rsidR="00F81439" w:rsidRPr="00F81439" w:rsidRDefault="00EF06BA" w:rsidP="00F81439">
      <w:pPr>
        <w:pStyle w:val="Heading2"/>
      </w:pPr>
      <w:r>
        <w:rPr>
          <w:noProof/>
        </w:rPr>
        <w:drawing>
          <wp:inline distT="0" distB="0" distL="0" distR="0" wp14:anchorId="746B7C3D" wp14:editId="7DD60CF0">
            <wp:extent cx="387752" cy="387752"/>
            <wp:effectExtent l="0" t="0" r="6350" b="6350"/>
            <wp:docPr id="1512668321"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68321" name="Picture 100">
                      <a:extLst>
                        <a:ext uri="{C183D7F6-B498-43B3-948B-1728B52AA6E4}">
                          <adec:decorative xmlns:adec="http://schemas.microsoft.com/office/drawing/2017/decorative" val="1"/>
                        </a:ext>
                      </a:extLst>
                    </pic:cNvPr>
                    <pic:cNvPicPr/>
                  </pic:nvPicPr>
                  <pic:blipFill>
                    <a:blip r:embed="rId103">
                      <a:extLst>
                        <a:ext uri="{96DAC541-7B7A-43D3-8B79-37D633B846F1}">
                          <asvg:svgBlip xmlns:asvg="http://schemas.microsoft.com/office/drawing/2016/SVG/main" r:embed="rId104"/>
                        </a:ext>
                      </a:extLst>
                    </a:blip>
                    <a:stretch>
                      <a:fillRect/>
                    </a:stretch>
                  </pic:blipFill>
                  <pic:spPr>
                    <a:xfrm>
                      <a:off x="0" y="0"/>
                      <a:ext cx="396201" cy="396201"/>
                    </a:xfrm>
                    <a:prstGeom prst="rect">
                      <a:avLst/>
                    </a:prstGeom>
                  </pic:spPr>
                </pic:pic>
              </a:graphicData>
            </a:graphic>
          </wp:inline>
        </w:drawing>
      </w:r>
      <w:r w:rsidR="00042372">
        <w:t xml:space="preserve"> </w:t>
      </w:r>
      <w:r w:rsidR="00F81439">
        <w:rPr>
          <w:noProof/>
        </w:rPr>
        <mc:AlternateContent>
          <mc:Choice Requires="wps">
            <w:drawing>
              <wp:anchor distT="0" distB="0" distL="114300" distR="114300" simplePos="0" relativeHeight="251658351" behindDoc="1" locked="0" layoutInCell="1" allowOverlap="1" wp14:anchorId="77DAF20A" wp14:editId="258462DE">
                <wp:simplePos x="0" y="0"/>
                <wp:positionH relativeFrom="page">
                  <wp:posOffset>0</wp:posOffset>
                </wp:positionH>
                <wp:positionV relativeFrom="page">
                  <wp:posOffset>6350</wp:posOffset>
                </wp:positionV>
                <wp:extent cx="7560000" cy="153909"/>
                <wp:effectExtent l="0" t="0" r="0" b="0"/>
                <wp:wrapNone/>
                <wp:docPr id="305389586" name="Rectangle 3053895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rgbClr val="26B8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262201B" id="Rectangle 305389586" o:spid="_x0000_s1026" alt="&quot;&quot;" style="position:absolute;margin-left:0;margin-top:.5pt;width:595.3pt;height:12.1pt;z-index:-2516581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" fillcolor="#26b8ea" stroked="f" strokeweight="1pt">
                <w10:wrap anchorx="page" anchory="page"/>
              </v:rect>
            </w:pict>
          </mc:Fallback>
        </mc:AlternateContent>
      </w:r>
      <w:r w:rsidR="009C373F" w:rsidRPr="00F81439">
        <w:t>Proportion of children who are developmentally vulnerable</w:t>
      </w:r>
      <w:r w:rsidR="007372B8" w:rsidRPr="00F81439">
        <w:t xml:space="preserve"> </w:t>
      </w:r>
    </w:p>
    <w:p w14:paraId="0020DC0E" w14:textId="1FF6E67B" w:rsidR="009C373F" w:rsidRPr="00F81439" w:rsidRDefault="009C373F" w:rsidP="00F81439">
      <w:r w:rsidRPr="00F81439">
        <w:t xml:space="preserve">Early childhood is a critical development period that shapes lifelong mental health, wellbeing, learning and social participation. It is influenced by family, community, cultural, educational and socioeconomic circumstances. Monitoring developmental vulnerability helps identify where children, families and communities may benefit from additional support, early intervention and equitable access to health, education and social services. </w:t>
      </w:r>
    </w:p>
    <w:p w14:paraId="1EAD8466" w14:textId="2F1831E0" w:rsidR="009C373F" w:rsidRPr="00474587" w:rsidRDefault="009C373F" w:rsidP="00474587">
      <w:r w:rsidRPr="00474587">
        <w:t>Mental health struggles often begin during childhood and an estimated 50% of adult mental illness begins during the mid teenage years.</w:t>
      </w:r>
      <w:r w:rsidRPr="00FA16D1">
        <w:rPr>
          <w:vertAlign w:val="superscript"/>
        </w:rPr>
        <w:endnoteReference w:id="113"/>
      </w:r>
      <w:r w:rsidRPr="00FA16D1">
        <w:rPr>
          <w:vertAlign w:val="superscript"/>
        </w:rPr>
        <w:t> </w:t>
      </w:r>
      <w:r w:rsidRPr="00474587">
        <w:t>A more recent meta-analysis found that the peak age of onset was 14.5 years across all mental disorders,</w:t>
      </w:r>
      <w:r w:rsidRPr="00FA16D1">
        <w:rPr>
          <w:vertAlign w:val="superscript"/>
        </w:rPr>
        <w:endnoteReference w:id="114"/>
      </w:r>
      <w:r w:rsidRPr="00FA16D1">
        <w:rPr>
          <w:vertAlign w:val="superscript"/>
        </w:rPr>
        <w:t xml:space="preserve"> </w:t>
      </w:r>
      <w:r w:rsidRPr="00474587">
        <w:t>underlying the need for early intervention and prevention. More than one in five Australian children starting school are ‘developmentally vulnerable’, meaning they do not have the skills (learning, socio-emotional and/or physical) to thrive at school.  </w:t>
      </w:r>
    </w:p>
    <w:p w14:paraId="01BCFACA" w14:textId="095911D7" w:rsidR="009C373F" w:rsidRPr="00474587" w:rsidRDefault="009C373F" w:rsidP="00474587">
      <w:r w:rsidRPr="00474587">
        <w:t xml:space="preserve">As noted in Report Card 2024, the proportion of children in Australia who were ‘developmentally vulnerable’ on one or more domains of the Australian Early Development Census (AEDC) increased between 2021 (22.0%) and 2024 (23.5%). Over this period, the percentage of children who were developmentally vulnerable increased across all 5 AEDC domains of physical health and wellbeing, social competence, emotional maturity, language and cognitive skills, and communication skills and general knowledge. </w:t>
      </w:r>
    </w:p>
    <w:p w14:paraId="4420096D" w14:textId="61E14661" w:rsidR="009C373F" w:rsidRPr="00474587" w:rsidRDefault="009C373F" w:rsidP="00FA16D1">
      <w:pPr>
        <w:pStyle w:val="NormalBeforeBullet"/>
        <w:rPr>
          <w:color w:val="000000"/>
        </w:rPr>
      </w:pPr>
      <w:r w:rsidRPr="67596D41">
        <w:t>The relationship</w:t>
      </w:r>
      <w:r>
        <w:t>s</w:t>
      </w:r>
      <w:r w:rsidRPr="67596D41">
        <w:t xml:space="preserve"> between early childhood development</w:t>
      </w:r>
      <w:r>
        <w:t>,</w:t>
      </w:r>
      <w:r w:rsidRPr="67596D41">
        <w:t xml:space="preserve"> social-emotional wellbeing and mental health outcomes in later years are complex.</w:t>
      </w:r>
      <w:r>
        <w:t xml:space="preserve"> Data linkage</w:t>
      </w:r>
      <w:r w:rsidRPr="67596D41">
        <w:t xml:space="preserve"> can provide an opportunity to more closely understand these relationships.</w:t>
      </w:r>
      <w:r w:rsidRPr="00FA16D1">
        <w:rPr>
          <w:vertAlign w:val="superscript"/>
        </w:rPr>
        <w:endnoteReference w:id="115"/>
      </w:r>
      <w:r w:rsidRPr="00FA16D1">
        <w:rPr>
          <w:vertAlign w:val="superscript"/>
        </w:rPr>
        <w:t xml:space="preserve"> </w:t>
      </w:r>
      <w:r w:rsidRPr="00EA0EF9">
        <w:t xml:space="preserve">In December 2025, the results of the </w:t>
      </w:r>
      <w:hyperlink r:id="rId105" w:history="1">
        <w:r w:rsidRPr="009574AE">
          <w:rPr>
            <w:rStyle w:val="Hyperlink"/>
          </w:rPr>
          <w:t>First Five Years Project</w:t>
        </w:r>
      </w:hyperlink>
      <w:r w:rsidRPr="00EA0EF9">
        <w:t xml:space="preserve"> were published. For the first time, administrative data on childcare participation and quality was linked to a measure of childhood development, along with a broad range of family, social, economic and health data. This project used a range of statistical techniques to better understand developmental vulnerability in children, and risk and protective factors, including mental health.</w:t>
      </w:r>
      <w:r>
        <w:t xml:space="preserve"> The results of the project showed that a</w:t>
      </w:r>
      <w:r w:rsidRPr="006502B6">
        <w:t xml:space="preserve"> range of child, family and social characteristics were associated with developmental vulnerability</w:t>
      </w:r>
      <w:r>
        <w:t>.</w:t>
      </w:r>
      <w:r w:rsidRPr="006502B6">
        <w:t xml:space="preserve"> </w:t>
      </w:r>
      <w:r w:rsidRPr="00EA0EF9">
        <w:t xml:space="preserve">More outcomes from this work can be found </w:t>
      </w:r>
      <w:hyperlink r:id="rId106" w:history="1">
        <w:r w:rsidRPr="009574AE">
          <w:rPr>
            <w:rStyle w:val="Hyperlink"/>
          </w:rPr>
          <w:t>here</w:t>
        </w:r>
      </w:hyperlink>
      <w:r>
        <w:t>.</w:t>
      </w:r>
    </w:p>
    <w:p w14:paraId="2414993B" w14:textId="71236DD8" w:rsidR="007A1964" w:rsidRDefault="00285150" w:rsidP="007A1964">
      <w:pPr>
        <w:pStyle w:val="Heading3"/>
      </w:pPr>
      <w:r w:rsidRPr="007A1964">
        <w:rPr>
          <w:rStyle w:val="Heading2Char"/>
          <w:noProof/>
        </w:rPr>
        <mc:AlternateContent>
          <mc:Choice Requires="wps">
            <w:drawing>
              <wp:anchor distT="0" distB="0" distL="114300" distR="114300" simplePos="0" relativeHeight="251658261" behindDoc="1" locked="0" layoutInCell="1" allowOverlap="1" wp14:anchorId="14B7D046" wp14:editId="75BA4ADF">
                <wp:simplePos x="0" y="0"/>
                <wp:positionH relativeFrom="page">
                  <wp:posOffset>741680</wp:posOffset>
                </wp:positionH>
                <wp:positionV relativeFrom="page">
                  <wp:posOffset>5939050</wp:posOffset>
                </wp:positionV>
                <wp:extent cx="6147435" cy="2630774"/>
                <wp:effectExtent l="0" t="0" r="12065" b="11430"/>
                <wp:wrapNone/>
                <wp:docPr id="490021314" name="Rectangle 4900213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2630774"/>
                        </a:xfrm>
                        <a:prstGeom prst="rect">
                          <a:avLst/>
                        </a:prstGeom>
                        <a:solidFill>
                          <a:srgbClr val="F9F9E5">
                            <a:alpha val="50196"/>
                          </a:srgbClr>
                        </a:solidFill>
                        <a:ln>
                          <a:solidFill>
                            <a:srgbClr val="26B9E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C087B8E" id="Rectangle 490021314" o:spid="_x0000_s1026" alt="&quot;&quot;" style="position:absolute;margin-left:58.4pt;margin-top:467.65pt;width:484.05pt;height:207.1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" fillcolor="#f9f9e5" strokecolor="#26b9ea" strokeweight="1pt">
                <v:fill opacity="32896f"/>
                <w10:wrap anchorx="page" anchory="page"/>
              </v:rect>
            </w:pict>
          </mc:Fallback>
        </mc:AlternateContent>
      </w:r>
    </w:p>
    <w:p w14:paraId="1C54382E" w14:textId="0C53424E" w:rsidR="007A1964" w:rsidRPr="007A1964" w:rsidRDefault="007A1964" w:rsidP="009F46B4">
      <w:pPr>
        <w:pStyle w:val="Heading2"/>
        <w:rPr>
          <w:rStyle w:val="Heading2Char"/>
        </w:rPr>
      </w:pPr>
      <w:r w:rsidRPr="00EF51A7">
        <w:t>Box 4 - Including wellbeing in early childhood health checks (ECHC)</w:t>
      </w:r>
    </w:p>
    <w:p w14:paraId="65FC071D" w14:textId="4CAD7937" w:rsidR="007A1964" w:rsidRPr="007A1964" w:rsidRDefault="007A1964" w:rsidP="007A1964">
      <w:pPr>
        <w:pStyle w:val="NormalBeforeBullet"/>
      </w:pPr>
      <w:r w:rsidRPr="007A1964">
        <w:t xml:space="preserve">The Commission recognises the importance of early childhood as a critical developmental period that shapes lifelong mental health and wellbeing. In September 2025, the Commission published the </w:t>
      </w:r>
      <w:hyperlink r:id="rId107" w:history="1">
        <w:r w:rsidRPr="005A5F54">
          <w:rPr>
            <w:rStyle w:val="Hyperlink"/>
          </w:rPr>
          <w:t>National Guidelines for including mental health and wellbeing in early childhood health checks</w:t>
        </w:r>
      </w:hyperlink>
      <w:r w:rsidRPr="007A1964">
        <w:rPr>
          <w:rStyle w:val="Hyperlink"/>
          <w:color w:val="545A60" w:themeColor="accent3"/>
          <w:u w:val="none"/>
        </w:rPr>
        <w:t>.</w:t>
      </w:r>
      <w:r w:rsidRPr="007A1964">
        <w:t xml:space="preserve"> Key themes arising throughout the Commission’s consultations for the National Guidelines include: </w:t>
      </w:r>
    </w:p>
    <w:p w14:paraId="10A9CB8A" w14:textId="77777777" w:rsidR="007A1964" w:rsidRPr="0095054C" w:rsidRDefault="007A1964" w:rsidP="007A1964">
      <w:pPr>
        <w:pStyle w:val="ListBullet"/>
      </w:pPr>
      <w:r w:rsidRPr="0095054C">
        <w:t xml:space="preserve">the importance of integrated care and support, the value of a strengths-based and trauma-informed approach when working with children and families, </w:t>
      </w:r>
    </w:p>
    <w:p w14:paraId="5CF2251A" w14:textId="77777777" w:rsidR="007A1964" w:rsidRPr="0095054C" w:rsidRDefault="007A1964" w:rsidP="007A1964">
      <w:pPr>
        <w:pStyle w:val="ListBullet"/>
      </w:pPr>
      <w:r w:rsidRPr="0095054C">
        <w:t>the need for sustainable funding to support the delivery of ECHCs, and</w:t>
      </w:r>
    </w:p>
    <w:p w14:paraId="50864A95" w14:textId="318473B8" w:rsidR="007A1964" w:rsidRPr="0095054C" w:rsidRDefault="007A1964" w:rsidP="007A1964">
      <w:pPr>
        <w:pStyle w:val="ListBullet"/>
      </w:pPr>
      <w:r w:rsidRPr="0095054C">
        <w:t>the critical role of an appropriately resourced and trained workforce.</w:t>
      </w:r>
    </w:p>
    <w:p w14:paraId="4AE824CC" w14:textId="4D1A5F5E" w:rsidR="007A1964" w:rsidRDefault="007A1964" w:rsidP="007A1964">
      <w:r w:rsidRPr="00177DD4">
        <w:t xml:space="preserve">Further insights from the development of the National Guidelines highlight the importance of using strengths-based, non-stigmatising language when describing children’s development. Stakeholders emphasised the need to avoid labels that may inadvertently </w:t>
      </w:r>
      <w:proofErr w:type="spellStart"/>
      <w:r w:rsidRPr="00177DD4">
        <w:t>pathologise</w:t>
      </w:r>
      <w:proofErr w:type="spellEnd"/>
      <w:r w:rsidRPr="00177DD4">
        <w:t xml:space="preserve"> </w:t>
      </w:r>
      <w:proofErr w:type="gramStart"/>
      <w:r w:rsidRPr="00177DD4">
        <w:t>children, and</w:t>
      </w:r>
      <w:proofErr w:type="gramEnd"/>
      <w:r w:rsidRPr="00177DD4">
        <w:t xml:space="preserve"> instead focus on how </w:t>
      </w:r>
      <w:r>
        <w:t xml:space="preserve">children can be supported to thrive. </w:t>
      </w:r>
    </w:p>
    <w:p w14:paraId="0267876B" w14:textId="3DA121FC" w:rsidR="009C59C8" w:rsidRDefault="009C59C8">
      <w:pPr>
        <w:suppressAutoHyphens w:val="0"/>
        <w:autoSpaceDE/>
        <w:autoSpaceDN/>
        <w:adjustRightInd/>
        <w:spacing w:after="0" w:line="240" w:lineRule="auto"/>
        <w:textAlignment w:val="auto"/>
        <w:rPr>
          <w:rFonts w:eastAsiaTheme="majorEastAsia" w:cstheme="majorBidi"/>
          <w:color w:val="008143"/>
          <w:sz w:val="24"/>
          <w:szCs w:val="26"/>
          <w:lang w:eastAsia="en-AU"/>
        </w:rPr>
      </w:pPr>
      <w:r>
        <w:br w:type="page"/>
      </w:r>
    </w:p>
    <w:p w14:paraId="1C167437" w14:textId="3B09D685" w:rsidR="009C373F" w:rsidRPr="00FF39F5" w:rsidRDefault="00EF06BA" w:rsidP="009F46B4">
      <w:pPr>
        <w:pStyle w:val="Heading2"/>
      </w:pPr>
      <w:r>
        <w:rPr>
          <w:noProof/>
        </w:rPr>
        <w:lastRenderedPageBreak/>
        <w:drawing>
          <wp:inline distT="0" distB="0" distL="0" distR="0" wp14:anchorId="4F36E666" wp14:editId="2B5E93EF">
            <wp:extent cx="387752" cy="387752"/>
            <wp:effectExtent l="0" t="0" r="6350" b="6350"/>
            <wp:docPr id="898395914"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95914" name="Picture 100">
                      <a:extLst>
                        <a:ext uri="{C183D7F6-B498-43B3-948B-1728B52AA6E4}">
                          <adec:decorative xmlns:adec="http://schemas.microsoft.com/office/drawing/2017/decorative" val="1"/>
                        </a:ext>
                      </a:extLst>
                    </pic:cNvPr>
                    <pic:cNvPicPr/>
                  </pic:nvPicPr>
                  <pic:blipFill>
                    <a:blip r:embed="rId99">
                      <a:extLst>
                        <a:ext uri="{96DAC541-7B7A-43D3-8B79-37D633B846F1}">
                          <asvg:svgBlip xmlns:asvg="http://schemas.microsoft.com/office/drawing/2016/SVG/main" r:embed="rId100"/>
                        </a:ext>
                      </a:extLst>
                    </a:blip>
                    <a:stretch>
                      <a:fillRect/>
                    </a:stretch>
                  </pic:blipFill>
                  <pic:spPr>
                    <a:xfrm>
                      <a:off x="0" y="0"/>
                      <a:ext cx="394506" cy="394506"/>
                    </a:xfrm>
                    <a:prstGeom prst="rect">
                      <a:avLst/>
                    </a:prstGeom>
                  </pic:spPr>
                </pic:pic>
              </a:graphicData>
            </a:graphic>
          </wp:inline>
        </w:drawing>
      </w:r>
      <w:r>
        <w:t xml:space="preserve"> </w:t>
      </w:r>
      <w:r w:rsidR="00DF7D63">
        <w:rPr>
          <w:noProof/>
        </w:rPr>
        <mc:AlternateContent>
          <mc:Choice Requires="wps">
            <w:drawing>
              <wp:anchor distT="0" distB="0" distL="114300" distR="114300" simplePos="0" relativeHeight="251658272" behindDoc="1" locked="0" layoutInCell="1" allowOverlap="1" wp14:anchorId="5E5CA9AD" wp14:editId="449B9D2D">
                <wp:simplePos x="0" y="0"/>
                <wp:positionH relativeFrom="page">
                  <wp:posOffset>-170</wp:posOffset>
                </wp:positionH>
                <wp:positionV relativeFrom="page">
                  <wp:posOffset>12718</wp:posOffset>
                </wp:positionV>
                <wp:extent cx="7560000" cy="153909"/>
                <wp:effectExtent l="0" t="0" r="0" b="0"/>
                <wp:wrapNone/>
                <wp:docPr id="699012649" name="Rectangle 6990126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rgbClr val="26B8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8D86D3D" id="Rectangle 699012649" o:spid="_x0000_s1026" alt="&quot;&quot;" style="position:absolute;margin-left:0;margin-top:1pt;width:595.3pt;height:12.1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" fillcolor="#26b8ea" stroked="f" strokeweight="1pt">
                <w10:wrap anchorx="page" anchory="page"/>
              </v:rect>
            </w:pict>
          </mc:Fallback>
        </mc:AlternateContent>
      </w:r>
      <w:r w:rsidR="009C373F" w:rsidRPr="00FF39F5">
        <w:t xml:space="preserve">Housing security </w:t>
      </w:r>
      <w:r w:rsidR="004711C5">
        <w:t>(homelessness)</w:t>
      </w:r>
    </w:p>
    <w:p w14:paraId="24751EC0" w14:textId="17A6FA11" w:rsidR="009C373F" w:rsidRPr="00474587" w:rsidRDefault="009C373F" w:rsidP="00B966CD">
      <w:pPr>
        <w:pStyle w:val="NormalBeforeBullet"/>
      </w:pPr>
      <w:r w:rsidRPr="00474587">
        <w:t xml:space="preserve">Safe, stable and appropriate housing is a foundational determinant of mental health and wellbeing. Experiences of housing insecurity and homelessness can increase psychological distress, disrupt social connection and create barriers to accessing healthcare, education, employment and community </w:t>
      </w:r>
      <w:proofErr w:type="gramStart"/>
      <w:r w:rsidRPr="00474587">
        <w:t>supports</w:t>
      </w:r>
      <w:proofErr w:type="gramEnd"/>
      <w:r w:rsidRPr="00474587">
        <w:t xml:space="preserve">. Mental health challenges can also increase vulnerability to housing instability. </w:t>
      </w:r>
    </w:p>
    <w:p w14:paraId="3C296B24" w14:textId="27C3707C" w:rsidR="009C373F" w:rsidRPr="00474587" w:rsidRDefault="009C373F" w:rsidP="00474587">
      <w:pPr>
        <w:pStyle w:val="ListBullet"/>
      </w:pPr>
      <w:r w:rsidRPr="00474587">
        <w:t>In 2024-25, 31% of all Specialist Homelessness Services (SHS) clients (around 88,800 clients) had a current mental health issue, up from 25% in 2014-15 (around 62,900 clients).</w:t>
      </w:r>
      <w:r w:rsidR="00593A4B" w:rsidRPr="00474587">
        <w:rPr>
          <w:rStyle w:val="EndnoteReference"/>
        </w:rPr>
        <w:endnoteReference w:id="116"/>
      </w:r>
      <w:r w:rsidR="00593A4B" w:rsidRPr="00474587">
        <w:rPr>
          <w:vertAlign w:val="superscript"/>
        </w:rPr>
        <w:t xml:space="preserve"> </w:t>
      </w:r>
    </w:p>
    <w:p w14:paraId="499FE807" w14:textId="368DFACE" w:rsidR="009C373F" w:rsidRPr="00474587" w:rsidRDefault="009C373F" w:rsidP="00474587">
      <w:pPr>
        <w:pStyle w:val="ListBullet"/>
        <w:rPr>
          <w:color w:val="auto"/>
        </w:rPr>
      </w:pPr>
      <w:r w:rsidRPr="00474587">
        <w:t>Among clients with a current mental health issue, the most common reasons for seeking assistance were housing crisis (e.g., eviction) (20.8% or 18,406 clients), family and domestic violence (19.3% or 17,066 clients) and inadequate or inappropriate dwelling conditions (13.5% or 11,989 clients).</w:t>
      </w:r>
      <w:r w:rsidR="00593A4B" w:rsidRPr="00474587">
        <w:rPr>
          <w:rStyle w:val="EndnoteReference"/>
        </w:rPr>
        <w:endnoteReference w:id="117"/>
      </w:r>
      <w:r w:rsidR="00593A4B" w:rsidRPr="00474587">
        <w:t xml:space="preserve"> </w:t>
      </w:r>
      <w:r w:rsidRPr="00474587">
        <w:t> </w:t>
      </w:r>
    </w:p>
    <w:p w14:paraId="169537FA" w14:textId="77777777" w:rsidR="009C373F" w:rsidRPr="002A1A73" w:rsidRDefault="009C373F" w:rsidP="0067076B">
      <w:pPr>
        <w:pStyle w:val="Heading3"/>
      </w:pPr>
      <w:r w:rsidRPr="002A1A73">
        <w:t xml:space="preserve">Clients experiencing persistent homelessness </w:t>
      </w:r>
    </w:p>
    <w:p w14:paraId="5C8743D3" w14:textId="329570BA" w:rsidR="009C373F" w:rsidRPr="009574AE" w:rsidRDefault="009C373F" w:rsidP="009574AE">
      <w:r w:rsidRPr="00465226">
        <w:t xml:space="preserve">In 2024–25, </w:t>
      </w:r>
      <w:r w:rsidRPr="007575CA">
        <w:t>around 1 in 7 (14% or 41,100 clients) S</w:t>
      </w:r>
      <w:r>
        <w:t xml:space="preserve">pecialist </w:t>
      </w:r>
      <w:r w:rsidRPr="007575CA">
        <w:t>H</w:t>
      </w:r>
      <w:r>
        <w:t xml:space="preserve">omelessness </w:t>
      </w:r>
      <w:r w:rsidRPr="007575CA">
        <w:t>S</w:t>
      </w:r>
      <w:r>
        <w:t>ervices</w:t>
      </w:r>
      <w:r w:rsidRPr="007575CA">
        <w:t xml:space="preserve"> clients were experiencing persistent homelessness</w:t>
      </w:r>
      <w:r>
        <w:t xml:space="preserve">. </w:t>
      </w:r>
      <w:r w:rsidRPr="005D00B9">
        <w:t>Of note,</w:t>
      </w:r>
      <w:r w:rsidRPr="00F0496D">
        <w:rPr>
          <w:b/>
          <w:bCs/>
        </w:rPr>
        <w:t xml:space="preserve"> around half of this group (50% or 20,500 clients) ha</w:t>
      </w:r>
      <w:r>
        <w:rPr>
          <w:b/>
          <w:bCs/>
        </w:rPr>
        <w:t>d</w:t>
      </w:r>
      <w:r w:rsidRPr="00F0496D">
        <w:rPr>
          <w:b/>
          <w:bCs/>
        </w:rPr>
        <w:t xml:space="preserve"> a current mental health issue</w:t>
      </w:r>
      <w:r>
        <w:t xml:space="preserve">, which is important to continue to monitor over time. </w:t>
      </w:r>
    </w:p>
    <w:p w14:paraId="137729D0" w14:textId="707EC11E" w:rsidR="009C373F" w:rsidRPr="002A1A73" w:rsidRDefault="009C373F" w:rsidP="002A1A73">
      <w:pPr>
        <w:rPr>
          <w:rFonts w:cstheme="minorHAnsi"/>
        </w:rPr>
      </w:pPr>
      <w:r w:rsidRPr="007575CA">
        <w:t>Long-term or repeated episodes of homelessness are associated with a wide range of disadvantages, including childhood trauma, chronic mental and physical health conditions, social isolation and experiences of rough sleeping.</w:t>
      </w:r>
      <w:r w:rsidRPr="00B966CD">
        <w:rPr>
          <w:vertAlign w:val="superscript"/>
        </w:rPr>
        <w:endnoteReference w:id="118"/>
      </w:r>
      <w:r w:rsidRPr="00B966CD">
        <w:rPr>
          <w:vertAlign w:val="superscript"/>
        </w:rPr>
        <w:t xml:space="preserve"> </w:t>
      </w:r>
      <w:r w:rsidRPr="00465226">
        <w:rPr>
          <w:rFonts w:cstheme="minorHAnsi"/>
        </w:rPr>
        <w:t>Persistent homelessness is increasing in Australia, with the largest growth in absolute numbers among First Nations clients and those with a current mental health issue. Between 2018–19 and 2024–25, the number of SHS clients experiencing persistent homelessness rose by 39%, from around 29,500 to 41,100. Over the same period, the number of clients with a current mental health issue experiencing persistent homelessness increased from approximately 15,700 to 20,500.</w:t>
      </w:r>
    </w:p>
    <w:p w14:paraId="3F8E35EA" w14:textId="49C38F96" w:rsidR="00CD4186" w:rsidRDefault="008F5C88">
      <w:pPr>
        <w:suppressAutoHyphens w:val="0"/>
        <w:autoSpaceDE/>
        <w:autoSpaceDN/>
        <w:adjustRightInd/>
        <w:spacing w:after="0" w:line="240" w:lineRule="auto"/>
        <w:textAlignment w:val="auto"/>
        <w:rPr>
          <w:rFonts w:eastAsiaTheme="majorEastAsia" w:cstheme="majorBidi"/>
          <w:color w:val="171717" w:themeColor="background2" w:themeShade="1A"/>
          <w:sz w:val="24"/>
          <w:szCs w:val="26"/>
          <w:lang w:eastAsia="en-AU"/>
        </w:rPr>
      </w:pPr>
      <w:r>
        <w:rPr>
          <w:rFonts w:ascii="Aptos" w:hAnsi="Aptos"/>
          <w:noProof/>
          <w:color w:val="000000"/>
        </w:rPr>
        <w:drawing>
          <wp:anchor distT="0" distB="0" distL="114300" distR="114300" simplePos="0" relativeHeight="251709582" behindDoc="1" locked="0" layoutInCell="1" allowOverlap="1" wp14:anchorId="1B9870A9" wp14:editId="71355C99">
            <wp:simplePos x="0" y="0"/>
            <wp:positionH relativeFrom="column">
              <wp:posOffset>-914401</wp:posOffset>
            </wp:positionH>
            <wp:positionV relativeFrom="paragraph">
              <wp:posOffset>832774</wp:posOffset>
            </wp:positionV>
            <wp:extent cx="7559675" cy="4021792"/>
            <wp:effectExtent l="0" t="0" r="3175" b="0"/>
            <wp:wrapNone/>
            <wp:docPr id="1954901573" name="Picture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01573" name="Picture 199">
                      <a:extLst>
                        <a:ext uri="{C183D7F6-B498-43B3-948B-1728B52AA6E4}">
                          <adec:decorative xmlns:adec="http://schemas.microsoft.com/office/drawing/2017/decorative" val="1"/>
                        </a:ext>
                      </a:extLst>
                    </pic:cNvPr>
                    <pic:cNvPicPr/>
                  </pic:nvPicPr>
                  <pic:blipFill rotWithShape="1">
                    <a:blip r:embed="rId108">
                      <a:extLst>
                        <a:ext uri="{28A0092B-C50C-407E-A947-70E740481C1C}">
                          <a14:useLocalDpi xmlns:a14="http://schemas.microsoft.com/office/drawing/2010/main" val="0"/>
                        </a:ext>
                      </a:extLst>
                    </a:blip>
                    <a:srcRect t="20197"/>
                    <a:stretch>
                      <a:fillRect/>
                    </a:stretch>
                  </pic:blipFill>
                  <pic:spPr bwMode="auto">
                    <a:xfrm>
                      <a:off x="0" y="0"/>
                      <a:ext cx="7569369" cy="40269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4186">
        <w:br w:type="page"/>
      </w:r>
    </w:p>
    <w:p w14:paraId="5D8BBBA5" w14:textId="1A92D969" w:rsidR="009C373F" w:rsidRPr="002A1A73" w:rsidRDefault="00EF06BA" w:rsidP="009F46B4">
      <w:pPr>
        <w:pStyle w:val="Heading2"/>
      </w:pPr>
      <w:r>
        <w:rPr>
          <w:noProof/>
        </w:rPr>
        <w:lastRenderedPageBreak/>
        <w:drawing>
          <wp:inline distT="0" distB="0" distL="0" distR="0" wp14:anchorId="74128815" wp14:editId="3D12BE31">
            <wp:extent cx="387752" cy="387752"/>
            <wp:effectExtent l="0" t="0" r="6350" b="6350"/>
            <wp:docPr id="1733795294"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95294" name="Picture 100">
                      <a:extLst>
                        <a:ext uri="{C183D7F6-B498-43B3-948B-1728B52AA6E4}">
                          <adec:decorative xmlns:adec="http://schemas.microsoft.com/office/drawing/2017/decorative" val="1"/>
                        </a:ext>
                      </a:extLst>
                    </pic:cNvPr>
                    <pic:cNvPicPr/>
                  </pic:nvPicPr>
                  <pic:blipFill>
                    <a:blip r:embed="rId101">
                      <a:extLst>
                        <a:ext uri="{96DAC541-7B7A-43D3-8B79-37D633B846F1}">
                          <asvg:svgBlip xmlns:asvg="http://schemas.microsoft.com/office/drawing/2016/SVG/main" r:embed="rId102"/>
                        </a:ext>
                      </a:extLst>
                    </a:blip>
                    <a:stretch>
                      <a:fillRect/>
                    </a:stretch>
                  </pic:blipFill>
                  <pic:spPr>
                    <a:xfrm>
                      <a:off x="0" y="0"/>
                      <a:ext cx="394240" cy="394240"/>
                    </a:xfrm>
                    <a:prstGeom prst="rect">
                      <a:avLst/>
                    </a:prstGeom>
                  </pic:spPr>
                </pic:pic>
              </a:graphicData>
            </a:graphic>
          </wp:inline>
        </w:drawing>
      </w:r>
      <w:r>
        <w:t xml:space="preserve"> </w:t>
      </w:r>
      <w:r w:rsidR="009C373F" w:rsidRPr="002A1A73">
        <w:t>Financial stress</w:t>
      </w:r>
    </w:p>
    <w:p w14:paraId="54AA93CA" w14:textId="43FAEFE9" w:rsidR="009C373F" w:rsidRPr="00474587" w:rsidRDefault="009C373F" w:rsidP="00474587">
      <w:r w:rsidRPr="00474587">
        <w:t xml:space="preserve">Financial hardship or insecurity can affect mental health and wellbeing through impacts on stress levels, relationships, reduced help-seeking and reliance on negative coping strategies. Financial stress can increase uncertainty about financial stability (including the ability to meet everyday expenses, maintain housing, manage debt, or </w:t>
      </w:r>
      <w:proofErr w:type="gramStart"/>
      <w:r w:rsidRPr="00474587">
        <w:t>plan for the future</w:t>
      </w:r>
      <w:proofErr w:type="gramEnd"/>
      <w:r w:rsidRPr="00474587">
        <w:t>). This can reduce feelings of security and control, and limit people’s capacity to meet basic needs and participate fully in community life. Population-level monitoring of financial stress can help identify emerging pressures and inequities that may increase vulnerability to psychological distress and mental health challenges.</w:t>
      </w:r>
    </w:p>
    <w:p w14:paraId="2EF486F9" w14:textId="136E7C05" w:rsidR="009C373F" w:rsidRPr="00474587" w:rsidRDefault="009C373F" w:rsidP="00474587">
      <w:r w:rsidRPr="00474587">
        <w:t xml:space="preserve">Most recent data suggest financial stress is yet to show signs of easing for people in Australia. In 2025, according to the Scanlon Mapping Social Cohesion Survey, 2 in 5 adults (40%) said they were either ‘just getting along’, ‘struggling to pay </w:t>
      </w:r>
      <w:proofErr w:type="gramStart"/>
      <w:r w:rsidRPr="00474587">
        <w:t>bills’</w:t>
      </w:r>
      <w:proofErr w:type="gramEnd"/>
      <w:r w:rsidRPr="00474587">
        <w:t xml:space="preserve"> or ‘poor’. This proportion is </w:t>
      </w:r>
      <w:proofErr w:type="gramStart"/>
      <w:r w:rsidRPr="00474587">
        <w:t>similar to</w:t>
      </w:r>
      <w:proofErr w:type="gramEnd"/>
      <w:r w:rsidRPr="00474587">
        <w:t xml:space="preserve"> findings from 2023 and 2024 (both 41%). Data from the General Social Survey indicated that in 2025:</w:t>
      </w:r>
    </w:p>
    <w:p w14:paraId="75EAC915" w14:textId="313212AC" w:rsidR="009C373F" w:rsidRPr="006D0DDC" w:rsidRDefault="009C373F" w:rsidP="009574AE">
      <w:pPr>
        <w:pStyle w:val="ListBullet"/>
        <w:rPr>
          <w:rFonts w:eastAsiaTheme="minorHAnsi"/>
        </w:rPr>
      </w:pPr>
      <w:r w:rsidRPr="009574AE">
        <w:rPr>
          <w:rFonts w:eastAsiaTheme="minorHAnsi"/>
          <w:b/>
          <w:bCs/>
        </w:rPr>
        <w:t>21.2% of people in Australia aged 15 years and over could not raise $2,000 within a week, a substantial increase from 2020 (</w:t>
      </w:r>
      <w:r w:rsidRPr="006D0DDC">
        <w:rPr>
          <w:rFonts w:eastAsiaTheme="minorHAnsi"/>
        </w:rPr>
        <w:t>18.8%) and 2014 (13.1%). </w:t>
      </w:r>
    </w:p>
    <w:p w14:paraId="4B312789" w14:textId="03E79657" w:rsidR="009C373F" w:rsidRDefault="009C373F" w:rsidP="009574AE">
      <w:pPr>
        <w:pStyle w:val="ListBullet"/>
      </w:pPr>
      <w:r>
        <w:t xml:space="preserve">People aged 15-34 and 35-54 years were more likely to be unable to raise $2,000 within a week (25.2% and 24.4%, respectively), compared with people aged 55 years and over (14.9%).  </w:t>
      </w:r>
    </w:p>
    <w:p w14:paraId="7EEDD1D4" w14:textId="6F6B775E" w:rsidR="00721000" w:rsidRDefault="009C373F" w:rsidP="00721000">
      <w:r>
        <w:rPr>
          <w:lang w:eastAsia="en-AU"/>
        </w:rPr>
        <w:t xml:space="preserve">A similar pattern is observed in the </w:t>
      </w:r>
      <w:r w:rsidRPr="00DC3605">
        <w:rPr>
          <w:iCs/>
          <w:lang w:eastAsia="en-AU"/>
        </w:rPr>
        <w:t>HILDA Survey</w:t>
      </w:r>
      <w:r>
        <w:rPr>
          <w:lang w:eastAsia="en-AU"/>
        </w:rPr>
        <w:t>, between 2011 and 2024, people aged 15-64 were more likely to experience financial stress compared with people aged 65 years and over.</w:t>
      </w:r>
    </w:p>
    <w:p w14:paraId="55E21BCB" w14:textId="2E2D4311" w:rsidR="009C373F" w:rsidRPr="002A1A73" w:rsidRDefault="001F216F" w:rsidP="004E5D44">
      <w:pPr>
        <w:pStyle w:val="GuidingQuestion"/>
      </w:pPr>
      <w:r>
        <w:rPr>
          <w:noProof/>
        </w:rPr>
        <w:drawing>
          <wp:inline distT="0" distB="0" distL="0" distR="0" wp14:anchorId="35D5C29F" wp14:editId="34670B26">
            <wp:extent cx="369632" cy="260916"/>
            <wp:effectExtent l="0" t="0" r="0" b="6350"/>
            <wp:docPr id="5487040"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040" name="Graphic 189">
                      <a:extLst>
                        <a:ext uri="{C183D7F6-B498-43B3-948B-1728B52AA6E4}">
                          <adec:decorative xmlns:adec="http://schemas.microsoft.com/office/drawing/2017/decorative" val="1"/>
                        </a:ext>
                      </a:extLst>
                    </pic:cNvPr>
                    <pic:cNvPicPr/>
                  </pic:nvPicPr>
                  <pic:blipFill>
                    <a:blip r:embed="rId109">
                      <a:extLst>
                        <a:ext uri="{96DAC541-7B7A-43D3-8B79-37D633B846F1}">
                          <asvg:svgBlip xmlns:asvg="http://schemas.microsoft.com/office/drawing/2016/SVG/main" r:embed="rId110"/>
                        </a:ext>
                      </a:extLst>
                    </a:blip>
                    <a:stretch>
                      <a:fillRect/>
                    </a:stretch>
                  </pic:blipFill>
                  <pic:spPr>
                    <a:xfrm>
                      <a:off x="0" y="0"/>
                      <a:ext cx="369632" cy="260916"/>
                    </a:xfrm>
                    <a:prstGeom prst="rect">
                      <a:avLst/>
                    </a:prstGeom>
                  </pic:spPr>
                </pic:pic>
              </a:graphicData>
            </a:graphic>
          </wp:inline>
        </w:drawing>
      </w:r>
      <w:r w:rsidR="00B51754">
        <w:t xml:space="preserve"> </w:t>
      </w:r>
      <w:r>
        <w:br/>
      </w:r>
      <w:r w:rsidR="009C373F" w:rsidRPr="00490823">
        <w:t xml:space="preserve">What are the experiences of people with mental </w:t>
      </w:r>
      <w:r w:rsidR="00F03293">
        <w:br/>
      </w:r>
      <w:r w:rsidR="009C373F" w:rsidRPr="00490823">
        <w:t xml:space="preserve">health challenges compared to the community? </w:t>
      </w:r>
    </w:p>
    <w:p w14:paraId="5E511ABA" w14:textId="04EFABF5" w:rsidR="009C373F" w:rsidRPr="009574AE" w:rsidRDefault="009C373F" w:rsidP="009574AE">
      <w:pPr>
        <w:pStyle w:val="ListBullet"/>
      </w:pPr>
      <w:r w:rsidRPr="009574AE">
        <w:t xml:space="preserve">According to the General Social Survey, in 2025, almost 1 in 3 people (31.6%) who have a mental health condition could not </w:t>
      </w:r>
      <w:r w:rsidRPr="00121F57">
        <w:t>raise</w:t>
      </w:r>
      <w:r w:rsidRPr="009574AE">
        <w:t xml:space="preserve"> $2,000 within a week. This is a significantly higher proportion compared with people who do not have a mental health condition (19.6%).</w:t>
      </w:r>
    </w:p>
    <w:p w14:paraId="687B458F" w14:textId="65297781" w:rsidR="009C373F" w:rsidRPr="009574AE" w:rsidRDefault="009C373F" w:rsidP="009574AE">
      <w:pPr>
        <w:pStyle w:val="ListBullet"/>
      </w:pPr>
      <w:r w:rsidRPr="009574AE">
        <w:t xml:space="preserve">These findings are </w:t>
      </w:r>
      <w:proofErr w:type="gramStart"/>
      <w:r w:rsidRPr="009574AE">
        <w:t>similar to</w:t>
      </w:r>
      <w:proofErr w:type="gramEnd"/>
      <w:r w:rsidRPr="009574AE">
        <w:t xml:space="preserve"> 2020 (29.9% compared with 17.1%, respectively) and 2014 (25.3% compared with 10.3%, respectively), indicating that financial stress has become a more common experience over</w:t>
      </w:r>
      <w:r w:rsidR="003D6A44">
        <w:t xml:space="preserve"> </w:t>
      </w:r>
      <w:r w:rsidRPr="009574AE">
        <w:t xml:space="preserve">time. </w:t>
      </w:r>
    </w:p>
    <w:p w14:paraId="5C285FAE" w14:textId="5CC35267" w:rsidR="009C373F" w:rsidRPr="009574AE" w:rsidRDefault="00CB6287" w:rsidP="009F46B4">
      <w:pPr>
        <w:pStyle w:val="Heading2"/>
      </w:pPr>
      <w:r>
        <w:rPr>
          <w:noProof/>
        </w:rPr>
        <w:drawing>
          <wp:inline distT="0" distB="0" distL="0" distR="0" wp14:anchorId="404959CC" wp14:editId="62D0B4C8">
            <wp:extent cx="387350" cy="387350"/>
            <wp:effectExtent l="0" t="0" r="6350" b="6350"/>
            <wp:docPr id="1640300549"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300549" name="Picture 100">
                      <a:extLst>
                        <a:ext uri="{C183D7F6-B498-43B3-948B-1728B52AA6E4}">
                          <adec:decorative xmlns:adec="http://schemas.microsoft.com/office/drawing/2017/decorative" val="1"/>
                        </a:ext>
                      </a:extLst>
                    </pic:cNvPr>
                    <pic:cNvPicPr/>
                  </pic:nvPicPr>
                  <pic:blipFill>
                    <a:blip r:embed="rId111">
                      <a:extLst>
                        <a:ext uri="{96DAC541-7B7A-43D3-8B79-37D633B846F1}">
                          <asvg:svgBlip xmlns:asvg="http://schemas.microsoft.com/office/drawing/2016/SVG/main" r:embed="rId112"/>
                        </a:ext>
                      </a:extLst>
                    </a:blip>
                    <a:stretch>
                      <a:fillRect/>
                    </a:stretch>
                  </pic:blipFill>
                  <pic:spPr>
                    <a:xfrm>
                      <a:off x="0" y="0"/>
                      <a:ext cx="389562" cy="389562"/>
                    </a:xfrm>
                    <a:prstGeom prst="rect">
                      <a:avLst/>
                    </a:prstGeom>
                  </pic:spPr>
                </pic:pic>
              </a:graphicData>
            </a:graphic>
          </wp:inline>
        </w:drawing>
      </w:r>
      <w:r>
        <w:t xml:space="preserve"> </w:t>
      </w:r>
      <w:r w:rsidR="002A7BBE">
        <w:t xml:space="preserve"> </w:t>
      </w:r>
      <w:r w:rsidR="009C373F" w:rsidRPr="009574AE">
        <w:t xml:space="preserve">Employment rate </w:t>
      </w:r>
    </w:p>
    <w:p w14:paraId="4D13736A" w14:textId="705F7364" w:rsidR="009C373F" w:rsidRPr="009574AE" w:rsidRDefault="009C373F" w:rsidP="009574AE">
      <w:r w:rsidRPr="00EA0EF9">
        <w:t>Meaningful, secure, inclusive and psychologically safe employment can support mental health and wellbeing through financial security, social connection, routine, purpose and participation in community life. However, employment alone does not guarantee positive outcomes; job quality, including safety, security, fair conditions and whether people feel valued and supported all play a critical role</w:t>
      </w:r>
      <w:r>
        <w:t>.</w:t>
      </w:r>
    </w:p>
    <w:p w14:paraId="690B778F" w14:textId="7FB01087" w:rsidR="009C373F" w:rsidRPr="00BA1489" w:rsidRDefault="009C373F" w:rsidP="00BA1489">
      <w:pPr>
        <w:rPr>
          <w:color w:val="000000"/>
        </w:rPr>
      </w:pPr>
      <w:r w:rsidRPr="00EA0EF9">
        <w:t xml:space="preserve">Poor quality, precarious or unsafe work can also negatively affect mental health and wellbeing through increased financial insecurity, job instability and </w:t>
      </w:r>
      <w:r>
        <w:t>a lack of</w:t>
      </w:r>
      <w:r w:rsidRPr="00EA0EF9">
        <w:t xml:space="preserve"> support in the workplace. These forms of work are also associated with higher levels of stress, reduced sense of control and exposure to psychosocial hazards, which can contribute to worsening mental health.</w:t>
      </w:r>
    </w:p>
    <w:p w14:paraId="4851C20D" w14:textId="4C3D2829" w:rsidR="009C373F" w:rsidRPr="004B6A58" w:rsidRDefault="003F02C1" w:rsidP="004E5D44">
      <w:pPr>
        <w:pStyle w:val="GuidingQuestion"/>
      </w:pPr>
      <w:r>
        <w:rPr>
          <w:noProof/>
        </w:rPr>
        <w:drawing>
          <wp:inline distT="0" distB="0" distL="0" distR="0" wp14:anchorId="4E0C4A39" wp14:editId="283EF4D6">
            <wp:extent cx="369632" cy="260916"/>
            <wp:effectExtent l="0" t="0" r="0" b="6350"/>
            <wp:docPr id="107517799"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7799" name="Graphic 189">
                      <a:extLst>
                        <a:ext uri="{C183D7F6-B498-43B3-948B-1728B52AA6E4}">
                          <adec:decorative xmlns:adec="http://schemas.microsoft.com/office/drawing/2017/decorative" val="1"/>
                        </a:ext>
                      </a:extLst>
                    </pic:cNvPr>
                    <pic:cNvPicPr/>
                  </pic:nvPicPr>
                  <pic:blipFill>
                    <a:blip r:embed="rId109">
                      <a:extLst>
                        <a:ext uri="{96DAC541-7B7A-43D3-8B79-37D633B846F1}">
                          <asvg:svgBlip xmlns:asvg="http://schemas.microsoft.com/office/drawing/2016/SVG/main" r:embed="rId110"/>
                        </a:ext>
                      </a:extLst>
                    </a:blip>
                    <a:stretch>
                      <a:fillRect/>
                    </a:stretch>
                  </pic:blipFill>
                  <pic:spPr>
                    <a:xfrm>
                      <a:off x="0" y="0"/>
                      <a:ext cx="369632" cy="260916"/>
                    </a:xfrm>
                    <a:prstGeom prst="rect">
                      <a:avLst/>
                    </a:prstGeom>
                  </pic:spPr>
                </pic:pic>
              </a:graphicData>
            </a:graphic>
          </wp:inline>
        </w:drawing>
      </w:r>
      <w:r>
        <w:br/>
      </w:r>
      <w:r w:rsidR="009C373F" w:rsidRPr="004B6A58">
        <w:t xml:space="preserve">What are the experiences of people with mental </w:t>
      </w:r>
      <w:r w:rsidRPr="004B6A58">
        <w:br/>
      </w:r>
      <w:r w:rsidR="009C373F" w:rsidRPr="004B6A58">
        <w:t xml:space="preserve">health challenges compared to the community? </w:t>
      </w:r>
    </w:p>
    <w:p w14:paraId="038E5ACC" w14:textId="05F19031" w:rsidR="009C373F" w:rsidRPr="009A4B86" w:rsidRDefault="009C373F" w:rsidP="009A4B86">
      <w:pPr>
        <w:pStyle w:val="NormalBeforeBullet"/>
        <w:rPr>
          <w:highlight w:val="yellow"/>
        </w:rPr>
      </w:pPr>
      <w:r w:rsidRPr="009A4B86">
        <w:t xml:space="preserve">As highlighted in previous Report Cards, there is a gap between the employment rate experienced by the general population and those experiencing mental health challenges, although this gap has been decreasing. Based on data from the National Health Survey 2022: </w:t>
      </w:r>
    </w:p>
    <w:p w14:paraId="073DF112" w14:textId="77777777" w:rsidR="009C373F" w:rsidRPr="007D239F" w:rsidRDefault="009C373F" w:rsidP="009574AE">
      <w:pPr>
        <w:pStyle w:val="ListBullet"/>
      </w:pPr>
      <w:r>
        <w:t>A</w:t>
      </w:r>
      <w:r w:rsidRPr="006D0DDC">
        <w:t xml:space="preserve">mong people in Australia aged 16-64 years with a mental or behavioural condition, the employment rate was 71.6% (compared with 82.8% for people without a mental or behavioural condition). </w:t>
      </w:r>
    </w:p>
    <w:p w14:paraId="6E55F26A" w14:textId="77777777" w:rsidR="009C373F" w:rsidRPr="007D239F" w:rsidRDefault="009C373F" w:rsidP="009574AE">
      <w:pPr>
        <w:pStyle w:val="ListBullet"/>
      </w:pPr>
      <w:r w:rsidRPr="007D239F">
        <w:t xml:space="preserve">This gap was also observed in 2014-15 and 2017-18; </w:t>
      </w:r>
      <w:r w:rsidRPr="007D239F">
        <w:rPr>
          <w:b/>
          <w:bCs/>
        </w:rPr>
        <w:t>however, it has reduced over time</w:t>
      </w:r>
      <w:r w:rsidRPr="007D239F">
        <w:t>.</w:t>
      </w:r>
    </w:p>
    <w:p w14:paraId="7241B328" w14:textId="77777777" w:rsidR="009C373F" w:rsidRPr="007D239F" w:rsidRDefault="009C373F" w:rsidP="009574AE">
      <w:pPr>
        <w:pStyle w:val="ListBullet"/>
      </w:pPr>
      <w:r w:rsidRPr="007D239F">
        <w:lastRenderedPageBreak/>
        <w:t xml:space="preserve">In 2022, almost 3 in 4 of people (74%) living in </w:t>
      </w:r>
      <w:r>
        <w:t>M</w:t>
      </w:r>
      <w:r w:rsidRPr="007D239F">
        <w:t>ajor cities with a mental health condition were employed, compared to 62.5% in 2014-15.</w:t>
      </w:r>
    </w:p>
    <w:p w14:paraId="5D82FFE3" w14:textId="77777777" w:rsidR="009C373F" w:rsidRPr="007D239F" w:rsidRDefault="009C373F" w:rsidP="009574AE">
      <w:pPr>
        <w:pStyle w:val="ListBullet"/>
      </w:pPr>
      <w:r w:rsidRPr="007D239F">
        <w:t xml:space="preserve">The increase was smaller for people in </w:t>
      </w:r>
      <w:r>
        <w:t>I</w:t>
      </w:r>
      <w:r w:rsidRPr="007D239F">
        <w:t xml:space="preserve">nner regional areas (57.6% to 64.7%) and people in </w:t>
      </w:r>
      <w:r>
        <w:t>O</w:t>
      </w:r>
      <w:r w:rsidRPr="007D239F">
        <w:t xml:space="preserve">uter regional and </w:t>
      </w:r>
      <w:r>
        <w:t>R</w:t>
      </w:r>
      <w:r w:rsidRPr="007D239F">
        <w:t>emote areas (61.4% to 67.2%).</w:t>
      </w:r>
    </w:p>
    <w:p w14:paraId="059F9923" w14:textId="0C5A2C02" w:rsidR="009C373F" w:rsidRPr="009574AE" w:rsidRDefault="00CB6287" w:rsidP="009F46B4">
      <w:pPr>
        <w:pStyle w:val="Heading2"/>
      </w:pPr>
      <w:r>
        <w:rPr>
          <w:noProof/>
        </w:rPr>
        <w:drawing>
          <wp:inline distT="0" distB="0" distL="0" distR="0" wp14:anchorId="3984CDFD" wp14:editId="0C6E7E19">
            <wp:extent cx="387752" cy="387752"/>
            <wp:effectExtent l="0" t="0" r="6350" b="6350"/>
            <wp:docPr id="433148018"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48018" name="Picture 100">
                      <a:extLst>
                        <a:ext uri="{C183D7F6-B498-43B3-948B-1728B52AA6E4}">
                          <adec:decorative xmlns:adec="http://schemas.microsoft.com/office/drawing/2017/decorative" val="1"/>
                        </a:ext>
                      </a:extLst>
                    </pic:cNvPr>
                    <pic:cNvPicPr/>
                  </pic:nvPicPr>
                  <pic:blipFill>
                    <a:blip r:embed="rId113">
                      <a:extLst>
                        <a:ext uri="{96DAC541-7B7A-43D3-8B79-37D633B846F1}">
                          <asvg:svgBlip xmlns:asvg="http://schemas.microsoft.com/office/drawing/2016/SVG/main" r:embed="rId114"/>
                        </a:ext>
                      </a:extLst>
                    </a:blip>
                    <a:stretch>
                      <a:fillRect/>
                    </a:stretch>
                  </pic:blipFill>
                  <pic:spPr>
                    <a:xfrm>
                      <a:off x="0" y="0"/>
                      <a:ext cx="395690" cy="395690"/>
                    </a:xfrm>
                    <a:prstGeom prst="rect">
                      <a:avLst/>
                    </a:prstGeom>
                  </pic:spPr>
                </pic:pic>
              </a:graphicData>
            </a:graphic>
          </wp:inline>
        </w:drawing>
      </w:r>
      <w:r>
        <w:t xml:space="preserve">  </w:t>
      </w:r>
      <w:r w:rsidR="009C373F" w:rsidRPr="009574AE">
        <w:t>Engagement in employment or study for young people</w:t>
      </w:r>
    </w:p>
    <w:p w14:paraId="56C275E2" w14:textId="77777777" w:rsidR="009C373F" w:rsidRPr="009574AE" w:rsidRDefault="009C373F" w:rsidP="009574AE">
      <w:pPr>
        <w:pStyle w:val="NormalBeforeBullet"/>
      </w:pPr>
      <w:r w:rsidRPr="009574AE">
        <w:t>Participation in education, training and employment can support young people’s mental health and wellbeing by fostering social connection, skill development, financial security, confidence, sense of purpose and hope for the future. Monitoring engagement can help identify barriers experienced by young people during key life transitions and inform early intervention and support strategies.</w:t>
      </w:r>
    </w:p>
    <w:p w14:paraId="7D313258" w14:textId="77777777" w:rsidR="009C373F" w:rsidRPr="008E635B" w:rsidRDefault="009C373F" w:rsidP="008E635B">
      <w:pPr>
        <w:pStyle w:val="NormalBeforeBullet"/>
      </w:pPr>
      <w:proofErr w:type="gramStart"/>
      <w:r w:rsidRPr="008E635B">
        <w:t>Similar to</w:t>
      </w:r>
      <w:proofErr w:type="gramEnd"/>
      <w:r w:rsidRPr="008E635B">
        <w:t xml:space="preserve"> the observed gap in employment rate, there is a similar but smaller gap in engagement in work or study among young adults, based on the available data from the National Health Survey:</w:t>
      </w:r>
    </w:p>
    <w:p w14:paraId="6365529A" w14:textId="77777777" w:rsidR="009C373F" w:rsidRPr="006D0DDC" w:rsidRDefault="009C373F" w:rsidP="009574AE">
      <w:pPr>
        <w:pStyle w:val="ListBullet"/>
      </w:pPr>
      <w:r w:rsidRPr="0066195F">
        <w:t>In 2022, among people aged 16-24 years, 89.2% of people with a mental or behavioural condition were employed or studying, compared to 96.4% of people without a mental or behavioural condition.</w:t>
      </w:r>
    </w:p>
    <w:p w14:paraId="55070E76" w14:textId="290390A9" w:rsidR="009C373F" w:rsidRPr="00BA1489" w:rsidRDefault="009C373F" w:rsidP="00BA1489">
      <w:r>
        <w:t>It is important to note that these measures only provide limited insight into work and study participation outcomes for people with mental health challenges, based on data that is not regularly updated. Given that p</w:t>
      </w:r>
      <w:r w:rsidRPr="00EA0EF9">
        <w:t>eople living with mental health challenges may also experience structural barriers to employment</w:t>
      </w:r>
      <w:r>
        <w:t xml:space="preserve"> and education</w:t>
      </w:r>
      <w:r w:rsidRPr="00EA0EF9">
        <w:t>, including stigma, discrimination, insecure work conditions and limited access to appropriate supports</w:t>
      </w:r>
      <w:r>
        <w:t xml:space="preserve">, continued monitoring of these areas is crucial. The Commission plans to strengthen understanding of mental health, work and education outcomes as part of its iteration of the Report Card Reporting Framework. </w:t>
      </w:r>
    </w:p>
    <w:p w14:paraId="0AC2B9FC" w14:textId="70DE248F" w:rsidR="009C373F" w:rsidRPr="00BA1489" w:rsidRDefault="00B53428" w:rsidP="00B53428">
      <w:pPr>
        <w:pStyle w:val="Heading2"/>
      </w:pPr>
      <w:r>
        <w:rPr>
          <w:noProof/>
        </w:rPr>
        <w:drawing>
          <wp:inline distT="0" distB="0" distL="0" distR="0" wp14:anchorId="7D603D85" wp14:editId="63F3DDCF">
            <wp:extent cx="387350" cy="387350"/>
            <wp:effectExtent l="0" t="0" r="6350" b="6350"/>
            <wp:docPr id="1522116927"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5296" name="Picture 100">
                      <a:extLst>
                        <a:ext uri="{C183D7F6-B498-43B3-948B-1728B52AA6E4}">
                          <adec:decorative xmlns:adec="http://schemas.microsoft.com/office/drawing/2017/decorative" val="1"/>
                        </a:ext>
                      </a:extLst>
                    </pic:cNvPr>
                    <pic:cNvPicPr/>
                  </pic:nvPicPr>
                  <pic:blipFill>
                    <a:blip r:embed="rId115">
                      <a:extLst>
                        <a:ext uri="{96DAC541-7B7A-43D3-8B79-37D633B846F1}">
                          <asvg:svgBlip xmlns:asvg="http://schemas.microsoft.com/office/drawing/2016/SVG/main" r:embed="rId116"/>
                        </a:ext>
                      </a:extLst>
                    </a:blip>
                    <a:stretch>
                      <a:fillRect/>
                    </a:stretch>
                  </pic:blipFill>
                  <pic:spPr>
                    <a:xfrm>
                      <a:off x="0" y="0"/>
                      <a:ext cx="392499" cy="392499"/>
                    </a:xfrm>
                    <a:prstGeom prst="rect">
                      <a:avLst/>
                    </a:prstGeom>
                  </pic:spPr>
                </pic:pic>
              </a:graphicData>
            </a:graphic>
          </wp:inline>
        </w:drawing>
      </w:r>
      <w:r w:rsidR="00CB6287">
        <w:t xml:space="preserve">  </w:t>
      </w:r>
      <w:r w:rsidR="00DF7D63" w:rsidRPr="0088783C">
        <w:rPr>
          <w:noProof/>
        </w:rPr>
        <mc:AlternateContent>
          <mc:Choice Requires="wps">
            <w:drawing>
              <wp:anchor distT="0" distB="0" distL="114300" distR="114300" simplePos="0" relativeHeight="251658274" behindDoc="1" locked="0" layoutInCell="1" allowOverlap="1" wp14:anchorId="2C4FDC6D" wp14:editId="6A3195A1">
                <wp:simplePos x="0" y="0"/>
                <wp:positionH relativeFrom="page">
                  <wp:posOffset>0</wp:posOffset>
                </wp:positionH>
                <wp:positionV relativeFrom="page">
                  <wp:posOffset>10380</wp:posOffset>
                </wp:positionV>
                <wp:extent cx="7560000" cy="153909"/>
                <wp:effectExtent l="0" t="0" r="0" b="0"/>
                <wp:wrapNone/>
                <wp:docPr id="1231545073" name="Rectangle 12315450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rgbClr val="26B8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FC1DCD8" id="Rectangle 1231545073" o:spid="_x0000_s1026" alt="&quot;&quot;" style="position:absolute;margin-left:0;margin-top:.8pt;width:595.3pt;height:12.1pt;z-index:-2516582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" fillcolor="#26b8ea" stroked="f" strokeweight="1pt">
                <w10:wrap anchorx="page" anchory="page"/>
              </v:rect>
            </w:pict>
          </mc:Fallback>
        </mc:AlternateContent>
      </w:r>
      <w:r w:rsidR="009C373F" w:rsidRPr="00B53428">
        <w:t>Prevalence of physical health conditions</w:t>
      </w:r>
    </w:p>
    <w:p w14:paraId="6B65A859" w14:textId="77777777" w:rsidR="009C373F" w:rsidRDefault="009C373F" w:rsidP="009574AE">
      <w:r w:rsidRPr="00EA0EF9">
        <w:t xml:space="preserve">Physical and mental health are closely interconnected and can influence each other in complex and bidirectional ways. People living with mental health challenges often experience inequities in physical health outcomes due to interacting factors </w:t>
      </w:r>
      <w:r>
        <w:t>such as</w:t>
      </w:r>
      <w:r w:rsidRPr="00EA0EF9">
        <w:t xml:space="preserve"> social disadvantage, stigma, fragmented systems of care and barriers to accessing timely, holistic and person-centred services. Strengthening integrated, coordinated care, reducing stigma and investing in prevention and early intervention are critical to improving overall health and wellbeing outcomes.</w:t>
      </w:r>
    </w:p>
    <w:p w14:paraId="35F85A30" w14:textId="152D6635" w:rsidR="009C373F" w:rsidRPr="004B6A58" w:rsidRDefault="00AC7182" w:rsidP="004E5D44">
      <w:pPr>
        <w:pStyle w:val="GuidingQuestion"/>
      </w:pPr>
      <w:r>
        <w:rPr>
          <w:noProof/>
        </w:rPr>
        <w:drawing>
          <wp:inline distT="0" distB="0" distL="0" distR="0" wp14:anchorId="738F10C7" wp14:editId="4201FE8D">
            <wp:extent cx="369632" cy="260916"/>
            <wp:effectExtent l="0" t="0" r="0" b="6350"/>
            <wp:docPr id="1531211690"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11690" name="Graphic 189">
                      <a:extLst>
                        <a:ext uri="{C183D7F6-B498-43B3-948B-1728B52AA6E4}">
                          <adec:decorative xmlns:adec="http://schemas.microsoft.com/office/drawing/2017/decorative" val="1"/>
                        </a:ext>
                      </a:extLst>
                    </pic:cNvPr>
                    <pic:cNvPicPr/>
                  </pic:nvPicPr>
                  <pic:blipFill>
                    <a:blip r:embed="rId109">
                      <a:extLst>
                        <a:ext uri="{96DAC541-7B7A-43D3-8B79-37D633B846F1}">
                          <asvg:svgBlip xmlns:asvg="http://schemas.microsoft.com/office/drawing/2016/SVG/main" r:embed="rId110"/>
                        </a:ext>
                      </a:extLst>
                    </a:blip>
                    <a:stretch>
                      <a:fillRect/>
                    </a:stretch>
                  </pic:blipFill>
                  <pic:spPr>
                    <a:xfrm>
                      <a:off x="0" y="0"/>
                      <a:ext cx="369632" cy="260916"/>
                    </a:xfrm>
                    <a:prstGeom prst="rect">
                      <a:avLst/>
                    </a:prstGeom>
                  </pic:spPr>
                </pic:pic>
              </a:graphicData>
            </a:graphic>
          </wp:inline>
        </w:drawing>
      </w:r>
      <w:r>
        <w:br/>
      </w:r>
      <w:r w:rsidR="009C373F" w:rsidRPr="004B6A58">
        <w:t xml:space="preserve">What are the experiences of people with mental </w:t>
      </w:r>
      <w:r w:rsidRPr="004B6A58">
        <w:br/>
      </w:r>
      <w:r w:rsidR="009C373F" w:rsidRPr="004B6A58">
        <w:t xml:space="preserve">health challenges compared to the community? </w:t>
      </w:r>
    </w:p>
    <w:p w14:paraId="13A8C705" w14:textId="77777777" w:rsidR="009C373F" w:rsidRDefault="009C373F" w:rsidP="009574AE">
      <w:pPr>
        <w:pStyle w:val="ListBullet"/>
      </w:pPr>
      <w:r>
        <w:t>Based on data from the 2020-2022 National Study of Mental Health and Wellbeing, there were</w:t>
      </w:r>
      <w:r w:rsidRPr="006D0DDC">
        <w:t xml:space="preserve"> 4.3 million people (21.5% of the population</w:t>
      </w:r>
      <w:r>
        <w:t xml:space="preserve"> at that time</w:t>
      </w:r>
      <w:r w:rsidRPr="006D0DDC">
        <w:t>) aged 16-85 years with a 12-month mental disorder</w:t>
      </w:r>
      <w:r>
        <w:t xml:space="preserve">. Of these, </w:t>
      </w:r>
      <w:r w:rsidRPr="006D0DDC">
        <w:t xml:space="preserve">1.7 million </w:t>
      </w:r>
      <w:r>
        <w:t xml:space="preserve">people </w:t>
      </w:r>
      <w:r w:rsidRPr="006D0DDC">
        <w:t xml:space="preserve">(8.4% of the population) also had a physical condition. </w:t>
      </w:r>
    </w:p>
    <w:p w14:paraId="4CE7CDA7" w14:textId="77777777" w:rsidR="009C373F" w:rsidRDefault="009C373F" w:rsidP="009574AE">
      <w:pPr>
        <w:pStyle w:val="ListBullet"/>
      </w:pPr>
      <w:r w:rsidRPr="006D0DDC">
        <w:t xml:space="preserve">The proportion of people with a mental disorder who experienced a long-term physical condition (39.3%) was </w:t>
      </w:r>
      <w:proofErr w:type="gramStart"/>
      <w:r w:rsidRPr="006D0DDC">
        <w:t>similar to</w:t>
      </w:r>
      <w:proofErr w:type="gramEnd"/>
      <w:r w:rsidRPr="006D0DDC">
        <w:t xml:space="preserve"> people without a mental disorder (37.5%). </w:t>
      </w:r>
    </w:p>
    <w:p w14:paraId="73C95A67" w14:textId="0E9C3EE3" w:rsidR="009C373F" w:rsidRPr="00611FFE" w:rsidRDefault="009C373F" w:rsidP="009574AE">
      <w:pPr>
        <w:pStyle w:val="ListBullet"/>
      </w:pPr>
      <w:r w:rsidRPr="006D0DDC">
        <w:t xml:space="preserve">Among those with a mental health disorder living in areas of most disadvantage (Quintile 1), close to half (48.5%) also had a physical health condition. In contrast, for those with a mental health disorder who were living in areas of least disadvantage (Quintile 5), around one-third (32.5%) of people also had a physical health condition.  </w:t>
      </w:r>
    </w:p>
    <w:p w14:paraId="0E9E205A" w14:textId="77777777" w:rsidR="009C373F" w:rsidRDefault="009C373F" w:rsidP="009574AE">
      <w:pPr>
        <w:rPr>
          <w:b/>
          <w:bCs/>
          <w:color w:val="008142" w:themeColor="accent5"/>
          <w:sz w:val="26"/>
          <w:szCs w:val="26"/>
        </w:rPr>
      </w:pPr>
      <w:r w:rsidRPr="006D0DDC">
        <w:t xml:space="preserve">Going forward, the Commission </w:t>
      </w:r>
      <w:r>
        <w:t xml:space="preserve">aims to build on current understanding of the relationship </w:t>
      </w:r>
      <w:r w:rsidRPr="00EA0EF9">
        <w:t>between physical and mental health care</w:t>
      </w:r>
      <w:r>
        <w:t xml:space="preserve"> in the Report Card, beyond population-based measures that are updated infrequently. Improved data in this space can improve understanding of physical and mental health to inform p</w:t>
      </w:r>
      <w:r w:rsidRPr="00EA0EF9">
        <w:t>erson-centred, holistic and coordinated care models</w:t>
      </w:r>
      <w:r>
        <w:t>.</w:t>
      </w:r>
    </w:p>
    <w:p w14:paraId="634BC4A1" w14:textId="44949B02" w:rsidR="009C373F" w:rsidRPr="00BA1489" w:rsidRDefault="00CB6287" w:rsidP="009F46B4">
      <w:pPr>
        <w:pStyle w:val="Heading2"/>
      </w:pPr>
      <w:r>
        <w:rPr>
          <w:noProof/>
        </w:rPr>
        <w:lastRenderedPageBreak/>
        <w:drawing>
          <wp:inline distT="0" distB="0" distL="0" distR="0" wp14:anchorId="3C5B5C69" wp14:editId="06900805">
            <wp:extent cx="387752" cy="387752"/>
            <wp:effectExtent l="0" t="0" r="6350" b="6350"/>
            <wp:docPr id="1539260203"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60203" name="Picture 100">
                      <a:extLst>
                        <a:ext uri="{C183D7F6-B498-43B3-948B-1728B52AA6E4}">
                          <adec:decorative xmlns:adec="http://schemas.microsoft.com/office/drawing/2017/decorative" val="1"/>
                        </a:ext>
                      </a:extLst>
                    </pic:cNvPr>
                    <pic:cNvPicPr/>
                  </pic:nvPicPr>
                  <pic:blipFill>
                    <a:blip r:embed="rId117">
                      <a:extLst>
                        <a:ext uri="{96DAC541-7B7A-43D3-8B79-37D633B846F1}">
                          <asvg:svgBlip xmlns:asvg="http://schemas.microsoft.com/office/drawing/2016/SVG/main" r:embed="rId118"/>
                        </a:ext>
                      </a:extLst>
                    </a:blip>
                    <a:stretch>
                      <a:fillRect/>
                    </a:stretch>
                  </pic:blipFill>
                  <pic:spPr>
                    <a:xfrm>
                      <a:off x="0" y="0"/>
                      <a:ext cx="395632" cy="395632"/>
                    </a:xfrm>
                    <a:prstGeom prst="rect">
                      <a:avLst/>
                    </a:prstGeom>
                  </pic:spPr>
                </pic:pic>
              </a:graphicData>
            </a:graphic>
          </wp:inline>
        </w:drawing>
      </w:r>
      <w:r>
        <w:t xml:space="preserve"> </w:t>
      </w:r>
      <w:r w:rsidR="009C373F" w:rsidRPr="00BA1489">
        <w:t>Alcohol consumption</w:t>
      </w:r>
    </w:p>
    <w:p w14:paraId="6CC34D92" w14:textId="59457BDE" w:rsidR="009C373F" w:rsidRPr="00657E09" w:rsidRDefault="009C373F" w:rsidP="009574AE">
      <w:r w:rsidRPr="00EA0EF9">
        <w:t xml:space="preserve">Monitoring alcohol consumption at a population level helps identify patterns that may affect mental health, wellbeing and broader health outcomes across the community. Alcohol use is </w:t>
      </w:r>
      <w:r>
        <w:t>shaped</w:t>
      </w:r>
      <w:r w:rsidRPr="00EA0EF9">
        <w:t xml:space="preserve"> by a range of factors including social norms, stress, trauma, financial pressures, availability and broader environmental conditions</w:t>
      </w:r>
      <w:r>
        <w:t>.</w:t>
      </w:r>
      <w:r w:rsidRPr="00EA0EF9">
        <w:t xml:space="preserve"> </w:t>
      </w:r>
      <w:r>
        <w:t>H</w:t>
      </w:r>
      <w:r w:rsidRPr="00EA0EF9">
        <w:t xml:space="preserve">armful consumption </w:t>
      </w:r>
      <w:r>
        <w:t>can</w:t>
      </w:r>
      <w:r w:rsidRPr="00EA0EF9">
        <w:t xml:space="preserve"> both contribute to and </w:t>
      </w:r>
      <w:r>
        <w:t>be influenced by</w:t>
      </w:r>
      <w:r w:rsidRPr="00EA0EF9">
        <w:t xml:space="preserve"> mental health challenges. </w:t>
      </w:r>
      <w:r>
        <w:t>Monitoring patterns in</w:t>
      </w:r>
      <w:r w:rsidRPr="00EA0EF9">
        <w:t xml:space="preserve"> population-level alcohol consumption </w:t>
      </w:r>
      <w:r>
        <w:t>helps build a clearer picture of</w:t>
      </w:r>
      <w:r w:rsidRPr="00EA0EF9">
        <w:t xml:space="preserve"> broader health and wellbeing impacts.</w:t>
      </w:r>
    </w:p>
    <w:p w14:paraId="44AF7E1E" w14:textId="140B7472" w:rsidR="00AC7182" w:rsidRPr="00EA0EF9" w:rsidRDefault="009C373F" w:rsidP="009574AE">
      <w:r w:rsidRPr="67596D41">
        <w:rPr>
          <w:rFonts w:eastAsiaTheme="minorEastAsia"/>
        </w:rPr>
        <w:t xml:space="preserve">As reported in Report Card 2024, based on latest available data from the National Drug Strategy Household Survey </w:t>
      </w:r>
      <w:r>
        <w:rPr>
          <w:rFonts w:eastAsiaTheme="minorEastAsia"/>
        </w:rPr>
        <w:t xml:space="preserve">(NDSHS) </w:t>
      </w:r>
      <w:r w:rsidRPr="67596D41">
        <w:rPr>
          <w:rFonts w:eastAsiaTheme="minorEastAsia"/>
        </w:rPr>
        <w:t>2022-23, about 30.7% of people in Australia aged 14 years and older exceeded the Australian Alcohol Guidelines</w:t>
      </w:r>
      <w:r>
        <w:rPr>
          <w:rFonts w:eastAsiaTheme="minorEastAsia"/>
        </w:rPr>
        <w:t>.</w:t>
      </w:r>
      <w:r w:rsidRPr="00374A5F">
        <w:rPr>
          <w:vertAlign w:val="superscript"/>
        </w:rPr>
        <w:footnoteReference w:id="16"/>
      </w:r>
      <w:r w:rsidRPr="00374A5F">
        <w:rPr>
          <w:vertAlign w:val="superscript"/>
        </w:rPr>
        <w:t xml:space="preserve"> </w:t>
      </w:r>
      <w:r w:rsidRPr="67596D41">
        <w:rPr>
          <w:rFonts w:eastAsiaTheme="minorEastAsia"/>
        </w:rPr>
        <w:t>This is a downwards trend compared to earlier years (from 33.2% in 2016 to 32.0% in 2019 and 30.7% in 2022-23).</w:t>
      </w:r>
    </w:p>
    <w:p w14:paraId="29A66D4F" w14:textId="167EEF4A" w:rsidR="009C373F" w:rsidRPr="00FC1CFE" w:rsidRDefault="00AC7182" w:rsidP="004E5D44">
      <w:pPr>
        <w:pStyle w:val="GuidingQuestion"/>
      </w:pPr>
      <w:r>
        <w:rPr>
          <w:noProof/>
        </w:rPr>
        <w:drawing>
          <wp:inline distT="0" distB="0" distL="0" distR="0" wp14:anchorId="77E01AC5" wp14:editId="6320E573">
            <wp:extent cx="369632" cy="260916"/>
            <wp:effectExtent l="0" t="0" r="0" b="6350"/>
            <wp:docPr id="1717511561"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511561" name="Graphic 189">
                      <a:extLst>
                        <a:ext uri="{C183D7F6-B498-43B3-948B-1728B52AA6E4}">
                          <adec:decorative xmlns:adec="http://schemas.microsoft.com/office/drawing/2017/decorative" val="1"/>
                        </a:ext>
                      </a:extLst>
                    </pic:cNvPr>
                    <pic:cNvPicPr/>
                  </pic:nvPicPr>
                  <pic:blipFill>
                    <a:blip r:embed="rId109">
                      <a:extLst>
                        <a:ext uri="{96DAC541-7B7A-43D3-8B79-37D633B846F1}">
                          <asvg:svgBlip xmlns:asvg="http://schemas.microsoft.com/office/drawing/2016/SVG/main" r:embed="rId110"/>
                        </a:ext>
                      </a:extLst>
                    </a:blip>
                    <a:stretch>
                      <a:fillRect/>
                    </a:stretch>
                  </pic:blipFill>
                  <pic:spPr>
                    <a:xfrm>
                      <a:off x="0" y="0"/>
                      <a:ext cx="369632" cy="260916"/>
                    </a:xfrm>
                    <a:prstGeom prst="rect">
                      <a:avLst/>
                    </a:prstGeom>
                  </pic:spPr>
                </pic:pic>
              </a:graphicData>
            </a:graphic>
          </wp:inline>
        </w:drawing>
      </w:r>
      <w:r>
        <w:br/>
      </w:r>
      <w:r w:rsidR="009C373F" w:rsidRPr="0015127E">
        <w:t xml:space="preserve">What are the experiences of people with mental </w:t>
      </w:r>
      <w:r>
        <w:br/>
      </w:r>
      <w:r w:rsidR="009C373F" w:rsidRPr="0015127E">
        <w:t xml:space="preserve">health challenges compared to the community? </w:t>
      </w:r>
    </w:p>
    <w:p w14:paraId="70BC47AA" w14:textId="77777777" w:rsidR="009C373F" w:rsidRPr="009574AE" w:rsidRDefault="009C373F" w:rsidP="009574AE">
      <w:pPr>
        <w:pStyle w:val="ListBullet"/>
      </w:pPr>
      <w:r w:rsidRPr="009574AE">
        <w:t xml:space="preserve">In 2022-23, about 36.9% of people diagnosed or treated for a mental illness aged 18 years and over exceeded the Australian Alcohol Guidelines. This was slightly higher than the proportion of people without a mental illness (31.6%). This gap has widened from 2% in 2010 to 5.3% in 2022-23. </w:t>
      </w:r>
    </w:p>
    <w:p w14:paraId="0216280B" w14:textId="77777777" w:rsidR="009C373F" w:rsidRPr="009574AE" w:rsidRDefault="009C373F" w:rsidP="009574AE">
      <w:pPr>
        <w:pStyle w:val="ListBullet"/>
      </w:pPr>
      <w:r w:rsidRPr="009574AE">
        <w:t>The 2022-23 NDSHS found that people aged 18 years and over experiencing high/very high levels of psychological distress were more likely to drink alcohol at risky levels (39.1%), compared with people aged 18 years and over experiencing low levels of psychological distress (30.3%).</w:t>
      </w:r>
    </w:p>
    <w:p w14:paraId="270AD509" w14:textId="77777777" w:rsidR="009C373F" w:rsidRDefault="009C373F" w:rsidP="009574AE">
      <w:r w:rsidRPr="00EA0EF9">
        <w:t xml:space="preserve">In this year’s Report Card, we supplement monitoring population-level alcohol consumption with latest available </w:t>
      </w:r>
      <w:r>
        <w:t xml:space="preserve">data about how </w:t>
      </w:r>
      <w:r w:rsidRPr="00E41095">
        <w:t xml:space="preserve">people in the community are seeking support from publicly funded treatment services. </w:t>
      </w:r>
    </w:p>
    <w:p w14:paraId="659B8619" w14:textId="77777777" w:rsidR="009C373F" w:rsidRDefault="009C373F" w:rsidP="009574AE">
      <w:pPr>
        <w:pStyle w:val="NormalBeforeBullet"/>
        <w:rPr>
          <w:rFonts w:eastAsiaTheme="minorEastAsia"/>
        </w:rPr>
      </w:pPr>
      <w:r>
        <w:rPr>
          <w:rFonts w:eastAsiaTheme="minorEastAsia"/>
        </w:rPr>
        <w:t xml:space="preserve">Based on latest available data from the </w:t>
      </w:r>
      <w:r w:rsidRPr="006D0DDC">
        <w:rPr>
          <w:rFonts w:eastAsiaTheme="minorEastAsia"/>
        </w:rPr>
        <w:t xml:space="preserve">Alcohol and </w:t>
      </w:r>
      <w:r>
        <w:rPr>
          <w:rFonts w:eastAsiaTheme="minorEastAsia"/>
        </w:rPr>
        <w:t>O</w:t>
      </w:r>
      <w:r w:rsidRPr="006D0DDC">
        <w:rPr>
          <w:rFonts w:eastAsiaTheme="minorEastAsia"/>
        </w:rPr>
        <w:t xml:space="preserve">ther </w:t>
      </w:r>
      <w:r>
        <w:rPr>
          <w:rFonts w:eastAsiaTheme="minorEastAsia"/>
        </w:rPr>
        <w:t>D</w:t>
      </w:r>
      <w:r w:rsidRPr="006D0DDC">
        <w:rPr>
          <w:rFonts w:eastAsiaTheme="minorEastAsia"/>
        </w:rPr>
        <w:t xml:space="preserve">rugs </w:t>
      </w:r>
      <w:r>
        <w:rPr>
          <w:rFonts w:eastAsiaTheme="minorEastAsia"/>
        </w:rPr>
        <w:t>T</w:t>
      </w:r>
      <w:r w:rsidRPr="006D0DDC">
        <w:rPr>
          <w:rFonts w:eastAsiaTheme="minorEastAsia"/>
        </w:rPr>
        <w:t xml:space="preserve">reatment </w:t>
      </w:r>
      <w:r>
        <w:rPr>
          <w:rFonts w:eastAsiaTheme="minorEastAsia"/>
        </w:rPr>
        <w:t>S</w:t>
      </w:r>
      <w:r w:rsidRPr="006D0DDC">
        <w:rPr>
          <w:rFonts w:eastAsiaTheme="minorEastAsia"/>
        </w:rPr>
        <w:t xml:space="preserve">ervices in Australia: </w:t>
      </w:r>
      <w:r>
        <w:rPr>
          <w:rFonts w:eastAsiaTheme="minorEastAsia"/>
        </w:rPr>
        <w:t>E</w:t>
      </w:r>
      <w:r w:rsidRPr="006D0DDC">
        <w:rPr>
          <w:rFonts w:eastAsiaTheme="minorEastAsia"/>
        </w:rPr>
        <w:t xml:space="preserve">arly </w:t>
      </w:r>
      <w:r>
        <w:rPr>
          <w:rFonts w:eastAsiaTheme="minorEastAsia"/>
        </w:rPr>
        <w:t>I</w:t>
      </w:r>
      <w:r w:rsidRPr="006D0DDC">
        <w:rPr>
          <w:rFonts w:eastAsiaTheme="minorEastAsia"/>
        </w:rPr>
        <w:t>nsights 2024-25 report</w:t>
      </w:r>
      <w:r>
        <w:rPr>
          <w:rFonts w:eastAsiaTheme="minorEastAsia"/>
        </w:rPr>
        <w:t>:</w:t>
      </w:r>
    </w:p>
    <w:p w14:paraId="1A745709" w14:textId="3D20A2AF" w:rsidR="009C373F" w:rsidRDefault="009C373F" w:rsidP="009574AE">
      <w:pPr>
        <w:pStyle w:val="ListBullet"/>
      </w:pPr>
      <w:r w:rsidRPr="006D0DDC">
        <w:rPr>
          <w:rFonts w:eastAsiaTheme="minorEastAsia"/>
        </w:rPr>
        <w:t>In 2024-25, alcohol made up 41% of all treatment episodes for which people received support from publicly funded treatment services. This makes alcohol the most common substance for which people sought treatment in the period.</w:t>
      </w:r>
    </w:p>
    <w:p w14:paraId="7C3BA199" w14:textId="6709579E" w:rsidR="009C373F" w:rsidRPr="006D0DDC" w:rsidRDefault="009C373F" w:rsidP="009574AE">
      <w:pPr>
        <w:pStyle w:val="ListBullet"/>
      </w:pPr>
      <w:r w:rsidRPr="67596D41">
        <w:rPr>
          <w:rFonts w:eastAsiaTheme="minorEastAsia"/>
        </w:rPr>
        <w:t>When looking over time from 2015-16 to 2024-25, alcohol continued to be the most common substance nationally that led people to receive treatment.</w:t>
      </w:r>
      <w:r w:rsidRPr="67596D41">
        <w:rPr>
          <w:rStyle w:val="EndnoteReference"/>
          <w:rFonts w:ascii="Aptos" w:eastAsiaTheme="minorEastAsia" w:hAnsi="Aptos"/>
          <w:sz w:val="22"/>
        </w:rPr>
        <w:endnoteReference w:id="119"/>
      </w:r>
    </w:p>
    <w:p w14:paraId="16B366AB" w14:textId="57B1CE34" w:rsidR="009C373F" w:rsidRDefault="00DF7D63" w:rsidP="009574AE">
      <w:pPr>
        <w:rPr>
          <w:b/>
          <w:bCs/>
          <w:color w:val="008142" w:themeColor="accent5"/>
          <w:sz w:val="26"/>
          <w:szCs w:val="26"/>
        </w:rPr>
      </w:pPr>
      <w:r>
        <w:rPr>
          <w:noProof/>
        </w:rPr>
        <mc:AlternateContent>
          <mc:Choice Requires="wps">
            <w:drawing>
              <wp:anchor distT="0" distB="0" distL="114300" distR="114300" simplePos="0" relativeHeight="251658275" behindDoc="1" locked="0" layoutInCell="1" allowOverlap="1" wp14:anchorId="796F0A5C" wp14:editId="001A91FB">
                <wp:simplePos x="0" y="0"/>
                <wp:positionH relativeFrom="page">
                  <wp:posOffset>0</wp:posOffset>
                </wp:positionH>
                <wp:positionV relativeFrom="page">
                  <wp:posOffset>9620</wp:posOffset>
                </wp:positionV>
                <wp:extent cx="7560000" cy="153909"/>
                <wp:effectExtent l="0" t="0" r="0" b="0"/>
                <wp:wrapNone/>
                <wp:docPr id="2055158839" name="Rectangle 20551588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rgbClr val="26B8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DB9879A" id="Rectangle 2055158839" o:spid="_x0000_s1026" alt="&quot;&quot;" style="position:absolute;margin-left:0;margin-top:.75pt;width:595.3pt;height:12.1pt;z-index:-2516582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" fillcolor="#26b8ea" stroked="f" strokeweight="1pt">
                <w10:wrap anchorx="page" anchory="page"/>
              </v:rect>
            </w:pict>
          </mc:Fallback>
        </mc:AlternateContent>
      </w:r>
      <w:r w:rsidR="009C373F" w:rsidRPr="00EA0EF9">
        <w:t xml:space="preserve">While population monitoring indicates a steady downward trend in the proportion of people who consumed alcohol at risky levels, monitoring the extent to which alcohol is the focus of publicly funded treatment services provides us with further insights about alcohol consumption in the community and the need for services. Furthermore, while numbers of treatment episodes provide insight into the services that people received, they don’t tell us about the extent to which people need treatment services but did not access or experienced a barrier to access. </w:t>
      </w:r>
    </w:p>
    <w:p w14:paraId="47C2E96F" w14:textId="77777777" w:rsidR="00E37DE0" w:rsidRDefault="00E37DE0">
      <w:pPr>
        <w:suppressAutoHyphens w:val="0"/>
        <w:autoSpaceDE/>
        <w:autoSpaceDN/>
        <w:adjustRightInd/>
        <w:spacing w:after="0" w:line="240" w:lineRule="auto"/>
        <w:textAlignment w:val="auto"/>
        <w:rPr>
          <w:rFonts w:eastAsiaTheme="majorEastAsia" w:cstheme="majorBidi"/>
          <w:color w:val="171717" w:themeColor="background2" w:themeShade="1A"/>
          <w:sz w:val="24"/>
          <w:szCs w:val="26"/>
          <w:lang w:eastAsia="en-AU"/>
        </w:rPr>
      </w:pPr>
      <w:r>
        <w:br w:type="page"/>
      </w:r>
    </w:p>
    <w:p w14:paraId="7B7659CD" w14:textId="5A951116" w:rsidR="009C373F" w:rsidRPr="00FC1CFE" w:rsidRDefault="00CB6287" w:rsidP="009F46B4">
      <w:pPr>
        <w:pStyle w:val="Heading2"/>
      </w:pPr>
      <w:r>
        <w:rPr>
          <w:noProof/>
        </w:rPr>
        <w:lastRenderedPageBreak/>
        <w:drawing>
          <wp:inline distT="0" distB="0" distL="0" distR="0" wp14:anchorId="4584F90F" wp14:editId="3AD06460">
            <wp:extent cx="387752" cy="387752"/>
            <wp:effectExtent l="0" t="0" r="6350" b="6350"/>
            <wp:docPr id="2016397004"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97004" name="Picture 100">
                      <a:extLst>
                        <a:ext uri="{C183D7F6-B498-43B3-948B-1728B52AA6E4}">
                          <adec:decorative xmlns:adec="http://schemas.microsoft.com/office/drawing/2017/decorative" val="1"/>
                        </a:ext>
                      </a:extLst>
                    </pic:cNvPr>
                    <pic:cNvPicPr/>
                  </pic:nvPicPr>
                  <pic:blipFill>
                    <a:blip r:embed="rId97">
                      <a:extLst>
                        <a:ext uri="{96DAC541-7B7A-43D3-8B79-37D633B846F1}">
                          <asvg:svgBlip xmlns:asvg="http://schemas.microsoft.com/office/drawing/2016/SVG/main" r:embed="rId98"/>
                        </a:ext>
                      </a:extLst>
                    </a:blip>
                    <a:stretch>
                      <a:fillRect/>
                    </a:stretch>
                  </pic:blipFill>
                  <pic:spPr>
                    <a:xfrm>
                      <a:off x="0" y="0"/>
                      <a:ext cx="394822" cy="394822"/>
                    </a:xfrm>
                    <a:prstGeom prst="rect">
                      <a:avLst/>
                    </a:prstGeom>
                  </pic:spPr>
                </pic:pic>
              </a:graphicData>
            </a:graphic>
          </wp:inline>
        </w:drawing>
      </w:r>
      <w:r w:rsidR="002A7BBE">
        <w:t xml:space="preserve"> </w:t>
      </w:r>
      <w:r w:rsidR="009C373F" w:rsidRPr="00FC1CFE">
        <w:t>Feeling lonely</w:t>
      </w:r>
    </w:p>
    <w:p w14:paraId="066009B5" w14:textId="77777777" w:rsidR="009C373F" w:rsidRPr="00EA0EF9" w:rsidRDefault="009C373F" w:rsidP="009574AE">
      <w:r w:rsidRPr="00EA0EF9">
        <w:t>Loneliness and social isolation are influenced by a range of factors including poor health, marginalisation, low income or education, living alone, limited work or community infrastructure</w:t>
      </w:r>
      <w:r>
        <w:t xml:space="preserve"> and</w:t>
      </w:r>
      <w:r w:rsidRPr="00EA0EF9">
        <w:t xml:space="preserve"> major life changes</w:t>
      </w:r>
      <w:r>
        <w:t xml:space="preserve">. </w:t>
      </w:r>
      <w:r w:rsidRPr="00EA0EF9">
        <w:t>Social connection and belonging are important protective factors for mental health and wellbeing, yet loneliness can occur even when social contact exists, particularly when relationships lack safety, inclusion or meaning.</w:t>
      </w:r>
    </w:p>
    <w:p w14:paraId="2D611E60" w14:textId="3B8F06D1" w:rsidR="009C373F" w:rsidRPr="00EA0EF9" w:rsidRDefault="009C373F" w:rsidP="009574AE">
      <w:r w:rsidRPr="00EA0EF9">
        <w:t>Monitoring loneliness at a population level helps identify how social, economic, cultural, digital and environmental conditions may affect people’s ability to maintain relationship</w:t>
      </w:r>
      <w:r>
        <w:t>s</w:t>
      </w:r>
      <w:r w:rsidRPr="00EA0EF9">
        <w:t xml:space="preserve">, participate in community life and feel connected to others, and highlights opportunities to strengthen inclusion and wellbeing. </w:t>
      </w:r>
    </w:p>
    <w:p w14:paraId="01D71681" w14:textId="40FA50E7" w:rsidR="009C373F" w:rsidRDefault="009C373F" w:rsidP="009574AE">
      <w:r w:rsidRPr="00EA0EF9">
        <w:t xml:space="preserve">For the total population, the estimated proportion of people aged 15 and over experiencing loneliness remained relatively steady between 2011 (15.3%) and 2024 (15.4%). There was an increase in 2021 (16.6%) before declining </w:t>
      </w:r>
      <w:r>
        <w:t xml:space="preserve">to 15.4% over </w:t>
      </w:r>
      <w:r w:rsidRPr="00EA0EF9">
        <w:t xml:space="preserve">subsequent years. </w:t>
      </w:r>
    </w:p>
    <w:p w14:paraId="33870D3C" w14:textId="77777777" w:rsidR="009C373F" w:rsidRPr="007575CA" w:rsidRDefault="009C373F" w:rsidP="009574AE">
      <w:pPr>
        <w:pStyle w:val="NormalBeforeBullet"/>
        <w:rPr>
          <w:rFonts w:eastAsiaTheme="minorEastAsia"/>
        </w:rPr>
      </w:pPr>
      <w:r w:rsidRPr="007575CA">
        <w:rPr>
          <w:rFonts w:eastAsiaTheme="minorEastAsia"/>
        </w:rPr>
        <w:t>However, loneliness is experienced differently across population groups:</w:t>
      </w:r>
    </w:p>
    <w:p w14:paraId="5F137D61" w14:textId="77777777" w:rsidR="009C373F" w:rsidRPr="009574AE" w:rsidRDefault="009C373F" w:rsidP="009574AE">
      <w:pPr>
        <w:pStyle w:val="ListBullet"/>
      </w:pPr>
      <w:r w:rsidRPr="009574AE">
        <w:t xml:space="preserve">Across almost all years between 2011 and 2024, the proportion of women experiencing loneliness has been slightly higher than that for men. </w:t>
      </w:r>
    </w:p>
    <w:p w14:paraId="09BDE721" w14:textId="77777777" w:rsidR="009C373F" w:rsidRPr="009574AE" w:rsidRDefault="009C373F" w:rsidP="009574AE">
      <w:pPr>
        <w:pStyle w:val="ListBullet"/>
      </w:pPr>
      <w:r w:rsidRPr="009574AE">
        <w:t>For most years between 2011 and 2024, people aged 15–34 were the least likely to report loneliness. An exception to this was during the emergency phase of the COVID-19 pandemic when the proportion of people aged 15-34 reporting loneliness increased from 13.7% in 2019 to above 16% between 2021 and 2022. During these years, the proportions of people aged 65 and over reporting loneliness were lower than those aged 15–34. From 2021 to 2024, people aged 35-64 were most likely to report loneliness.</w:t>
      </w:r>
    </w:p>
    <w:p w14:paraId="55589E40" w14:textId="7C7C55EA" w:rsidR="009C373F" w:rsidRPr="009574AE" w:rsidRDefault="009C373F" w:rsidP="009574AE">
      <w:pPr>
        <w:pStyle w:val="ListBullet"/>
      </w:pPr>
      <w:r w:rsidRPr="009574AE">
        <w:t>In 2024, people living in areas classed as the most disadvantaged according to the SEIFA Index of Relative Socio-economic Advantage and Disadvantage (IRSAD) were more than twice as likely to report loneliness as those living in areas classed as the most advantaged (23.2% in Quintile 1 compared with 10.6% in Quintile 5). Between 2011 and 2024, the data show that the more disadvantaged a Quintile, the higher the proportion of people who reported experiencing loneliness. Whilst Quintiles 2 to 5 showed little to no overall change in the proportion reporting loneliness between 2011 and 2024, Quintile 1 (most disadvantaged) saw an increase from 19.6% to 23.2%.</w:t>
      </w:r>
    </w:p>
    <w:p w14:paraId="43BBDF1B" w14:textId="58A275A9" w:rsidR="009C373F" w:rsidRPr="009574AE" w:rsidRDefault="009C373F" w:rsidP="009574AE">
      <w:pPr>
        <w:pStyle w:val="ListBullet"/>
      </w:pPr>
      <w:r w:rsidRPr="009574AE">
        <w:t xml:space="preserve">In 2024, Outer Regional and Remote areas had the highest proportion of people reporting loneliness (17.4%), followed by Inner regional areas (16.9%) and Major cities (14.8%). </w:t>
      </w:r>
    </w:p>
    <w:p w14:paraId="196AF131" w14:textId="23BD6F75" w:rsidR="009C373F" w:rsidRPr="00F25AFE" w:rsidRDefault="002A1633" w:rsidP="004E5D44">
      <w:pPr>
        <w:pStyle w:val="GuidingQuestion"/>
        <w:rPr>
          <w:sz w:val="22"/>
        </w:rPr>
      </w:pPr>
      <w:r>
        <w:rPr>
          <w:noProof/>
        </w:rPr>
        <w:drawing>
          <wp:inline distT="0" distB="0" distL="0" distR="0" wp14:anchorId="0A01A428" wp14:editId="7E99734E">
            <wp:extent cx="369632" cy="260916"/>
            <wp:effectExtent l="0" t="0" r="0" b="6350"/>
            <wp:docPr id="87721995"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1995" name="Graphic 189">
                      <a:extLst>
                        <a:ext uri="{C183D7F6-B498-43B3-948B-1728B52AA6E4}">
                          <adec:decorative xmlns:adec="http://schemas.microsoft.com/office/drawing/2017/decorative" val="1"/>
                        </a:ext>
                      </a:extLst>
                    </pic:cNvPr>
                    <pic:cNvPicPr/>
                  </pic:nvPicPr>
                  <pic:blipFill>
                    <a:blip r:embed="rId109">
                      <a:extLst>
                        <a:ext uri="{96DAC541-7B7A-43D3-8B79-37D633B846F1}">
                          <asvg:svgBlip xmlns:asvg="http://schemas.microsoft.com/office/drawing/2016/SVG/main" r:embed="rId110"/>
                        </a:ext>
                      </a:extLst>
                    </a:blip>
                    <a:stretch>
                      <a:fillRect/>
                    </a:stretch>
                  </pic:blipFill>
                  <pic:spPr>
                    <a:xfrm>
                      <a:off x="0" y="0"/>
                      <a:ext cx="369632" cy="260916"/>
                    </a:xfrm>
                    <a:prstGeom prst="rect">
                      <a:avLst/>
                    </a:prstGeom>
                  </pic:spPr>
                </pic:pic>
              </a:graphicData>
            </a:graphic>
          </wp:inline>
        </w:drawing>
      </w:r>
      <w:r>
        <w:rPr>
          <w:lang w:val="en-AU"/>
        </w:rPr>
        <w:br/>
      </w:r>
      <w:r w:rsidR="009C373F" w:rsidRPr="00F25AFE">
        <w:rPr>
          <w:lang w:val="en-AU"/>
        </w:rPr>
        <w:t xml:space="preserve">What are the experiences of people with mental health </w:t>
      </w:r>
      <w:r>
        <w:rPr>
          <w:lang w:val="en-AU"/>
        </w:rPr>
        <w:br/>
      </w:r>
      <w:r w:rsidR="009C373F" w:rsidRPr="00F25AFE">
        <w:rPr>
          <w:lang w:val="en-AU"/>
        </w:rPr>
        <w:t xml:space="preserve">challenges compared to the community? </w:t>
      </w:r>
    </w:p>
    <w:p w14:paraId="36B3AB3C" w14:textId="356995A6" w:rsidR="009C373F" w:rsidRDefault="009C373F" w:rsidP="00BA1489">
      <w:pPr>
        <w:pStyle w:val="ListBullet"/>
      </w:pPr>
      <w:r w:rsidRPr="00EA0EF9">
        <w:t>In 2024, people who had a long-term mental health condition were almost 3 times as likely to report loneliness</w:t>
      </w:r>
      <w:r>
        <w:t xml:space="preserve"> as </w:t>
      </w:r>
      <w:r w:rsidRPr="00EA0EF9">
        <w:t xml:space="preserve">those without a long-term health condition (35.0% compared with 12.2%). </w:t>
      </w:r>
    </w:p>
    <w:p w14:paraId="25BCECBF" w14:textId="77777777" w:rsidR="009C373F" w:rsidRDefault="009C373F" w:rsidP="00BA1489">
      <w:pPr>
        <w:pStyle w:val="ListBullet"/>
      </w:pPr>
      <w:r w:rsidRPr="00EA0EF9">
        <w:t>Those diagnosed with other long-term</w:t>
      </w:r>
      <w:r>
        <w:t xml:space="preserve"> </w:t>
      </w:r>
      <w:r w:rsidRPr="00EA0EF9">
        <w:t xml:space="preserve">health conditions, disabilities, or impairments were also more likely to report loneliness (20.1%) compared with people without any long-term health condition. </w:t>
      </w:r>
    </w:p>
    <w:p w14:paraId="5BD32DF5" w14:textId="34F2FFCB" w:rsidR="009C373F" w:rsidRPr="00611FFE" w:rsidRDefault="009C373F" w:rsidP="00BA1489">
      <w:pPr>
        <w:pStyle w:val="ListBullet"/>
      </w:pPr>
      <w:r w:rsidRPr="00EA0EF9">
        <w:t>These patterns were consistent from 2011 to 2024, with statistically significant differences observed between all groups. In 2021, during the emergency phase of the COVID-19 pandemic, there was a spike in the proportion of people with a long-term mental health condition who reported loneliness</w:t>
      </w:r>
      <w:r>
        <w:t>. Th</w:t>
      </w:r>
      <w:r w:rsidRPr="00EA0EF9">
        <w:t xml:space="preserve">e proportion </w:t>
      </w:r>
      <w:r>
        <w:t>rose</w:t>
      </w:r>
      <w:r w:rsidRPr="00EA0EF9">
        <w:t xml:space="preserve"> from 32.9% in 2020 to 40.8% in 2021, before returning to around 34% in 2022.</w:t>
      </w:r>
    </w:p>
    <w:p w14:paraId="44588F9A" w14:textId="77777777" w:rsidR="001E522F" w:rsidRDefault="001E522F">
      <w:pPr>
        <w:suppressAutoHyphens w:val="0"/>
        <w:autoSpaceDE/>
        <w:autoSpaceDN/>
        <w:adjustRightInd/>
        <w:spacing w:after="0" w:line="240" w:lineRule="auto"/>
        <w:textAlignment w:val="auto"/>
        <w:rPr>
          <w:rFonts w:eastAsiaTheme="majorEastAsia" w:cstheme="majorBidi"/>
          <w:color w:val="171717" w:themeColor="background2" w:themeShade="1A"/>
          <w:sz w:val="24"/>
          <w:szCs w:val="26"/>
          <w:lang w:eastAsia="en-AU"/>
        </w:rPr>
      </w:pPr>
      <w:r>
        <w:br w:type="page"/>
      </w:r>
    </w:p>
    <w:p w14:paraId="6C8D0A04" w14:textId="2B01438C" w:rsidR="009C373F" w:rsidRPr="00DB6646" w:rsidRDefault="00DB6646" w:rsidP="00DB6646">
      <w:pPr>
        <w:pStyle w:val="Heading2"/>
      </w:pPr>
      <w:r>
        <w:rPr>
          <w:noProof/>
        </w:rPr>
        <w:lastRenderedPageBreak/>
        <w:drawing>
          <wp:inline distT="0" distB="0" distL="0" distR="0" wp14:anchorId="4DC55AEB" wp14:editId="076DC3A1">
            <wp:extent cx="387752" cy="387752"/>
            <wp:effectExtent l="0" t="0" r="6350" b="6350"/>
            <wp:docPr id="184707044"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90564" name="Picture 100">
                      <a:extLst>
                        <a:ext uri="{C183D7F6-B498-43B3-948B-1728B52AA6E4}">
                          <adec:decorative xmlns:adec="http://schemas.microsoft.com/office/drawing/2017/decorative" val="1"/>
                        </a:ext>
                      </a:extLst>
                    </pic:cNvPr>
                    <pic:cNvPicPr/>
                  </pic:nvPicPr>
                  <pic:blipFill>
                    <a:blip r:embed="rId119">
                      <a:extLst>
                        <a:ext uri="{96DAC541-7B7A-43D3-8B79-37D633B846F1}">
                          <asvg:svgBlip xmlns:asvg="http://schemas.microsoft.com/office/drawing/2016/SVG/main" r:embed="rId120"/>
                        </a:ext>
                      </a:extLst>
                    </a:blip>
                    <a:stretch>
                      <a:fillRect/>
                    </a:stretch>
                  </pic:blipFill>
                  <pic:spPr>
                    <a:xfrm>
                      <a:off x="0" y="0"/>
                      <a:ext cx="395950" cy="395950"/>
                    </a:xfrm>
                    <a:prstGeom prst="rect">
                      <a:avLst/>
                    </a:prstGeom>
                  </pic:spPr>
                </pic:pic>
              </a:graphicData>
            </a:graphic>
          </wp:inline>
        </w:drawing>
      </w:r>
      <w:r w:rsidR="00762B44" w:rsidRPr="00DB6646">
        <w:t xml:space="preserve"> </w:t>
      </w:r>
      <w:r w:rsidR="009C373F" w:rsidRPr="00DB6646">
        <w:t xml:space="preserve">Experiences of discrimination </w:t>
      </w:r>
    </w:p>
    <w:p w14:paraId="79C63210" w14:textId="2674809A" w:rsidR="009C373F" w:rsidRPr="00657E09" w:rsidRDefault="009C373F" w:rsidP="00BA1489">
      <w:pPr>
        <w:rPr>
          <w:lang w:val="en-AU" w:eastAsia="en-AU"/>
        </w:rPr>
      </w:pPr>
      <w:r w:rsidRPr="00657E09">
        <w:rPr>
          <w:lang w:val="en-AU" w:eastAsia="en-AU"/>
        </w:rPr>
        <w:t>Stigma and discrimination are significant drivers of mental health inequities. They can arise through individual attitudes, interpersonal behaviours and structural barriers, affecting wellbeing and limiting help-seeking, safety, trust in systems, and participation in employment, education, housing and community life.</w:t>
      </w:r>
    </w:p>
    <w:p w14:paraId="73AA59B8" w14:textId="75228FCB" w:rsidR="009C373F" w:rsidRPr="00BA1489" w:rsidRDefault="009C373F" w:rsidP="00BA1489">
      <w:r w:rsidRPr="00EA0EF9">
        <w:t xml:space="preserve">Experiences of discrimination may be cumulative and intersectional, reflecting overlapping forms of disadvantage. Monitoring discrimination helps identify inequities, track change over time, identify emerging issues, measure impact and support efforts to promote social inclusion, social cohesion, </w:t>
      </w:r>
      <w:r>
        <w:t xml:space="preserve">and </w:t>
      </w:r>
      <w:r w:rsidRPr="00EA0EF9">
        <w:t>strengthen trust in services</w:t>
      </w:r>
      <w:r>
        <w:t>. This is needed to</w:t>
      </w:r>
      <w:r w:rsidRPr="00EA0EF9">
        <w:t xml:space="preserve"> improve systems, policies and community attitudes. </w:t>
      </w:r>
    </w:p>
    <w:p w14:paraId="6940D5B0" w14:textId="77777777" w:rsidR="009C373F" w:rsidRPr="00FC1CFE" w:rsidRDefault="009C373F" w:rsidP="00FC1CFE">
      <w:pPr>
        <w:pStyle w:val="NormalBeforeBullet"/>
      </w:pPr>
      <w:r w:rsidRPr="00FC1CFE">
        <w:t>Data from the most recent General Social Survey found that in 2025:</w:t>
      </w:r>
    </w:p>
    <w:p w14:paraId="7752A5B7" w14:textId="77777777" w:rsidR="009C373F" w:rsidRPr="00FC1CFE" w:rsidRDefault="009C373F" w:rsidP="00FC1CFE">
      <w:pPr>
        <w:pStyle w:val="ListBullet"/>
      </w:pPr>
      <w:r w:rsidRPr="00FC1CFE">
        <w:t xml:space="preserve">18.3% of people in Australia aged 15 years and over experienced some form of discrimination in the previous 12 months. While this is an increase from 2020 (13.3%), it is </w:t>
      </w:r>
      <w:proofErr w:type="gramStart"/>
      <w:r w:rsidRPr="00FC1CFE">
        <w:t>similar to</w:t>
      </w:r>
      <w:proofErr w:type="gramEnd"/>
      <w:r w:rsidRPr="00FC1CFE">
        <w:t xml:space="preserve"> 2019 (17.4%).</w:t>
      </w:r>
    </w:p>
    <w:p w14:paraId="38AC4316" w14:textId="3217F638" w:rsidR="009C373F" w:rsidRPr="00FC1CFE" w:rsidRDefault="009C373F" w:rsidP="00FC1CFE">
      <w:pPr>
        <w:pStyle w:val="ListBullet"/>
        <w:rPr>
          <w:rStyle w:val="eop"/>
        </w:rPr>
      </w:pPr>
      <w:r w:rsidRPr="00FC1CFE">
        <w:rPr>
          <w:rStyle w:val="eop"/>
        </w:rPr>
        <w:t xml:space="preserve">Of people who had experienced discrimination, more than half (51.9%) of people experienced some form of discrimination at work, school or university. </w:t>
      </w:r>
    </w:p>
    <w:p w14:paraId="43966228" w14:textId="2CD14BD8" w:rsidR="009C373F" w:rsidRPr="00FC1CFE" w:rsidRDefault="009C373F" w:rsidP="00FC1CFE">
      <w:pPr>
        <w:pStyle w:val="ListBullet"/>
        <w:rPr>
          <w:rStyle w:val="eop"/>
        </w:rPr>
      </w:pPr>
      <w:r w:rsidRPr="00FC1CFE">
        <w:rPr>
          <w:rStyle w:val="eop"/>
        </w:rPr>
        <w:t>45.5% of people reported their most recent incident of discrimination was because of their ethnic/ cultural background or appearance, followed by gender (30.8%), and age (26.6%)</w:t>
      </w:r>
      <w:r w:rsidR="00471A25">
        <w:rPr>
          <w:rStyle w:val="eop"/>
        </w:rPr>
        <w:t>.</w:t>
      </w:r>
    </w:p>
    <w:p w14:paraId="7B407716" w14:textId="6A892255" w:rsidR="009C373F" w:rsidRPr="00F25AFE" w:rsidRDefault="002A1633" w:rsidP="004E5D44">
      <w:pPr>
        <w:pStyle w:val="GuidingQuestion"/>
      </w:pPr>
      <w:r>
        <w:rPr>
          <w:noProof/>
        </w:rPr>
        <w:drawing>
          <wp:inline distT="0" distB="0" distL="0" distR="0" wp14:anchorId="0EA2616F" wp14:editId="1105D6B3">
            <wp:extent cx="369632" cy="260916"/>
            <wp:effectExtent l="0" t="0" r="0" b="6350"/>
            <wp:docPr id="1733695069"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95069" name="Graphic 189">
                      <a:extLst>
                        <a:ext uri="{C183D7F6-B498-43B3-948B-1728B52AA6E4}">
                          <adec:decorative xmlns:adec="http://schemas.microsoft.com/office/drawing/2017/decorative" val="1"/>
                        </a:ext>
                      </a:extLst>
                    </pic:cNvPr>
                    <pic:cNvPicPr/>
                  </pic:nvPicPr>
                  <pic:blipFill>
                    <a:blip r:embed="rId109">
                      <a:extLst>
                        <a:ext uri="{96DAC541-7B7A-43D3-8B79-37D633B846F1}">
                          <asvg:svgBlip xmlns:asvg="http://schemas.microsoft.com/office/drawing/2016/SVG/main" r:embed="rId110"/>
                        </a:ext>
                      </a:extLst>
                    </a:blip>
                    <a:stretch>
                      <a:fillRect/>
                    </a:stretch>
                  </pic:blipFill>
                  <pic:spPr>
                    <a:xfrm>
                      <a:off x="0" y="0"/>
                      <a:ext cx="369632" cy="260916"/>
                    </a:xfrm>
                    <a:prstGeom prst="rect">
                      <a:avLst/>
                    </a:prstGeom>
                  </pic:spPr>
                </pic:pic>
              </a:graphicData>
            </a:graphic>
          </wp:inline>
        </w:drawing>
      </w:r>
      <w:r>
        <w:br/>
      </w:r>
      <w:r w:rsidR="009C373F" w:rsidRPr="00F25AFE">
        <w:t xml:space="preserve">What are the experiences of people with mental health </w:t>
      </w:r>
      <w:r>
        <w:br/>
      </w:r>
      <w:r w:rsidR="009C373F" w:rsidRPr="00F25AFE">
        <w:t xml:space="preserve">challenges compared to the community? </w:t>
      </w:r>
    </w:p>
    <w:p w14:paraId="73259009" w14:textId="46B132C0" w:rsidR="009C373F" w:rsidRPr="00EA0EF9" w:rsidRDefault="009C373F" w:rsidP="00BA1489">
      <w:r w:rsidRPr="00EA0EF9">
        <w:t xml:space="preserve">In 2025, according to the </w:t>
      </w:r>
      <w:r w:rsidRPr="00496F99">
        <w:rPr>
          <w:iCs/>
        </w:rPr>
        <w:t>General Social Survey</w:t>
      </w:r>
      <w:r>
        <w:t xml:space="preserve">, people who have a mental health condition were almost twice as likely to experience some form of discrimination or be treated unfairly as people who do not have a mental health condition (31.2% compared with 16.3%, respectively). </w:t>
      </w:r>
    </w:p>
    <w:p w14:paraId="03138BA8" w14:textId="77777777" w:rsidR="009C373F" w:rsidRDefault="009C373F" w:rsidP="00BA1489">
      <w:r>
        <w:t xml:space="preserve">In 2025, among people who have a mental health condition and had experienced some form of discrimination: </w:t>
      </w:r>
    </w:p>
    <w:p w14:paraId="1FE14C2E" w14:textId="58207455" w:rsidR="009C373F" w:rsidRPr="00FC1CFE" w:rsidRDefault="009C373F" w:rsidP="00FC1CFE">
      <w:pPr>
        <w:pStyle w:val="ListBullet"/>
      </w:pPr>
      <w:r w:rsidRPr="00FC1CFE">
        <w:t xml:space="preserve">More than 1 in 3 (34.5%) felt that their disability or health issue was the reasons for their most recent of discrimination (compared with 6.4% of people who do not have a mental health condition). </w:t>
      </w:r>
    </w:p>
    <w:p w14:paraId="00B3C792" w14:textId="77777777" w:rsidR="00482B79" w:rsidRDefault="009C373F" w:rsidP="00482B79">
      <w:pPr>
        <w:pStyle w:val="ListBullet"/>
      </w:pPr>
      <w:r w:rsidRPr="00FC1CFE">
        <w:t xml:space="preserve">The most common place people with a mental health condition experienced discrimination </w:t>
      </w:r>
      <w:proofErr w:type="gramStart"/>
      <w:r w:rsidRPr="00FC1CFE">
        <w:t>was</w:t>
      </w:r>
      <w:proofErr w:type="gramEnd"/>
      <w:r w:rsidRPr="00FC1CFE">
        <w:t xml:space="preserve"> at school, work or university (#50.8%)</w:t>
      </w:r>
      <w:r w:rsidRPr="004E5D44">
        <w:rPr>
          <w:vertAlign w:val="superscript"/>
        </w:rPr>
        <w:footnoteReference w:id="17"/>
      </w:r>
      <w:r w:rsidRPr="00FC1CFE">
        <w:t>, followed by in public (49.2%), and dealing with justice, government or health care (40.7%).</w:t>
      </w:r>
    </w:p>
    <w:p w14:paraId="06D4EBBA" w14:textId="5683148D" w:rsidR="00482B79" w:rsidRDefault="00482B79" w:rsidP="00482B79">
      <w:r w:rsidRPr="4BC3B51F">
        <w:t xml:space="preserve">As recent data indicates, there are no signs that experiences of discrimination are declining at a population level, nor for people with a mental health condition. Stigma towards mental health challenges can lead to discrimination; however, until recently there was a lack of national data </w:t>
      </w:r>
      <w:r>
        <w:t>to support our understanding of this issue.</w:t>
      </w:r>
    </w:p>
    <w:p w14:paraId="46B71C13" w14:textId="5D1D5A69" w:rsidR="009F4E38" w:rsidRDefault="009F4E38">
      <w:pPr>
        <w:suppressAutoHyphens w:val="0"/>
        <w:autoSpaceDE/>
        <w:autoSpaceDN/>
        <w:adjustRightInd/>
        <w:spacing w:after="0" w:line="240" w:lineRule="auto"/>
        <w:textAlignment w:val="auto"/>
        <w:rPr>
          <w:rStyle w:val="normaltextrun"/>
          <w:rFonts w:eastAsiaTheme="majorEastAsia" w:cstheme="majorBidi"/>
          <w:b/>
          <w:color w:val="171717" w:themeColor="background2" w:themeShade="1A"/>
          <w:szCs w:val="24"/>
        </w:rPr>
      </w:pPr>
      <w:r>
        <w:rPr>
          <w:rStyle w:val="normaltextrun"/>
        </w:rPr>
        <w:br w:type="page"/>
      </w:r>
    </w:p>
    <w:p w14:paraId="0DADAF90" w14:textId="2CD513F2" w:rsidR="00482B79" w:rsidRPr="009F4E38" w:rsidRDefault="004E5D44" w:rsidP="009F46B4">
      <w:pPr>
        <w:pStyle w:val="Heading2"/>
        <w:rPr>
          <w:b/>
          <w:szCs w:val="24"/>
        </w:rPr>
      </w:pPr>
      <w:r w:rsidRPr="007A1964">
        <w:rPr>
          <w:rStyle w:val="FollowedHyperlink"/>
          <w:noProof/>
        </w:rPr>
        <w:lastRenderedPageBreak/>
        <mc:AlternateContent>
          <mc:Choice Requires="wps">
            <w:drawing>
              <wp:anchor distT="0" distB="0" distL="114300" distR="114300" simplePos="0" relativeHeight="251658264" behindDoc="1" locked="0" layoutInCell="1" allowOverlap="1" wp14:anchorId="4D92F0AB" wp14:editId="41A7EF7F">
                <wp:simplePos x="0" y="0"/>
                <wp:positionH relativeFrom="page">
                  <wp:posOffset>726440</wp:posOffset>
                </wp:positionH>
                <wp:positionV relativeFrom="page">
                  <wp:posOffset>5044781</wp:posOffset>
                </wp:positionV>
                <wp:extent cx="6147435" cy="3979545"/>
                <wp:effectExtent l="0" t="0" r="12065" b="8255"/>
                <wp:wrapNone/>
                <wp:docPr id="2017493651" name="Rectangle 20174936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3979545"/>
                        </a:xfrm>
                        <a:prstGeom prst="rect">
                          <a:avLst/>
                        </a:prstGeom>
                        <a:solidFill>
                          <a:srgbClr val="F9F9E5">
                            <a:alpha val="50196"/>
                          </a:srgbClr>
                        </a:solidFill>
                        <a:ln w="12700">
                          <a:solidFill>
                            <a:srgbClr val="26B9E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FD1C91A" id="Rectangle 2017493651" o:spid="_x0000_s1026" alt="&quot;&quot;" style="position:absolute;margin-left:57.2pt;margin-top:397.25pt;width:484.05pt;height:313.35pt;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" fillcolor="#f9f9e5" strokecolor="#26b9ea" strokeweight="1pt">
                <v:fill opacity="32896f"/>
                <w10:wrap anchorx="page" anchory="page"/>
              </v:rect>
            </w:pict>
          </mc:Fallback>
        </mc:AlternateContent>
      </w:r>
      <w:r w:rsidR="00474D4B">
        <w:rPr>
          <w:noProof/>
        </w:rPr>
        <w:drawing>
          <wp:anchor distT="0" distB="720090" distL="114300" distR="114300" simplePos="0" relativeHeight="251658352" behindDoc="0" locked="0" layoutInCell="1" allowOverlap="1" wp14:anchorId="663390B4" wp14:editId="056AEC7B">
            <wp:simplePos x="0" y="0"/>
            <wp:positionH relativeFrom="margin">
              <wp:posOffset>-1449070</wp:posOffset>
            </wp:positionH>
            <wp:positionV relativeFrom="margin">
              <wp:posOffset>-796290</wp:posOffset>
            </wp:positionV>
            <wp:extent cx="9319895" cy="4131945"/>
            <wp:effectExtent l="0" t="0" r="1905" b="0"/>
            <wp:wrapSquare wrapText="bothSides"/>
            <wp:docPr id="2083336781" name="Picture 60" descr="Photograph of two people sitting on a bench facing a calm body of water with wooden posts and a buoy visible in the distance. The person on the right has their arm around the other, suggesting a moment of comfort or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336781" name="Picture 60" descr="Photograph of two people sitting on a bench facing a calm body of water with wooden posts and a buoy visible in the distance. The person on the right has their arm around the other, suggesting a moment of comfort or connection."/>
                    <pic:cNvPicPr/>
                  </pic:nvPicPr>
                  <pic:blipFill rotWithShape="1">
                    <a:blip r:embed="rId121" cstate="email">
                      <a:extLst>
                        <a:ext uri="{28A0092B-C50C-407E-A947-70E740481C1C}">
                          <a14:useLocalDpi xmlns:a14="http://schemas.microsoft.com/office/drawing/2010/main"/>
                        </a:ext>
                      </a:extLst>
                    </a:blip>
                    <a:srcRect l="-2790"/>
                    <a:stretch>
                      <a:fillRect/>
                    </a:stretch>
                  </pic:blipFill>
                  <pic:spPr bwMode="auto">
                    <a:xfrm>
                      <a:off x="0" y="0"/>
                      <a:ext cx="9319895" cy="4131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7D63">
        <w:rPr>
          <w:noProof/>
        </w:rPr>
        <mc:AlternateContent>
          <mc:Choice Requires="wps">
            <w:drawing>
              <wp:anchor distT="0" distB="0" distL="114300" distR="114300" simplePos="0" relativeHeight="251658277" behindDoc="1" locked="0" layoutInCell="1" allowOverlap="1" wp14:anchorId="7D80F032" wp14:editId="6A990248">
                <wp:simplePos x="0" y="0"/>
                <wp:positionH relativeFrom="page">
                  <wp:posOffset>-75</wp:posOffset>
                </wp:positionH>
                <wp:positionV relativeFrom="page">
                  <wp:posOffset>9996</wp:posOffset>
                </wp:positionV>
                <wp:extent cx="7560000" cy="153909"/>
                <wp:effectExtent l="0" t="0" r="0" b="0"/>
                <wp:wrapNone/>
                <wp:docPr id="1162930879" name="Rectangle 11629308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rgbClr val="26B8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7B308B3" id="Rectangle 1162930879" o:spid="_x0000_s1026" alt="&quot;&quot;" style="position:absolute;margin-left:0;margin-top:.8pt;width:595.3pt;height:12.1pt;z-index:-2516582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" fillcolor="#26b8ea" stroked="f" strokeweight="1pt">
                <w10:wrap anchorx="page" anchory="page"/>
              </v:rect>
            </w:pict>
          </mc:Fallback>
        </mc:AlternateContent>
      </w:r>
      <w:r w:rsidR="00482B79" w:rsidRPr="000D1C5F">
        <w:rPr>
          <w:rStyle w:val="normaltextrun"/>
        </w:rPr>
        <w:t>Box 5 - 2026 National Stigma and Discrimination Report Card</w:t>
      </w:r>
      <w:r w:rsidR="00482B79" w:rsidRPr="000D1C5F">
        <w:t xml:space="preserve"> </w:t>
      </w:r>
    </w:p>
    <w:p w14:paraId="5B34F10A" w14:textId="36A9502A" w:rsidR="00482B79" w:rsidRPr="00770342" w:rsidRDefault="00482B79" w:rsidP="00482B79">
      <w:pPr>
        <w:rPr>
          <w:lang w:val="en-AU"/>
        </w:rPr>
      </w:pPr>
      <w:r w:rsidRPr="00770342">
        <w:rPr>
          <w:lang w:val="en-AU"/>
        </w:rPr>
        <w:t>The Commission considers </w:t>
      </w:r>
      <w:r>
        <w:rPr>
          <w:lang w:val="en-AU"/>
        </w:rPr>
        <w:t xml:space="preserve">reducing </w:t>
      </w:r>
      <w:r w:rsidRPr="00770342">
        <w:rPr>
          <w:lang w:val="en-AU"/>
        </w:rPr>
        <w:t>stigma</w:t>
      </w:r>
      <w:r>
        <w:rPr>
          <w:lang w:val="en-AU"/>
        </w:rPr>
        <w:t xml:space="preserve"> and discrimination</w:t>
      </w:r>
      <w:r w:rsidRPr="00770342">
        <w:rPr>
          <w:lang w:val="en-AU"/>
        </w:rPr>
        <w:t xml:space="preserve"> to be a shared priority for governments, service providers, employers, and the community. Consistent monitoring of stigma and discrimination, </w:t>
      </w:r>
      <w:r>
        <w:rPr>
          <w:lang w:val="en-AU"/>
        </w:rPr>
        <w:t>based on</w:t>
      </w:r>
      <w:r w:rsidRPr="00770342">
        <w:rPr>
          <w:lang w:val="en-AU"/>
        </w:rPr>
        <w:t xml:space="preserve"> </w:t>
      </w:r>
      <w:proofErr w:type="gramStart"/>
      <w:r w:rsidRPr="00770342">
        <w:rPr>
          <w:lang w:val="en-AU"/>
        </w:rPr>
        <w:t>high quality</w:t>
      </w:r>
      <w:proofErr w:type="gramEnd"/>
      <w:r w:rsidRPr="00770342">
        <w:rPr>
          <w:lang w:val="en-AU"/>
        </w:rPr>
        <w:t xml:space="preserve"> evidence, matters.</w:t>
      </w:r>
      <w:r>
        <w:rPr>
          <w:lang w:val="en-AU"/>
        </w:rPr>
        <w:t xml:space="preserve"> </w:t>
      </w:r>
    </w:p>
    <w:p w14:paraId="191002A6" w14:textId="4DDCB621" w:rsidR="00482B79" w:rsidRPr="00BA1489" w:rsidRDefault="00482B79" w:rsidP="00482B79">
      <w:r w:rsidRPr="00BA1489">
        <w:t>To </w:t>
      </w:r>
      <w:proofErr w:type="gramStart"/>
      <w:r w:rsidRPr="00BA1489">
        <w:t>take action</w:t>
      </w:r>
      <w:proofErr w:type="gramEnd"/>
      <w:r w:rsidRPr="00BA1489">
        <w:t>, the Commission has partnered with </w:t>
      </w:r>
      <w:hyperlink r:id="rId122" w:tgtFrame="_blank" w:history="1">
        <w:r w:rsidRPr="00BA1489">
          <w:rPr>
            <w:rStyle w:val="Hyperlink"/>
          </w:rPr>
          <w:t>SANE Australia to develop the Commission’s first National Stigma and Discrimination Report Card</w:t>
        </w:r>
      </w:hyperlink>
      <w:r w:rsidRPr="00BA1489">
        <w:t xml:space="preserve">. The 2026 National Stigma and Discrimination Report Card </w:t>
      </w:r>
      <w:proofErr w:type="gramStart"/>
      <w:r w:rsidRPr="00BA1489">
        <w:t>includes</w:t>
      </w:r>
      <w:proofErr w:type="gramEnd"/>
      <w:r w:rsidRPr="00BA1489">
        <w:t xml:space="preserve"> nationally representative data about people’s experiences with stigma and discrimination in the mental health system, as well as in everyday life. Key findings include:</w:t>
      </w:r>
    </w:p>
    <w:p w14:paraId="16425101" w14:textId="646FB7A4" w:rsidR="00482B79" w:rsidRPr="00BA1489" w:rsidRDefault="00482B79" w:rsidP="00482B79">
      <w:pPr>
        <w:pStyle w:val="ListBullet"/>
      </w:pPr>
      <w:r w:rsidRPr="006E4CA8">
        <w:t>70% of people with mental health challenges had experienced discrimination in at least one area of life.</w:t>
      </w:r>
    </w:p>
    <w:p w14:paraId="092A5DC5" w14:textId="027F53E9" w:rsidR="00482B79" w:rsidRPr="00BA1489" w:rsidRDefault="00482B79" w:rsidP="00482B79">
      <w:pPr>
        <w:pStyle w:val="ListBullet"/>
      </w:pPr>
      <w:r>
        <w:t>The greatest burden of discrimination for people with mental health challenges was seen in finding or keeping a job, in dating and forming intimate relationships, and when accessing housing.</w:t>
      </w:r>
    </w:p>
    <w:p w14:paraId="395C1034" w14:textId="46DB908A" w:rsidR="00482B79" w:rsidRDefault="00482B79" w:rsidP="00482B79">
      <w:pPr>
        <w:pStyle w:val="ListBullet"/>
      </w:pPr>
      <w:r>
        <w:t xml:space="preserve">Overall, 81% of people reported positive experiences, including respectful, understanding and supportive responses to their mental health challenges. </w:t>
      </w:r>
    </w:p>
    <w:p w14:paraId="1BE6793A" w14:textId="0B0932AB" w:rsidR="00482B79" w:rsidRPr="00FD3746" w:rsidRDefault="00482B79" w:rsidP="00482B79">
      <w:pPr>
        <w:rPr>
          <w:lang w:val="en-AU"/>
        </w:rPr>
      </w:pPr>
      <w:r w:rsidRPr="00FD3746">
        <w:rPr>
          <w:lang w:val="en-AU"/>
        </w:rPr>
        <w:t>The 2026 National Stigma and Discrimination Report Card project directly addresses key findings from the </w:t>
      </w:r>
      <w:hyperlink r:id="rId123" w:tgtFrame="_blank" w:history="1">
        <w:r w:rsidRPr="00BA1489">
          <w:rPr>
            <w:rStyle w:val="Hyperlink"/>
          </w:rPr>
          <w:t>Productivity Commission’s National Mental Health and Suicide Prevention Agreement review</w:t>
        </w:r>
      </w:hyperlink>
      <w:r w:rsidRPr="00BA1489">
        <w:rPr>
          <w:rStyle w:val="Hyperlink"/>
        </w:rPr>
        <w:t>,</w:t>
      </w:r>
      <w:r w:rsidRPr="00FD3746">
        <w:rPr>
          <w:lang w:val="en-AU"/>
        </w:rPr>
        <w:t xml:space="preserve"> which identified stigma as an ongoing national challenge and addresses a key data gap we called out in our National Report Card 2024. Going forward, </w:t>
      </w:r>
      <w:r w:rsidRPr="00FD3746">
        <w:t xml:space="preserve">a second National Stigma and Discrimination Report Card </w:t>
      </w:r>
      <w:proofErr w:type="gramStart"/>
      <w:r w:rsidRPr="00FD3746">
        <w:t>is</w:t>
      </w:r>
      <w:proofErr w:type="gramEnd"/>
      <w:r w:rsidRPr="00FD3746">
        <w:t xml:space="preserve"> scheduled to be published in 2028, from which we can monitor experiences over time.</w:t>
      </w:r>
    </w:p>
    <w:p w14:paraId="73C573D8" w14:textId="3F9A1885" w:rsidR="00482B79" w:rsidRPr="000D1C5F" w:rsidRDefault="00482B79" w:rsidP="00482B79">
      <w:r w:rsidRPr="000D1C5F">
        <w:t xml:space="preserve">For further information on the scale and impact of mental health stigma and discrimination in Australia, please see the </w:t>
      </w:r>
      <w:hyperlink r:id="rId124" w:history="1">
        <w:r w:rsidRPr="000D1C5F">
          <w:rPr>
            <w:rStyle w:val="Hyperlink"/>
          </w:rPr>
          <w:t>2026 National Stigma and Discrimination Report Card</w:t>
        </w:r>
      </w:hyperlink>
      <w:r w:rsidRPr="000D1C5F">
        <w:t>.</w:t>
      </w:r>
    </w:p>
    <w:p w14:paraId="00FD0B78" w14:textId="66E8B886" w:rsidR="00482B79" w:rsidRDefault="00482B79" w:rsidP="00482B79">
      <w:pPr>
        <w:pStyle w:val="ListBullet"/>
        <w:numPr>
          <w:ilvl w:val="0"/>
          <w:numId w:val="0"/>
        </w:numPr>
        <w:rPr>
          <w:rFonts w:ascii="Aptos" w:hAnsi="Aptos"/>
          <w:sz w:val="22"/>
        </w:rPr>
      </w:pPr>
    </w:p>
    <w:p w14:paraId="46588510" w14:textId="6E663F00" w:rsidR="009C373F" w:rsidRDefault="009C373F" w:rsidP="009C373F">
      <w:pPr>
        <w:suppressAutoHyphens w:val="0"/>
        <w:autoSpaceDE/>
        <w:autoSpaceDN/>
        <w:adjustRightInd/>
        <w:spacing w:after="0" w:line="240" w:lineRule="auto"/>
        <w:textAlignment w:val="auto"/>
        <w:rPr>
          <w:rFonts w:ascii="Aptos" w:hAnsi="Aptos"/>
          <w:sz w:val="22"/>
        </w:rPr>
      </w:pPr>
      <w:r>
        <w:rPr>
          <w:rFonts w:ascii="Aptos" w:hAnsi="Aptos"/>
          <w:sz w:val="22"/>
        </w:rPr>
        <w:br w:type="page"/>
      </w:r>
    </w:p>
    <w:p w14:paraId="72988378" w14:textId="6801042A" w:rsidR="00F232EA" w:rsidRPr="00C00D1D" w:rsidRDefault="00F55FA2" w:rsidP="00C00D1D">
      <w:pPr>
        <w:pStyle w:val="Heading1"/>
        <w:rPr>
          <w:color w:val="FFFFFF" w:themeColor="background1"/>
          <w:lang w:val="en-AU"/>
        </w:rPr>
      </w:pPr>
      <w:bookmarkStart w:id="30" w:name="_Toc237878288"/>
      <w:r w:rsidRPr="00C00D1D">
        <w:rPr>
          <w:noProof/>
          <w:color w:val="FFFFFF" w:themeColor="background1"/>
        </w:rPr>
        <w:lastRenderedPageBreak/>
        <w:drawing>
          <wp:anchor distT="0" distB="0" distL="114300" distR="114300" simplePos="0" relativeHeight="251658334" behindDoc="0" locked="0" layoutInCell="1" allowOverlap="1" wp14:anchorId="1C53EA93" wp14:editId="353FF876">
            <wp:simplePos x="0" y="0"/>
            <wp:positionH relativeFrom="margin">
              <wp:posOffset>-901065</wp:posOffset>
            </wp:positionH>
            <wp:positionV relativeFrom="margin">
              <wp:posOffset>-963047</wp:posOffset>
            </wp:positionV>
            <wp:extent cx="7558405" cy="3057525"/>
            <wp:effectExtent l="0" t="0" r="0" b="3175"/>
            <wp:wrapSquare wrapText="bothSides"/>
            <wp:docPr id="1156072515" name="Picture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72515" name="Picture 92">
                      <a:extLst>
                        <a:ext uri="{C183D7F6-B498-43B3-948B-1728B52AA6E4}">
                          <adec:decorative xmlns:adec="http://schemas.microsoft.com/office/drawing/2017/decorative" val="1"/>
                        </a:ext>
                      </a:extLst>
                    </pic:cNvPr>
                    <pic:cNvPicPr/>
                  </pic:nvPicPr>
                  <pic:blipFill>
                    <a:blip r:embed="rId125" cstate="email">
                      <a:extLst>
                        <a:ext uri="{28A0092B-C50C-407E-A947-70E740481C1C}">
                          <a14:useLocalDpi xmlns:a14="http://schemas.microsoft.com/office/drawing/2010/main"/>
                        </a:ext>
                      </a:extLst>
                    </a:blip>
                    <a:stretch>
                      <a:fillRect/>
                    </a:stretch>
                  </pic:blipFill>
                  <pic:spPr>
                    <a:xfrm>
                      <a:off x="0" y="0"/>
                      <a:ext cx="7558405" cy="3057525"/>
                    </a:xfrm>
                    <a:prstGeom prst="rect">
                      <a:avLst/>
                    </a:prstGeom>
                  </pic:spPr>
                </pic:pic>
              </a:graphicData>
            </a:graphic>
            <wp14:sizeRelH relativeFrom="page">
              <wp14:pctWidth>0</wp14:pctWidth>
            </wp14:sizeRelH>
            <wp14:sizeRelV relativeFrom="page">
              <wp14:pctHeight>0</wp14:pctHeight>
            </wp14:sizeRelV>
          </wp:anchor>
        </w:drawing>
      </w:r>
      <w:r w:rsidR="00C00D1D" w:rsidRPr="00C00D1D">
        <w:rPr>
          <w:color w:val="FFFFFF" w:themeColor="background1"/>
          <w:lang w:val="en-AU"/>
        </w:rPr>
        <w:t>Domain 3 Mental Health System</w:t>
      </w:r>
      <w:bookmarkEnd w:id="30"/>
    </w:p>
    <w:p w14:paraId="43BC1730" w14:textId="2C3D0ADA" w:rsidR="009C373F" w:rsidRPr="00F232EA" w:rsidRDefault="003544BA" w:rsidP="00F232EA">
      <w:pPr>
        <w:pStyle w:val="NMHCIntroParagraph"/>
        <w:rPr>
          <w:color w:val="008142" w:themeColor="accent5"/>
        </w:rPr>
      </w:pPr>
      <w:r w:rsidRPr="00F232EA">
        <w:rPr>
          <w:noProof/>
          <w:color w:val="008142" w:themeColor="accent5"/>
        </w:rPr>
        <mc:AlternateContent>
          <mc:Choice Requires="wps">
            <w:drawing>
              <wp:anchor distT="0" distB="0" distL="114300" distR="114300" simplePos="0" relativeHeight="251658265" behindDoc="1" locked="0" layoutInCell="1" allowOverlap="1" wp14:anchorId="47EF7649" wp14:editId="1F514067">
                <wp:simplePos x="0" y="0"/>
                <wp:positionH relativeFrom="page">
                  <wp:posOffset>7495</wp:posOffset>
                </wp:positionH>
                <wp:positionV relativeFrom="page">
                  <wp:posOffset>8890</wp:posOffset>
                </wp:positionV>
                <wp:extent cx="7560000" cy="153909"/>
                <wp:effectExtent l="0" t="0" r="0" b="0"/>
                <wp:wrapNone/>
                <wp:docPr id="724493827" name="Rectangle 7244938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83B1D69" id="Rectangle 724493827" o:spid="_x0000_s1026" alt="&quot;&quot;" style="position:absolute;margin-left:.6pt;margin-top:.7pt;width:595.3pt;height:12.1pt;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" fillcolor="#008142 [3208]" stroked="f" strokeweight="1pt">
                <w10:wrap anchorx="page" anchory="page"/>
              </v:rect>
            </w:pict>
          </mc:Fallback>
        </mc:AlternateContent>
      </w:r>
      <w:r w:rsidR="009C373F" w:rsidRPr="00F232EA">
        <w:rPr>
          <w:color w:val="008142" w:themeColor="accent5"/>
          <w:lang w:val="en-AU"/>
        </w:rPr>
        <w:t>T</w:t>
      </w:r>
      <w:r w:rsidR="009C373F" w:rsidRPr="00F232EA">
        <w:rPr>
          <w:color w:val="008142" w:themeColor="accent5"/>
        </w:rPr>
        <w:t>his domain looks at the mental health support system to inform an overview on how the system is performing as a connected whole. Given the complexity of this system, this domain explores 5 key themes, with guiding questions for each key theme.</w:t>
      </w:r>
    </w:p>
    <w:p w14:paraId="21D25CC3" w14:textId="112A92E1" w:rsidR="009C373F" w:rsidRDefault="00EA57B7" w:rsidP="00BA1489">
      <w:pPr>
        <w:rPr>
          <w:rStyle w:val="normaltextrun"/>
          <w:rFonts w:ascii="Aptos" w:hAnsi="Aptos" w:cs="Segoe UI"/>
          <w:sz w:val="22"/>
        </w:rPr>
      </w:pPr>
      <w:r>
        <w:rPr>
          <w:rFonts w:ascii="Aptos" w:hAnsi="Aptos"/>
          <w:noProof/>
          <w:sz w:val="22"/>
        </w:rPr>
        <w:drawing>
          <wp:anchor distT="0" distB="0" distL="114300" distR="114300" simplePos="0" relativeHeight="251715726" behindDoc="0" locked="0" layoutInCell="1" allowOverlap="1" wp14:anchorId="3811DDA2" wp14:editId="4F3154B0">
            <wp:simplePos x="0" y="0"/>
            <wp:positionH relativeFrom="column">
              <wp:posOffset>5072380</wp:posOffset>
            </wp:positionH>
            <wp:positionV relativeFrom="paragraph">
              <wp:posOffset>782320</wp:posOffset>
            </wp:positionV>
            <wp:extent cx="667385" cy="667385"/>
            <wp:effectExtent l="0" t="0" r="0" b="5715"/>
            <wp:wrapSquare wrapText="bothSides"/>
            <wp:docPr id="664943294" name="Graphic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943294" name="Graphic 200">
                      <a:extLst>
                        <a:ext uri="{C183D7F6-B498-43B3-948B-1728B52AA6E4}">
                          <adec:decorative xmlns:adec="http://schemas.microsoft.com/office/drawing/2017/decorative" val="1"/>
                        </a:ext>
                      </a:extLst>
                    </pic:cNvPr>
                    <pic:cNvPicPr/>
                  </pic:nvPicPr>
                  <pic:blipFill>
                    <a:blip r:embed="rId54">
                      <a:extLst>
                        <a:ext uri="{96DAC541-7B7A-43D3-8B79-37D633B846F1}">
                          <asvg:svgBlip xmlns:asvg="http://schemas.microsoft.com/office/drawing/2016/SVG/main" r:embed="rId55"/>
                        </a:ext>
                      </a:extLst>
                    </a:blip>
                    <a:stretch>
                      <a:fillRect/>
                    </a:stretch>
                  </pic:blipFill>
                  <pic:spPr>
                    <a:xfrm>
                      <a:off x="0" y="0"/>
                      <a:ext cx="667385" cy="667385"/>
                    </a:xfrm>
                    <a:prstGeom prst="rect">
                      <a:avLst/>
                    </a:prstGeom>
                  </pic:spPr>
                </pic:pic>
              </a:graphicData>
            </a:graphic>
            <wp14:sizeRelH relativeFrom="page">
              <wp14:pctWidth>0</wp14:pctWidth>
            </wp14:sizeRelH>
            <wp14:sizeRelV relativeFrom="page">
              <wp14:pctHeight>0</wp14:pctHeight>
            </wp14:sizeRelV>
          </wp:anchor>
        </w:drawing>
      </w:r>
      <w:r w:rsidR="009C373F">
        <w:t xml:space="preserve">This is the first time the Commission is introducing a revised approach to domain 3. </w:t>
      </w:r>
      <w:r w:rsidR="009C373F" w:rsidRPr="00BE0A2B">
        <w:rPr>
          <w:lang w:val="en-AU"/>
        </w:rPr>
        <w:t>In the following sections we apply guiding questions</w:t>
      </w:r>
      <w:r w:rsidR="009C373F">
        <w:rPr>
          <w:lang w:val="en-AU"/>
        </w:rPr>
        <w:t xml:space="preserve"> across 5 key themes and draw on </w:t>
      </w:r>
      <w:r w:rsidR="009C373F" w:rsidRPr="00BE0A2B">
        <w:rPr>
          <w:lang w:val="en-AU"/>
        </w:rPr>
        <w:t>indicators to explore aspects of the system</w:t>
      </w:r>
      <w:r w:rsidR="009C373F">
        <w:rPr>
          <w:lang w:val="en-AU"/>
        </w:rPr>
        <w:t xml:space="preserve"> performance. We also</w:t>
      </w:r>
      <w:r w:rsidR="009C373F" w:rsidRPr="00BE0A2B">
        <w:rPr>
          <w:lang w:val="en-AU"/>
        </w:rPr>
        <w:t xml:space="preserve"> highlight gaps in data coverage </w:t>
      </w:r>
      <w:r w:rsidR="009C373F">
        <w:rPr>
          <w:lang w:val="en-AU"/>
        </w:rPr>
        <w:t xml:space="preserve">which </w:t>
      </w:r>
      <w:r w:rsidR="009C373F" w:rsidRPr="00BE0A2B">
        <w:rPr>
          <w:lang w:val="en-AU"/>
        </w:rPr>
        <w:t>limit our understanding.</w:t>
      </w:r>
      <w:r w:rsidR="009C373F" w:rsidRPr="008F3599">
        <w:rPr>
          <w:lang w:val="en-AU"/>
        </w:rPr>
        <w:t xml:space="preserve"> </w:t>
      </w:r>
      <w:r w:rsidR="009C373F">
        <w:rPr>
          <w:lang w:val="en-AU"/>
        </w:rPr>
        <w:t xml:space="preserve">This approach recognises that not all the issues that matter </w:t>
      </w:r>
      <w:proofErr w:type="gramStart"/>
      <w:r w:rsidR="009C373F">
        <w:rPr>
          <w:lang w:val="en-AU"/>
        </w:rPr>
        <w:t>are</w:t>
      </w:r>
      <w:proofErr w:type="gramEnd"/>
      <w:r w:rsidR="009C373F">
        <w:rPr>
          <w:lang w:val="en-AU"/>
        </w:rPr>
        <w:t xml:space="preserve"> currently well measured and holds space in our reporting approach to address these factors as data availability improves over time.</w:t>
      </w:r>
      <w:r w:rsidR="009C373F" w:rsidRPr="00AF4DA3">
        <w:rPr>
          <w:rStyle w:val="normaltextrun"/>
          <w:rFonts w:ascii="Aptos" w:hAnsi="Aptos" w:cs="Segoe UI"/>
          <w:sz w:val="22"/>
        </w:rPr>
        <w:t xml:space="preserve"> </w:t>
      </w:r>
    </w:p>
    <w:p w14:paraId="1E3D73E4" w14:textId="29F6F3DE" w:rsidR="009C373F" w:rsidRPr="00BA1489" w:rsidRDefault="009C373F" w:rsidP="00BA1489">
      <w:r w:rsidRPr="00BA1489">
        <w:t xml:space="preserve">Some guiding questions include the experiences of consumers, carers, family and kin. This is not intended to conflate the experiences of consumers with those who support them, but to ensure these distinct experiences can be reported where data is available. </w:t>
      </w:r>
    </w:p>
    <w:p w14:paraId="480316A2" w14:textId="77777777" w:rsidR="00E13E72" w:rsidRDefault="009C373F" w:rsidP="00BA1489">
      <w:r>
        <w:t>T</w:t>
      </w:r>
      <w:r w:rsidRPr="00C83D7B">
        <w:t xml:space="preserve">he Commission </w:t>
      </w:r>
      <w:r>
        <w:t xml:space="preserve">developed this revised approach </w:t>
      </w:r>
      <w:r w:rsidRPr="00C83D7B">
        <w:t>with stakeholders</w:t>
      </w:r>
      <w:r w:rsidRPr="0041674F">
        <w:t>,</w:t>
      </w:r>
      <w:r w:rsidRPr="00C83D7B">
        <w:t xml:space="preserve"> buil</w:t>
      </w:r>
      <w:r>
        <w:t xml:space="preserve">ding </w:t>
      </w:r>
      <w:r w:rsidRPr="00C83D7B">
        <w:t xml:space="preserve">on previous </w:t>
      </w:r>
      <w:r>
        <w:t>Report Cards and</w:t>
      </w:r>
      <w:r w:rsidRPr="00C83D7B">
        <w:t xml:space="preserve"> emerging evidence</w:t>
      </w:r>
      <w:r>
        <w:t xml:space="preserve">. Domain 3 </w:t>
      </w:r>
      <w:r w:rsidRPr="00BE0A2B">
        <w:t>will continue to evolve over time as new</w:t>
      </w:r>
      <w:r>
        <w:t xml:space="preserve"> and improved</w:t>
      </w:r>
      <w:r w:rsidRPr="00BE0A2B">
        <w:t xml:space="preserve"> </w:t>
      </w:r>
      <w:r>
        <w:t xml:space="preserve">evidence </w:t>
      </w:r>
      <w:r w:rsidRPr="00BE0A2B">
        <w:t>become</w:t>
      </w:r>
      <w:r>
        <w:t>s</w:t>
      </w:r>
      <w:r w:rsidRPr="00BE0A2B">
        <w:t xml:space="preserve"> available. Refer to </w:t>
      </w:r>
      <w:r w:rsidRPr="00074489">
        <w:rPr>
          <w:b/>
        </w:rPr>
        <w:t>Developing the National Report Card</w:t>
      </w:r>
      <w:r w:rsidRPr="00BE0A2B">
        <w:t xml:space="preserve"> section to find out more about </w:t>
      </w:r>
      <w:r>
        <w:t>how we’ve worked to develop this domain in 2025</w:t>
      </w:r>
      <w:r w:rsidRPr="00BE0A2B">
        <w:t>.</w:t>
      </w:r>
    </w:p>
    <w:p w14:paraId="0C72B99A" w14:textId="2350CFB6" w:rsidR="00C249B7" w:rsidRDefault="0007343C" w:rsidP="004E5D44">
      <w:pPr>
        <w:jc w:val="center"/>
      </w:pPr>
      <w:r>
        <w:rPr>
          <w:noProof/>
        </w:rPr>
        <w:drawing>
          <wp:inline distT="0" distB="0" distL="0" distR="0" wp14:anchorId="6E3D43D1" wp14:editId="350C6027">
            <wp:extent cx="3293737" cy="2301196"/>
            <wp:effectExtent l="0" t="0" r="0" b="0"/>
            <wp:docPr id="414408930" name="Picture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08930" name="Picture 197">
                      <a:extLst>
                        <a:ext uri="{C183D7F6-B498-43B3-948B-1728B52AA6E4}">
                          <adec:decorative xmlns:adec="http://schemas.microsoft.com/office/drawing/2017/decorative" val="1"/>
                        </a:ext>
                      </a:extLst>
                    </pic:cNvPr>
                    <pic:cNvPicPr/>
                  </pic:nvPicPr>
                  <pic:blipFill rotWithShape="1">
                    <a:blip r:embed="rId126" cstate="print">
                      <a:extLst>
                        <a:ext uri="{28A0092B-C50C-407E-A947-70E740481C1C}">
                          <a14:useLocalDpi xmlns:a14="http://schemas.microsoft.com/office/drawing/2010/main" val="0"/>
                        </a:ext>
                      </a:extLst>
                    </a:blip>
                    <a:srcRect l="8470" t="21986" r="6716" b="18758"/>
                    <a:stretch>
                      <a:fillRect/>
                    </a:stretch>
                  </pic:blipFill>
                  <pic:spPr bwMode="auto">
                    <a:xfrm>
                      <a:off x="0" y="0"/>
                      <a:ext cx="3360499" cy="2347840"/>
                    </a:xfrm>
                    <a:prstGeom prst="rect">
                      <a:avLst/>
                    </a:prstGeom>
                    <a:ln>
                      <a:noFill/>
                    </a:ln>
                    <a:extLst>
                      <a:ext uri="{53640926-AAD7-44D8-BBD7-CCE9431645EC}">
                        <a14:shadowObscured xmlns:a14="http://schemas.microsoft.com/office/drawing/2010/main"/>
                      </a:ext>
                    </a:extLst>
                  </pic:spPr>
                </pic:pic>
              </a:graphicData>
            </a:graphic>
          </wp:inline>
        </w:drawing>
      </w:r>
    </w:p>
    <w:p w14:paraId="4A7E1A71" w14:textId="77777777" w:rsidR="005512F9" w:rsidRDefault="004B6A58" w:rsidP="005512F9">
      <w:pPr>
        <w:jc w:val="center"/>
        <w:rPr>
          <w:color w:val="008142" w:themeColor="accent5"/>
        </w:rPr>
      </w:pPr>
      <w:r>
        <w:br/>
      </w:r>
      <w:r w:rsidR="009C373F" w:rsidRPr="00DD49D6">
        <w:rPr>
          <w:color w:val="008142" w:themeColor="accent5"/>
        </w:rPr>
        <w:t xml:space="preserve">The guiding questions </w:t>
      </w:r>
      <w:r w:rsidR="0072564B">
        <w:rPr>
          <w:noProof/>
        </w:rPr>
        <w:drawing>
          <wp:inline distT="0" distB="0" distL="0" distR="0" wp14:anchorId="0169D525" wp14:editId="0271943E">
            <wp:extent cx="235207" cy="166029"/>
            <wp:effectExtent l="0" t="0" r="0" b="0"/>
            <wp:docPr id="2025467775"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67775" name="Graphic 189">
                      <a:extLst>
                        <a:ext uri="{C183D7F6-B498-43B3-948B-1728B52AA6E4}">
                          <adec:decorative xmlns:adec="http://schemas.microsoft.com/office/drawing/2017/decorative" val="1"/>
                        </a:ext>
                      </a:extLst>
                    </pic:cNvPr>
                    <pic:cNvPicPr/>
                  </pic:nvPicPr>
                  <pic:blipFill>
                    <a:blip r:embed="rId127">
                      <a:extLst>
                        <a:ext uri="{96DAC541-7B7A-43D3-8B79-37D633B846F1}">
                          <asvg:svgBlip xmlns:asvg="http://schemas.microsoft.com/office/drawing/2016/SVG/main" r:embed="rId128"/>
                        </a:ext>
                      </a:extLst>
                    </a:blip>
                    <a:stretch>
                      <a:fillRect/>
                    </a:stretch>
                  </pic:blipFill>
                  <pic:spPr>
                    <a:xfrm>
                      <a:off x="0" y="0"/>
                      <a:ext cx="240229" cy="169574"/>
                    </a:xfrm>
                    <a:prstGeom prst="rect">
                      <a:avLst/>
                    </a:prstGeom>
                  </pic:spPr>
                </pic:pic>
              </a:graphicData>
            </a:graphic>
          </wp:inline>
        </w:drawing>
      </w:r>
      <w:r w:rsidR="0072564B">
        <w:t xml:space="preserve"> </w:t>
      </w:r>
      <w:r w:rsidR="009C373F" w:rsidRPr="00DD49D6">
        <w:rPr>
          <w:color w:val="008142" w:themeColor="accent5"/>
        </w:rPr>
        <w:t>for each, and the relevant indicators, are explored throughout this domain</w:t>
      </w:r>
      <w:r w:rsidR="0031766C">
        <w:rPr>
          <w:color w:val="008142" w:themeColor="accent5"/>
        </w:rPr>
        <w:t>.</w:t>
      </w:r>
    </w:p>
    <w:p w14:paraId="56C12D39" w14:textId="33F1BA88" w:rsidR="005512F9" w:rsidRDefault="005512F9">
      <w:pPr>
        <w:suppressAutoHyphens w:val="0"/>
        <w:autoSpaceDE/>
        <w:autoSpaceDN/>
        <w:adjustRightInd/>
        <w:spacing w:after="0" w:line="240" w:lineRule="auto"/>
        <w:textAlignment w:val="auto"/>
        <w:rPr>
          <w:color w:val="008142" w:themeColor="accent5"/>
        </w:rPr>
      </w:pPr>
      <w:r>
        <w:rPr>
          <w:color w:val="008142" w:themeColor="accent5"/>
        </w:rPr>
        <w:br w:type="page"/>
      </w:r>
    </w:p>
    <w:p w14:paraId="61EBC91B" w14:textId="77777777" w:rsidR="00AD57F1" w:rsidRDefault="00FD5A22" w:rsidP="00AD57F1">
      <w:pPr>
        <w:pStyle w:val="NMHCIntroParagraph"/>
      </w:pPr>
      <w:r w:rsidRPr="00424218">
        <w:rPr>
          <w:noProof/>
        </w:rPr>
        <w:lastRenderedPageBreak/>
        <mc:AlternateContent>
          <mc:Choice Requires="wps">
            <w:drawing>
              <wp:anchor distT="0" distB="0" distL="114300" distR="114300" simplePos="0" relativeHeight="251658266" behindDoc="1" locked="0" layoutInCell="1" allowOverlap="1" wp14:anchorId="0E154FF3" wp14:editId="565A1400">
                <wp:simplePos x="0" y="0"/>
                <wp:positionH relativeFrom="page">
                  <wp:posOffset>731520</wp:posOffset>
                </wp:positionH>
                <wp:positionV relativeFrom="page">
                  <wp:posOffset>818984</wp:posOffset>
                </wp:positionV>
                <wp:extent cx="6147435" cy="8293211"/>
                <wp:effectExtent l="0" t="0" r="0" b="0"/>
                <wp:wrapNone/>
                <wp:docPr id="1243710691" name="Rectangle 12437106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8293211"/>
                        </a:xfrm>
                        <a:prstGeom prst="rect">
                          <a:avLst/>
                        </a:prstGeom>
                        <a:solidFill>
                          <a:schemeClr val="bg1"/>
                        </a:solidFill>
                        <a:ln w="190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6CA37" id="Rectangle 1243710691" o:spid="_x0000_s1026" alt="&quot;&quot;" style="position:absolute;margin-left:57.6pt;margin-top:64.5pt;width:484.05pt;height:653pt;z-index:-251658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" fillcolor="white [3212]" stroked="f" strokeweight="1.5pt">
                <w10:wrap anchorx="page" anchory="page"/>
              </v:rect>
            </w:pict>
          </mc:Fallback>
        </mc:AlternateContent>
      </w:r>
      <w:r w:rsidR="008C5D64" w:rsidRPr="00424218">
        <w:rPr>
          <w:rFonts w:ascii="Aptos" w:hAnsi="Aptos"/>
          <w:noProof/>
          <w:sz w:val="22"/>
        </w:rPr>
        <w:drawing>
          <wp:anchor distT="0" distB="0" distL="114300" distR="114300" simplePos="0" relativeHeight="251694222" behindDoc="0" locked="0" layoutInCell="1" allowOverlap="1" wp14:anchorId="10E4EF99" wp14:editId="11E29B60">
            <wp:simplePos x="0" y="0"/>
            <wp:positionH relativeFrom="column">
              <wp:posOffset>5338445</wp:posOffset>
            </wp:positionH>
            <wp:positionV relativeFrom="paragraph">
              <wp:posOffset>-108536</wp:posOffset>
            </wp:positionV>
            <wp:extent cx="619517" cy="619517"/>
            <wp:effectExtent l="0" t="0" r="0" b="0"/>
            <wp:wrapNone/>
            <wp:docPr id="1215901348"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01348" name="Picture 29">
                      <a:extLst>
                        <a:ext uri="{C183D7F6-B498-43B3-948B-1728B52AA6E4}">
                          <adec:decorative xmlns:adec="http://schemas.microsoft.com/office/drawing/2017/decorative" val="1"/>
                        </a:ext>
                      </a:extLst>
                    </pic:cNvPr>
                    <pic:cNvPicPr/>
                  </pic:nvPicPr>
                  <pic:blipFill>
                    <a:blip r:embed="rId129">
                      <a:extLst>
                        <a:ext uri="{96DAC541-7B7A-43D3-8B79-37D633B846F1}">
                          <asvg:svgBlip xmlns:asvg="http://schemas.microsoft.com/office/drawing/2016/SVG/main" r:embed="rId130"/>
                        </a:ext>
                      </a:extLst>
                    </a:blip>
                    <a:stretch>
                      <a:fillRect/>
                    </a:stretch>
                  </pic:blipFill>
                  <pic:spPr>
                    <a:xfrm>
                      <a:off x="0" y="0"/>
                      <a:ext cx="619517" cy="619517"/>
                    </a:xfrm>
                    <a:prstGeom prst="rect">
                      <a:avLst/>
                    </a:prstGeom>
                  </pic:spPr>
                </pic:pic>
              </a:graphicData>
            </a:graphic>
            <wp14:sizeRelH relativeFrom="page">
              <wp14:pctWidth>0</wp14:pctWidth>
            </wp14:sizeRelH>
            <wp14:sizeRelV relativeFrom="page">
              <wp14:pctHeight>0</wp14:pctHeight>
            </wp14:sizeRelV>
          </wp:anchor>
        </w:drawing>
      </w:r>
      <w:r w:rsidR="00913608">
        <w:rPr>
          <w:noProof/>
        </w:rPr>
        <mc:AlternateContent>
          <mc:Choice Requires="wps">
            <w:drawing>
              <wp:anchor distT="0" distB="0" distL="114300" distR="114300" simplePos="0" relativeHeight="251658242" behindDoc="1" locked="0" layoutInCell="1" allowOverlap="1" wp14:anchorId="44B5AEB0" wp14:editId="1A046DAE">
                <wp:simplePos x="0" y="0"/>
                <wp:positionH relativeFrom="page">
                  <wp:posOffset>9728</wp:posOffset>
                </wp:positionH>
                <wp:positionV relativeFrom="page">
                  <wp:posOffset>9728</wp:posOffset>
                </wp:positionV>
                <wp:extent cx="7559675" cy="9899650"/>
                <wp:effectExtent l="0" t="0" r="0" b="6350"/>
                <wp:wrapNone/>
                <wp:docPr id="414468224" name="Rectangle 414468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9899650"/>
                        </a:xfrm>
                        <a:prstGeom prst="rect">
                          <a:avLst/>
                        </a:prstGeom>
                        <a:solidFill>
                          <a:srgbClr val="F9F9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4B80BB0" id="Rectangle 414468224" o:spid="_x0000_s1026" alt="&quot;&quot;" style="position:absolute;margin-left:.75pt;margin-top:.75pt;width:595.25pt;height:779.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" fillcolor="#f9f9e5" stroked="f" strokeweight="1pt">
                <w10:wrap anchorx="page" anchory="page"/>
              </v:rect>
            </w:pict>
          </mc:Fallback>
        </mc:AlternateContent>
      </w:r>
      <w:r w:rsidR="00B94D76">
        <w:rPr>
          <w:noProof/>
        </w:rPr>
        <mc:AlternateContent>
          <mc:Choice Requires="wps">
            <w:drawing>
              <wp:anchor distT="0" distB="0" distL="114300" distR="114300" simplePos="0" relativeHeight="251658288" behindDoc="1" locked="0" layoutInCell="1" allowOverlap="1" wp14:anchorId="3564C8EC" wp14:editId="379BCCFE">
                <wp:simplePos x="0" y="0"/>
                <wp:positionH relativeFrom="page">
                  <wp:posOffset>9054</wp:posOffset>
                </wp:positionH>
                <wp:positionV relativeFrom="page">
                  <wp:posOffset>10141</wp:posOffset>
                </wp:positionV>
                <wp:extent cx="7560000" cy="153909"/>
                <wp:effectExtent l="0" t="0" r="0" b="0"/>
                <wp:wrapNone/>
                <wp:docPr id="674006687" name="Rectangle 6740066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92F0F41" id="Rectangle 674006687" o:spid="_x0000_s1026" alt="&quot;&quot;" style="position:absolute;margin-left:.7pt;margin-top:.8pt;width:595.3pt;height:12.1pt;z-index:-25165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" fillcolor="#008142 [3208]" stroked="f" strokeweight="1pt">
                <w10:wrap anchorx="page" anchory="page"/>
              </v:rect>
            </w:pict>
          </mc:Fallback>
        </mc:AlternateContent>
      </w:r>
      <w:r w:rsidR="00035FFF" w:rsidRPr="00424218">
        <w:rPr>
          <w:rFonts w:ascii="Aptos" w:hAnsi="Aptos"/>
          <w:noProof/>
          <w:sz w:val="22"/>
        </w:rPr>
        <w:drawing>
          <wp:anchor distT="0" distB="0" distL="114300" distR="114300" simplePos="0" relativeHeight="251658267" behindDoc="0" locked="0" layoutInCell="1" allowOverlap="1" wp14:anchorId="01BF0964" wp14:editId="1ECD8485">
            <wp:simplePos x="0" y="0"/>
            <wp:positionH relativeFrom="column">
              <wp:posOffset>10927830</wp:posOffset>
            </wp:positionH>
            <wp:positionV relativeFrom="paragraph">
              <wp:posOffset>-256852</wp:posOffset>
            </wp:positionV>
            <wp:extent cx="518795" cy="586794"/>
            <wp:effectExtent l="0" t="0" r="0" b="0"/>
            <wp:wrapNone/>
            <wp:docPr id="107609514"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85798" name="Picture 29">
                      <a:extLst>
                        <a:ext uri="{C183D7F6-B498-43B3-948B-1728B52AA6E4}">
                          <adec:decorative xmlns:adec="http://schemas.microsoft.com/office/drawing/2017/decorative" val="1"/>
                        </a:ext>
                      </a:extLst>
                    </pic:cNvPr>
                    <pic:cNvPicPr/>
                  </pic:nvPicPr>
                  <pic:blipFill>
                    <a:blip r:embed="rId131" cstate="email">
                      <a:extLst>
                        <a:ext uri="{28A0092B-C50C-407E-A947-70E740481C1C}">
                          <a14:useLocalDpi xmlns:a14="http://schemas.microsoft.com/office/drawing/2010/main"/>
                        </a:ext>
                      </a:extLst>
                    </a:blip>
                    <a:stretch>
                      <a:fillRect/>
                    </a:stretch>
                  </pic:blipFill>
                  <pic:spPr>
                    <a:xfrm>
                      <a:off x="0" y="0"/>
                      <a:ext cx="523136" cy="591704"/>
                    </a:xfrm>
                    <a:prstGeom prst="rect">
                      <a:avLst/>
                    </a:prstGeom>
                  </pic:spPr>
                </pic:pic>
              </a:graphicData>
            </a:graphic>
            <wp14:sizeRelH relativeFrom="page">
              <wp14:pctWidth>0</wp14:pctWidth>
            </wp14:sizeRelH>
            <wp14:sizeRelV relativeFrom="page">
              <wp14:pctHeight>0</wp14:pctHeight>
            </wp14:sizeRelV>
          </wp:anchor>
        </w:drawing>
      </w:r>
      <w:r w:rsidR="00AD57F1" w:rsidRPr="00AD57F1">
        <w:t xml:space="preserve">Key Insights - The service system is doing more, but uneven access, </w:t>
      </w:r>
      <w:r w:rsidR="00D74151">
        <w:br/>
      </w:r>
      <w:r w:rsidR="00AD57F1" w:rsidRPr="00AD57F1">
        <w:t xml:space="preserve">system fragmentation, workforce pressures and data gaps limit </w:t>
      </w:r>
      <w:r w:rsidR="00345DC6">
        <w:br/>
      </w:r>
      <w:r w:rsidR="00AD57F1" w:rsidRPr="00AD57F1">
        <w:t>impact and opportunity to improve</w:t>
      </w:r>
    </w:p>
    <w:p w14:paraId="48345BEE" w14:textId="7BC5FF36" w:rsidR="000D1C5F" w:rsidRPr="00AD57F1" w:rsidRDefault="000D1C5F" w:rsidP="00D74151">
      <w:pPr>
        <w:pStyle w:val="Heading3"/>
      </w:pPr>
      <w:r w:rsidRPr="00AD57F1">
        <w:t xml:space="preserve">There are indications that service use is increasing, alongside investment, </w:t>
      </w:r>
      <w:r w:rsidR="00422C9B">
        <w:br/>
      </w:r>
      <w:r w:rsidRPr="00AD57F1">
        <w:t xml:space="preserve">but we need a clearer picture of whether this is meeting need </w:t>
      </w:r>
    </w:p>
    <w:p w14:paraId="1BB78A50" w14:textId="64382983" w:rsidR="000D1C5F" w:rsidRPr="00FC1CFE" w:rsidRDefault="000D1C5F" w:rsidP="00FC1CFE">
      <w:pPr>
        <w:pStyle w:val="ListBullet"/>
      </w:pPr>
      <w:r w:rsidRPr="00FC1CFE">
        <w:t xml:space="preserve">For example, between 2013-14 and 2023-24 there was </w:t>
      </w:r>
      <w:r w:rsidRPr="00FC1CFE">
        <w:rPr>
          <w:b/>
          <w:bCs/>
        </w:rPr>
        <w:t>an increase</w:t>
      </w:r>
      <w:r w:rsidRPr="00FC1CFE">
        <w:t xml:space="preserve"> in the proportion of Australians who received one or more Medicare/DVA subsidised mental health-related services (from 8.4% to 10.6% of the population).</w:t>
      </w:r>
      <w:r w:rsidRPr="00887DAB">
        <w:rPr>
          <w:rStyle w:val="EndnoteReference"/>
        </w:rPr>
        <w:endnoteReference w:id="120"/>
      </w:r>
    </w:p>
    <w:p w14:paraId="30B1AEBF" w14:textId="7E578D86" w:rsidR="00FD5A22" w:rsidRPr="005512F9" w:rsidRDefault="000D1C5F" w:rsidP="00FD5A22">
      <w:pPr>
        <w:pStyle w:val="ListBullet"/>
        <w:rPr>
          <w:rFonts w:eastAsiaTheme="minorEastAsia"/>
        </w:rPr>
      </w:pPr>
      <w:r>
        <w:t xml:space="preserve">Over the same period, we have seen increased government spending on mental health-related services </w:t>
      </w:r>
      <w:r w:rsidRPr="67596D41">
        <w:rPr>
          <w:rFonts w:eastAsiaTheme="minorEastAsia"/>
        </w:rPr>
        <w:t xml:space="preserve">from $10.7 billion to $14.5 billion, representing </w:t>
      </w:r>
      <w:r w:rsidRPr="67596D41">
        <w:rPr>
          <w:rFonts w:eastAsiaTheme="minorEastAsia"/>
          <w:b/>
          <w:bCs/>
        </w:rPr>
        <w:t>an increase of 35% in real terms.</w:t>
      </w:r>
      <w:r w:rsidRPr="67596D41">
        <w:rPr>
          <w:rFonts w:eastAsiaTheme="minorEastAsia"/>
        </w:rPr>
        <w:t xml:space="preserve"> Over this period, per capita spending increased from $460 to $537.</w:t>
      </w:r>
      <w:r>
        <w:rPr>
          <w:rStyle w:val="EndnoteReference"/>
          <w:rFonts w:ascii="Aptos" w:eastAsiaTheme="minorEastAsia" w:hAnsi="Aptos"/>
          <w:sz w:val="22"/>
        </w:rPr>
        <w:endnoteReference w:id="121"/>
      </w:r>
    </w:p>
    <w:p w14:paraId="4488ABD9" w14:textId="338C34E9" w:rsidR="000D1C5F" w:rsidRDefault="004053E3" w:rsidP="005C6ED6">
      <w:pPr>
        <w:pStyle w:val="Heading3"/>
        <w:rPr>
          <w:lang w:eastAsia="en-AU"/>
        </w:rPr>
      </w:pPr>
      <w:r>
        <w:rPr>
          <w:noProof/>
        </w:rPr>
        <w:drawing>
          <wp:inline distT="0" distB="0" distL="0" distR="0" wp14:anchorId="5F59548B" wp14:editId="010D2F7E">
            <wp:extent cx="394506" cy="394506"/>
            <wp:effectExtent l="0" t="0" r="0" b="0"/>
            <wp:docPr id="2028413139"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32958" name="Picture 100">
                      <a:extLst>
                        <a:ext uri="{C183D7F6-B498-43B3-948B-1728B52AA6E4}">
                          <adec:decorative xmlns:adec="http://schemas.microsoft.com/office/drawing/2017/decorative" val="1"/>
                        </a:ext>
                      </a:extLst>
                    </pic:cNvPr>
                    <pic:cNvPicPr/>
                  </pic:nvPicPr>
                  <pic:blipFill>
                    <a:blip r:embed="rId132">
                      <a:extLst>
                        <a:ext uri="{96DAC541-7B7A-43D3-8B79-37D633B846F1}">
                          <asvg:svgBlip xmlns:asvg="http://schemas.microsoft.com/office/drawing/2016/SVG/main" r:embed="rId133"/>
                        </a:ext>
                      </a:extLst>
                    </a:blip>
                    <a:stretch>
                      <a:fillRect/>
                    </a:stretch>
                  </pic:blipFill>
                  <pic:spPr>
                    <a:xfrm>
                      <a:off x="0" y="0"/>
                      <a:ext cx="394506" cy="394506"/>
                    </a:xfrm>
                    <a:prstGeom prst="rect">
                      <a:avLst/>
                    </a:prstGeom>
                  </pic:spPr>
                </pic:pic>
              </a:graphicData>
            </a:graphic>
          </wp:inline>
        </w:drawing>
      </w:r>
      <w:r>
        <w:rPr>
          <w:lang w:eastAsia="en-AU"/>
        </w:rPr>
        <w:t xml:space="preserve"> </w:t>
      </w:r>
      <w:r w:rsidR="004E5D44">
        <w:rPr>
          <w:lang w:eastAsia="en-AU"/>
        </w:rPr>
        <w:br/>
      </w:r>
      <w:r w:rsidR="000D1C5F" w:rsidRPr="67596D41">
        <w:rPr>
          <w:lang w:eastAsia="en-AU"/>
        </w:rPr>
        <w:t>Despite growth in services, access still depends on where you live and your circumstances </w:t>
      </w:r>
    </w:p>
    <w:p w14:paraId="4A357727" w14:textId="1DED1FBA" w:rsidR="000D1C5F" w:rsidRPr="00AD57F1" w:rsidRDefault="000D1C5F" w:rsidP="00AD57F1">
      <w:pPr>
        <w:pStyle w:val="NormalBeforeBullet"/>
      </w:pPr>
      <w:r w:rsidRPr="00AD57F1">
        <w:t>In 2024-25:</w:t>
      </w:r>
    </w:p>
    <w:p w14:paraId="0028EC69" w14:textId="1D9962EA" w:rsidR="000D1C5F" w:rsidRDefault="000D1C5F" w:rsidP="00FC1CFE">
      <w:pPr>
        <w:pStyle w:val="ListBullet"/>
      </w:pPr>
      <w:r w:rsidRPr="67596D41">
        <w:rPr>
          <w:rFonts w:eastAsiaTheme="minorEastAsia"/>
          <w:b/>
          <w:bCs/>
        </w:rPr>
        <w:t xml:space="preserve">People living in Major cities </w:t>
      </w:r>
      <w:r>
        <w:rPr>
          <w:rFonts w:eastAsiaTheme="minorEastAsia"/>
          <w:b/>
          <w:bCs/>
        </w:rPr>
        <w:t>recorded the highest rates of Medicare mental health-related services use</w:t>
      </w:r>
      <w:r w:rsidRPr="67596D41">
        <w:rPr>
          <w:rFonts w:eastAsiaTheme="minorEastAsia"/>
        </w:rPr>
        <w:t xml:space="preserve"> (</w:t>
      </w:r>
      <w:r>
        <w:rPr>
          <w:rFonts w:eastAsiaTheme="minorEastAsia"/>
        </w:rPr>
        <w:t xml:space="preserve">a rate of receiving </w:t>
      </w:r>
      <w:r w:rsidRPr="67596D41">
        <w:rPr>
          <w:rFonts w:eastAsiaTheme="minorEastAsia"/>
        </w:rPr>
        <w:t xml:space="preserve">507 mental health services per 1,000 </w:t>
      </w:r>
      <w:r w:rsidR="00112138">
        <w:rPr>
          <w:rFonts w:eastAsiaTheme="minorEastAsia"/>
        </w:rPr>
        <w:t>people living</w:t>
      </w:r>
      <w:r w:rsidRPr="67596D41">
        <w:rPr>
          <w:rFonts w:eastAsiaTheme="minorEastAsia"/>
        </w:rPr>
        <w:t xml:space="preserve"> in </w:t>
      </w:r>
      <w:r>
        <w:rPr>
          <w:rFonts w:eastAsiaTheme="minorEastAsia"/>
        </w:rPr>
        <w:t>M</w:t>
      </w:r>
      <w:r w:rsidRPr="67596D41">
        <w:rPr>
          <w:rFonts w:eastAsiaTheme="minorEastAsia"/>
        </w:rPr>
        <w:t>ajor cities),</w:t>
      </w:r>
      <w:r>
        <w:rPr>
          <w:rFonts w:eastAsiaTheme="minorEastAsia"/>
        </w:rPr>
        <w:t xml:space="preserve"> which is more than the overall population </w:t>
      </w:r>
      <w:r w:rsidRPr="67596D41">
        <w:rPr>
          <w:rFonts w:eastAsiaTheme="minorEastAsia"/>
        </w:rPr>
        <w:t>(473 mental health services per 1,000</w:t>
      </w:r>
      <w:r w:rsidR="009827C1">
        <w:rPr>
          <w:rFonts w:eastAsiaTheme="minorEastAsia"/>
        </w:rPr>
        <w:t xml:space="preserve"> </w:t>
      </w:r>
      <w:r w:rsidR="00242869">
        <w:rPr>
          <w:rFonts w:eastAsiaTheme="minorEastAsia"/>
        </w:rPr>
        <w:t>Australians</w:t>
      </w:r>
      <w:r w:rsidRPr="67596D41">
        <w:rPr>
          <w:rFonts w:eastAsiaTheme="minorEastAsia"/>
        </w:rPr>
        <w:t>).</w:t>
      </w:r>
      <w:r w:rsidRPr="67596D41">
        <w:rPr>
          <w:rStyle w:val="EndnoteReference"/>
          <w:rFonts w:ascii="Aptos" w:eastAsiaTheme="minorEastAsia" w:hAnsi="Aptos"/>
          <w:sz w:val="22"/>
          <w:szCs w:val="22"/>
          <w:lang w:eastAsia="en-US"/>
        </w:rPr>
        <w:endnoteReference w:id="122"/>
      </w:r>
    </w:p>
    <w:p w14:paraId="3D02386F" w14:textId="04905030" w:rsidR="000D1C5F" w:rsidRDefault="000D1C5F" w:rsidP="00FC1CFE">
      <w:pPr>
        <w:pStyle w:val="ListBullet"/>
        <w:rPr>
          <w:b/>
          <w:bCs/>
        </w:rPr>
      </w:pPr>
      <w:r w:rsidRPr="67596D41">
        <w:rPr>
          <w:rFonts w:eastAsiaTheme="minorEastAsia"/>
        </w:rPr>
        <w:t xml:space="preserve">This contrasts sharply to </w:t>
      </w:r>
      <w:r w:rsidRPr="67596D41">
        <w:rPr>
          <w:rFonts w:eastAsiaTheme="minorEastAsia"/>
          <w:b/>
          <w:bCs/>
        </w:rPr>
        <w:t>people living in Remote/</w:t>
      </w:r>
      <w:r w:rsidR="00471A25">
        <w:rPr>
          <w:rFonts w:eastAsiaTheme="minorEastAsia"/>
          <w:b/>
          <w:bCs/>
        </w:rPr>
        <w:t>V</w:t>
      </w:r>
      <w:r w:rsidRPr="67596D41">
        <w:rPr>
          <w:rFonts w:eastAsiaTheme="minorEastAsia"/>
          <w:b/>
          <w:bCs/>
        </w:rPr>
        <w:t xml:space="preserve">ery remote areas, who </w:t>
      </w:r>
      <w:r>
        <w:rPr>
          <w:rFonts w:eastAsiaTheme="minorEastAsia"/>
          <w:b/>
          <w:bCs/>
        </w:rPr>
        <w:t xml:space="preserve">used these services at a much lower rate </w:t>
      </w:r>
      <w:r w:rsidRPr="67596D41">
        <w:rPr>
          <w:rFonts w:eastAsiaTheme="minorEastAsia"/>
          <w:b/>
          <w:bCs/>
        </w:rPr>
        <w:t xml:space="preserve">(156 mental health services per 1,000 </w:t>
      </w:r>
      <w:r w:rsidR="00112138">
        <w:rPr>
          <w:rFonts w:eastAsiaTheme="minorEastAsia"/>
          <w:b/>
          <w:bCs/>
        </w:rPr>
        <w:t>people living</w:t>
      </w:r>
      <w:r w:rsidRPr="67596D41">
        <w:rPr>
          <w:rFonts w:eastAsiaTheme="minorEastAsia"/>
          <w:b/>
          <w:bCs/>
        </w:rPr>
        <w:t xml:space="preserve"> in Remote/</w:t>
      </w:r>
      <w:r w:rsidR="00471A25">
        <w:rPr>
          <w:rFonts w:eastAsiaTheme="minorEastAsia"/>
          <w:b/>
          <w:bCs/>
        </w:rPr>
        <w:t>V</w:t>
      </w:r>
      <w:r w:rsidRPr="67596D41">
        <w:rPr>
          <w:rFonts w:eastAsiaTheme="minorEastAsia"/>
          <w:b/>
          <w:bCs/>
        </w:rPr>
        <w:t>ery remote areas).</w:t>
      </w:r>
      <w:r w:rsidR="00D74BAA">
        <w:rPr>
          <w:rStyle w:val="EndnoteReference"/>
          <w:rFonts w:eastAsiaTheme="minorEastAsia"/>
          <w:b/>
          <w:bCs/>
        </w:rPr>
        <w:endnoteReference w:id="123"/>
      </w:r>
    </w:p>
    <w:p w14:paraId="193BCE53" w14:textId="1203FDBA" w:rsidR="000D1C5F" w:rsidRDefault="000D1C5F" w:rsidP="00FC1CFE">
      <w:pPr>
        <w:pStyle w:val="ListBullet"/>
        <w:rPr>
          <w:rFonts w:eastAsiaTheme="minorEastAsia"/>
        </w:rPr>
      </w:pPr>
      <w:r w:rsidRPr="67596D41">
        <w:rPr>
          <w:rFonts w:eastAsiaTheme="minorEastAsia"/>
        </w:rPr>
        <w:t xml:space="preserve">During 2024-25, </w:t>
      </w:r>
      <w:r w:rsidRPr="67596D41">
        <w:rPr>
          <w:rFonts w:eastAsiaTheme="minorEastAsia"/>
          <w:b/>
          <w:bCs/>
        </w:rPr>
        <w:t xml:space="preserve">people living in the most disadvantaged areas </w:t>
      </w:r>
      <w:r>
        <w:rPr>
          <w:rFonts w:eastAsiaTheme="minorEastAsia"/>
          <w:b/>
          <w:bCs/>
        </w:rPr>
        <w:t>used</w:t>
      </w:r>
      <w:r w:rsidRPr="67596D41">
        <w:rPr>
          <w:rFonts w:eastAsiaTheme="minorEastAsia"/>
          <w:b/>
          <w:bCs/>
        </w:rPr>
        <w:t xml:space="preserve"> fewer Medicare mental health-related services</w:t>
      </w:r>
      <w:r w:rsidRPr="67596D41">
        <w:rPr>
          <w:rFonts w:eastAsiaTheme="minorEastAsia"/>
        </w:rPr>
        <w:t xml:space="preserve"> (300 services per 1,000 </w:t>
      </w:r>
      <w:r>
        <w:rPr>
          <w:rFonts w:eastAsiaTheme="minorEastAsia"/>
        </w:rPr>
        <w:t>people residing in areas classified as SEIFA Quintile 1</w:t>
      </w:r>
      <w:r w:rsidRPr="67596D41">
        <w:rPr>
          <w:rFonts w:eastAsiaTheme="minorEastAsia"/>
        </w:rPr>
        <w:t xml:space="preserve">), compared to people living in areas of least disadvantage </w:t>
      </w:r>
      <w:r w:rsidRPr="67596D41">
        <w:rPr>
          <w:rFonts w:eastAsiaTheme="minorEastAsia"/>
          <w:b/>
          <w:bCs/>
        </w:rPr>
        <w:t xml:space="preserve">who </w:t>
      </w:r>
      <w:r>
        <w:rPr>
          <w:rFonts w:eastAsiaTheme="minorEastAsia"/>
          <w:b/>
          <w:bCs/>
        </w:rPr>
        <w:t>used</w:t>
      </w:r>
      <w:r w:rsidRPr="67596D41">
        <w:rPr>
          <w:rFonts w:eastAsiaTheme="minorEastAsia"/>
          <w:b/>
          <w:bCs/>
        </w:rPr>
        <w:t xml:space="preserve"> </w:t>
      </w:r>
      <w:r>
        <w:rPr>
          <w:rFonts w:eastAsiaTheme="minorEastAsia"/>
          <w:b/>
          <w:bCs/>
        </w:rPr>
        <w:t xml:space="preserve">services at </w:t>
      </w:r>
      <w:r w:rsidRPr="67596D41">
        <w:rPr>
          <w:rFonts w:eastAsiaTheme="minorEastAsia"/>
          <w:b/>
          <w:bCs/>
        </w:rPr>
        <w:t xml:space="preserve">more than twice </w:t>
      </w:r>
      <w:r>
        <w:rPr>
          <w:rFonts w:eastAsiaTheme="minorEastAsia"/>
          <w:b/>
          <w:bCs/>
        </w:rPr>
        <w:t xml:space="preserve">the rate </w:t>
      </w:r>
      <w:r w:rsidRPr="67596D41">
        <w:rPr>
          <w:rFonts w:eastAsiaTheme="minorEastAsia"/>
        </w:rPr>
        <w:t xml:space="preserve">(710 services per 1,000 </w:t>
      </w:r>
      <w:r>
        <w:rPr>
          <w:rFonts w:eastAsiaTheme="minorEastAsia"/>
        </w:rPr>
        <w:t>people residing in areas classified as SEIFA Quintile 5</w:t>
      </w:r>
      <w:r w:rsidRPr="67596D41">
        <w:rPr>
          <w:rFonts w:eastAsiaTheme="minorEastAsia"/>
        </w:rPr>
        <w:t xml:space="preserve">). </w:t>
      </w:r>
    </w:p>
    <w:p w14:paraId="47D7436D" w14:textId="2F60FAD5" w:rsidR="000820E4" w:rsidRDefault="000D1C5F" w:rsidP="004E5D44">
      <w:r w:rsidRPr="67596D41">
        <w:t>At the same time, people living in the most disadvantaged areas had </w:t>
      </w:r>
      <w:r w:rsidRPr="67596D41">
        <w:rPr>
          <w:b/>
          <w:bCs/>
        </w:rPr>
        <w:t>higher rates</w:t>
      </w:r>
      <w:r w:rsidRPr="67596D41">
        <w:t xml:space="preserve"> of mental health-related </w:t>
      </w:r>
      <w:r w:rsidRPr="67596D41">
        <w:rPr>
          <w:b/>
          <w:bCs/>
        </w:rPr>
        <w:t>Emergency Department presentations </w:t>
      </w:r>
      <w:r w:rsidRPr="67596D41">
        <w:t>(155 per 10,000 p</w:t>
      </w:r>
      <w:r w:rsidR="00E03387">
        <w:t>eople</w:t>
      </w:r>
      <w:r w:rsidRPr="67596D41">
        <w:t>), compared to people living in the least disadvantaged areas who had the lowest (72 per 10,000 p</w:t>
      </w:r>
      <w:r w:rsidR="00E03387">
        <w:t>eople</w:t>
      </w:r>
      <w:r w:rsidRPr="67596D41">
        <w:t>)</w:t>
      </w:r>
      <w:r w:rsidRPr="00035EE7">
        <w:t>.</w:t>
      </w:r>
      <w:r w:rsidRPr="67596D41">
        <w:t> This can be a sign that people have not had early enough access to support from community or hospital-based services</w:t>
      </w:r>
      <w:r>
        <w:t>.</w:t>
      </w:r>
      <w:r w:rsidRPr="67596D41">
        <w:t xml:space="preserve"> </w:t>
      </w:r>
    </w:p>
    <w:p w14:paraId="654CBCCB" w14:textId="77777777" w:rsidR="000820E4" w:rsidRDefault="000820E4" w:rsidP="000820E4">
      <w:pPr>
        <w:pStyle w:val="Heading3"/>
      </w:pPr>
      <w:r>
        <w:rPr>
          <w:noProof/>
        </w:rPr>
        <w:drawing>
          <wp:inline distT="0" distB="0" distL="0" distR="0" wp14:anchorId="4BF3B6F9" wp14:editId="66ADFF38">
            <wp:extent cx="394506" cy="394506"/>
            <wp:effectExtent l="0" t="0" r="0" b="0"/>
            <wp:docPr id="38104742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47420" name="Picture 100">
                      <a:extLst>
                        <a:ext uri="{C183D7F6-B498-43B3-948B-1728B52AA6E4}">
                          <adec:decorative xmlns:adec="http://schemas.microsoft.com/office/drawing/2017/decorative" val="1"/>
                        </a:ext>
                      </a:extLst>
                    </pic:cNvPr>
                    <pic:cNvPicPr/>
                  </pic:nvPicPr>
                  <pic:blipFill>
                    <a:blip r:embed="rId134">
                      <a:extLst>
                        <a:ext uri="{96DAC541-7B7A-43D3-8B79-37D633B846F1}">
                          <asvg:svgBlip xmlns:asvg="http://schemas.microsoft.com/office/drawing/2016/SVG/main" r:embed="rId135"/>
                        </a:ext>
                      </a:extLst>
                    </a:blip>
                    <a:stretch>
                      <a:fillRect/>
                    </a:stretch>
                  </pic:blipFill>
                  <pic:spPr>
                    <a:xfrm>
                      <a:off x="0" y="0"/>
                      <a:ext cx="394506" cy="394506"/>
                    </a:xfrm>
                    <a:prstGeom prst="rect">
                      <a:avLst/>
                    </a:prstGeom>
                  </pic:spPr>
                </pic:pic>
              </a:graphicData>
            </a:graphic>
          </wp:inline>
        </w:drawing>
      </w:r>
    </w:p>
    <w:p w14:paraId="1C462B9D" w14:textId="24D69BAC" w:rsidR="000D1C5F" w:rsidRPr="0083446B" w:rsidRDefault="000D1C5F" w:rsidP="0083446B">
      <w:pPr>
        <w:pStyle w:val="Heading3"/>
      </w:pPr>
      <w:r w:rsidRPr="0083446B">
        <w:t>Mental-health related emergency department presentations are not decreasing overall, and people are waiting longer to be seen </w:t>
      </w:r>
    </w:p>
    <w:p w14:paraId="71935C08" w14:textId="3288C931" w:rsidR="000D1C5F" w:rsidRPr="009626B7" w:rsidRDefault="000D1C5F" w:rsidP="00471A25">
      <w:pPr>
        <w:pStyle w:val="ListBullet"/>
      </w:pPr>
      <w:r w:rsidRPr="009626B7">
        <w:t xml:space="preserve">Nationally, </w:t>
      </w:r>
      <w:r w:rsidRPr="00633739">
        <w:t>mental health-related</w:t>
      </w:r>
      <w:r>
        <w:t xml:space="preserve"> ED</w:t>
      </w:r>
      <w:r w:rsidRPr="00633739">
        <w:t xml:space="preserve"> presentation</w:t>
      </w:r>
      <w:r>
        <w:t xml:space="preserve"> rates decreased from </w:t>
      </w:r>
      <w:r w:rsidRPr="00633739">
        <w:t xml:space="preserve">121 presentations per 10,000 </w:t>
      </w:r>
      <w:r w:rsidR="00E236BD">
        <w:t xml:space="preserve">people </w:t>
      </w:r>
      <w:r>
        <w:t>in 2020-21 to 109 in 2021-22 and remained stable in 2022-23, before increasing again to 116 presentations per 10,000 p</w:t>
      </w:r>
      <w:r w:rsidR="008C0044">
        <w:t>eople</w:t>
      </w:r>
      <w:r>
        <w:t xml:space="preserve"> in 2024-25</w:t>
      </w:r>
      <w:r w:rsidR="00471A25">
        <w:t>,</w:t>
      </w:r>
      <w:r w:rsidRPr="00633739">
        <w:t xml:space="preserve"> </w:t>
      </w:r>
      <w:r w:rsidRPr="009626B7">
        <w:t>which is the same recorded over ten years ago</w:t>
      </w:r>
      <w:r w:rsidRPr="009626B7">
        <w:rPr>
          <w:rFonts w:eastAsiaTheme="minorEastAsia"/>
        </w:rPr>
        <w:t>.</w:t>
      </w:r>
    </w:p>
    <w:p w14:paraId="3D3E8256" w14:textId="7BAD3F9B" w:rsidR="000D1C5F" w:rsidRPr="00633739" w:rsidRDefault="000D1C5F" w:rsidP="00FC1CFE">
      <w:pPr>
        <w:pStyle w:val="ListBullet"/>
        <w:rPr>
          <w:rFonts w:eastAsiaTheme="minorEastAsia"/>
        </w:rPr>
      </w:pPr>
      <w:r>
        <w:rPr>
          <w:rFonts w:eastAsiaTheme="minorEastAsia"/>
        </w:rPr>
        <w:t>The proportion of</w:t>
      </w:r>
      <w:r w:rsidRPr="00633739">
        <w:rPr>
          <w:rFonts w:eastAsiaTheme="minorEastAsia"/>
        </w:rPr>
        <w:t xml:space="preserve"> mental health</w:t>
      </w:r>
      <w:r>
        <w:rPr>
          <w:rFonts w:eastAsiaTheme="minorEastAsia"/>
        </w:rPr>
        <w:t>-related</w:t>
      </w:r>
      <w:r w:rsidRPr="00633739">
        <w:rPr>
          <w:rFonts w:eastAsiaTheme="minorEastAsia"/>
        </w:rPr>
        <w:t xml:space="preserve"> </w:t>
      </w:r>
      <w:r>
        <w:rPr>
          <w:rFonts w:eastAsiaTheme="minorEastAsia"/>
        </w:rPr>
        <w:t xml:space="preserve">ED </w:t>
      </w:r>
      <w:r w:rsidRPr="00633739">
        <w:rPr>
          <w:rFonts w:eastAsiaTheme="minorEastAsia"/>
        </w:rPr>
        <w:t xml:space="preserve">presentations </w:t>
      </w:r>
      <w:r w:rsidRPr="00633739">
        <w:rPr>
          <w:rFonts w:eastAsiaTheme="minorEastAsia"/>
          <w:b/>
          <w:bCs/>
        </w:rPr>
        <w:t xml:space="preserve">being seen on time has decreased from 71% during 2014-15 to </w:t>
      </w:r>
      <w:r w:rsidRPr="00633739">
        <w:rPr>
          <w:rFonts w:eastAsiaTheme="minorEastAsia"/>
          <w:b/>
        </w:rPr>
        <w:t>60% during 2023-24</w:t>
      </w:r>
      <w:r w:rsidRPr="00633739">
        <w:rPr>
          <w:rFonts w:eastAsiaTheme="minorEastAsia"/>
        </w:rPr>
        <w:t>.</w:t>
      </w:r>
    </w:p>
    <w:p w14:paraId="221AF895" w14:textId="008DCB87" w:rsidR="000D1C5F" w:rsidRDefault="000D1C5F" w:rsidP="005C6ED6">
      <w:pPr>
        <w:pStyle w:val="Heading3"/>
        <w:rPr>
          <w:lang w:eastAsia="en-AU"/>
        </w:rPr>
      </w:pPr>
      <w:r w:rsidRPr="67596D41">
        <w:rPr>
          <w:lang w:eastAsia="en-AU"/>
        </w:rPr>
        <w:t>Cost remains a persistent barrier to care</w:t>
      </w:r>
    </w:p>
    <w:p w14:paraId="7FBF2FB6" w14:textId="449B27BB" w:rsidR="000D1C5F" w:rsidRDefault="000D1C5F" w:rsidP="00FC1CFE">
      <w:pPr>
        <w:pStyle w:val="ListBullet"/>
      </w:pPr>
      <w:r w:rsidRPr="67596D41">
        <w:t xml:space="preserve">The proportion of people aged 15 years and older indicating cost as a reason for not seeing a mental health professional </w:t>
      </w:r>
      <w:r w:rsidRPr="67596D41">
        <w:rPr>
          <w:b/>
          <w:bCs/>
        </w:rPr>
        <w:t>increased from 12% during 2020-2021 to 20% during 2024-2025</w:t>
      </w:r>
      <w:r>
        <w:rPr>
          <w:b/>
          <w:bCs/>
        </w:rPr>
        <w:t>.</w:t>
      </w:r>
      <w:r>
        <w:rPr>
          <w:rStyle w:val="EndnoteReference"/>
          <w:rFonts w:ascii="Aptos" w:hAnsi="Aptos"/>
          <w:sz w:val="22"/>
        </w:rPr>
        <w:endnoteReference w:id="124"/>
      </w:r>
      <w:r w:rsidRPr="67596D41">
        <w:t xml:space="preserve"> </w:t>
      </w:r>
    </w:p>
    <w:p w14:paraId="3F090640" w14:textId="77777777" w:rsidR="005512F9" w:rsidRPr="005512F9" w:rsidRDefault="000D1C5F" w:rsidP="005512F9">
      <w:pPr>
        <w:pStyle w:val="ListBullet"/>
        <w:rPr>
          <w:rFonts w:eastAsiaTheme="majorEastAsia" w:cstheme="majorBidi"/>
          <w:b/>
          <w:color w:val="171717" w:themeColor="background2" w:themeShade="1A"/>
          <w:szCs w:val="24"/>
        </w:rPr>
      </w:pPr>
      <w:r w:rsidRPr="00A54E88">
        <w:t>In 2024-25, people aged 25-34 and people living in areas of most disadvantage were more likely to report cost as a reason for not seeing a mental health professional when needed</w:t>
      </w:r>
      <w:r w:rsidR="00A54E88" w:rsidRPr="00A54E88">
        <w:t>.</w:t>
      </w:r>
      <w:r w:rsidR="00A54E88" w:rsidRPr="008232F1">
        <w:rPr>
          <w:vertAlign w:val="superscript"/>
        </w:rPr>
        <w:t>19</w:t>
      </w:r>
    </w:p>
    <w:p w14:paraId="7206E488" w14:textId="0D48DB12" w:rsidR="008232F1" w:rsidRDefault="008232F1" w:rsidP="005512F9">
      <w:pPr>
        <w:pStyle w:val="ListBullet"/>
        <w:rPr>
          <w:rFonts w:eastAsiaTheme="majorEastAsia" w:cstheme="majorBidi"/>
          <w:b/>
          <w:color w:val="171717" w:themeColor="background2" w:themeShade="1A"/>
          <w:szCs w:val="24"/>
        </w:rPr>
      </w:pPr>
      <w:r>
        <w:br w:type="page"/>
      </w:r>
    </w:p>
    <w:p w14:paraId="7601BB23" w14:textId="2CBA7C67" w:rsidR="000D1C5F" w:rsidRDefault="003B1802" w:rsidP="005C6ED6">
      <w:pPr>
        <w:pStyle w:val="Heading3"/>
        <w:rPr>
          <w:lang w:eastAsia="en-AU"/>
        </w:rPr>
      </w:pPr>
      <w:r w:rsidRPr="00424218">
        <w:rPr>
          <w:noProof/>
          <w:color w:val="545A60" w:themeColor="accent3"/>
        </w:rPr>
        <w:lastRenderedPageBreak/>
        <mc:AlternateContent>
          <mc:Choice Requires="wps">
            <w:drawing>
              <wp:anchor distT="0" distB="0" distL="114300" distR="114300" simplePos="0" relativeHeight="251658269" behindDoc="1" locked="0" layoutInCell="1" allowOverlap="1" wp14:anchorId="4F4E5538" wp14:editId="617DBC11">
                <wp:simplePos x="0" y="0"/>
                <wp:positionH relativeFrom="page">
                  <wp:posOffset>719667</wp:posOffset>
                </wp:positionH>
                <wp:positionV relativeFrom="page">
                  <wp:posOffset>804333</wp:posOffset>
                </wp:positionV>
                <wp:extent cx="6147435" cy="3920067"/>
                <wp:effectExtent l="0" t="0" r="0" b="4445"/>
                <wp:wrapNone/>
                <wp:docPr id="695122843" name="Rectangle 6951228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3920067"/>
                        </a:xfrm>
                        <a:prstGeom prst="rect">
                          <a:avLst/>
                        </a:prstGeom>
                        <a:solidFill>
                          <a:schemeClr val="bg1"/>
                        </a:solidFill>
                        <a:ln w="190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0900C2A" id="Rectangle 695122843" o:spid="_x0000_s1026" alt="&quot;&quot;" style="position:absolute;margin-left:56.65pt;margin-top:63.35pt;width:484.05pt;height:308.65pt;z-index:-2516582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" fillcolor="white [3212]" stroked="f" strokeweight="1.5pt">
                <w10:wrap anchorx="page" anchory="page"/>
              </v:rect>
            </w:pict>
          </mc:Fallback>
        </mc:AlternateContent>
      </w:r>
      <w:r w:rsidR="000D1C5F" w:rsidRPr="67596D41">
        <w:rPr>
          <w:lang w:eastAsia="en-AU"/>
        </w:rPr>
        <w:t>The mental health workforce is growing*, but still projected to fall short of need</w:t>
      </w:r>
    </w:p>
    <w:p w14:paraId="3B752D18" w14:textId="77777777" w:rsidR="000D1C5F" w:rsidRPr="005C6ED6" w:rsidRDefault="000D1C5F" w:rsidP="005C6ED6">
      <w:pPr>
        <w:pStyle w:val="NormalBeforeBullet"/>
      </w:pPr>
      <w:r w:rsidRPr="005C6ED6">
        <w:t>Between 2015 and 2024 we saw:</w:t>
      </w:r>
    </w:p>
    <w:p w14:paraId="240A8C97" w14:textId="02491A9E" w:rsidR="000D1C5F" w:rsidRPr="00FC1CFE" w:rsidRDefault="000D1C5F" w:rsidP="00FC1CFE">
      <w:pPr>
        <w:pStyle w:val="ListBullet"/>
        <w:rPr>
          <w:rFonts w:eastAsiaTheme="minorEastAsia"/>
        </w:rPr>
      </w:pPr>
      <w:r>
        <w:rPr>
          <w:rFonts w:eastAsiaTheme="minorEastAsia"/>
        </w:rPr>
        <w:t>Growth in t</w:t>
      </w:r>
      <w:r w:rsidRPr="67596D41">
        <w:rPr>
          <w:rFonts w:eastAsiaTheme="minorEastAsia"/>
        </w:rPr>
        <w:t xml:space="preserve">he full-time equivalent </w:t>
      </w:r>
      <w:r>
        <w:rPr>
          <w:rFonts w:eastAsiaTheme="minorEastAsia"/>
        </w:rPr>
        <w:t xml:space="preserve">(FTE) </w:t>
      </w:r>
      <w:r w:rsidR="004D3B1F">
        <w:rPr>
          <w:rFonts w:eastAsiaTheme="minorEastAsia"/>
        </w:rPr>
        <w:t>rate (per 100,</w:t>
      </w:r>
      <w:r w:rsidR="00B372EE">
        <w:rPr>
          <w:rFonts w:eastAsiaTheme="minorEastAsia"/>
        </w:rPr>
        <w:t>000 people)</w:t>
      </w:r>
      <w:r>
        <w:rPr>
          <w:rFonts w:eastAsiaTheme="minorEastAsia"/>
        </w:rPr>
        <w:t xml:space="preserve"> </w:t>
      </w:r>
      <w:r w:rsidRPr="67596D41">
        <w:rPr>
          <w:rFonts w:eastAsiaTheme="minorEastAsia"/>
        </w:rPr>
        <w:t xml:space="preserve">for </w:t>
      </w:r>
      <w:r>
        <w:rPr>
          <w:rFonts w:eastAsiaTheme="minorEastAsia"/>
        </w:rPr>
        <w:t>mental health occupational therapists (43%</w:t>
      </w:r>
      <w:r w:rsidR="004D7763">
        <w:rPr>
          <w:rFonts w:eastAsiaTheme="minorEastAsia"/>
        </w:rPr>
        <w:t xml:space="preserve"> increase from 7 to 10</w:t>
      </w:r>
      <w:r>
        <w:rPr>
          <w:rFonts w:eastAsiaTheme="minorEastAsia"/>
        </w:rPr>
        <w:t xml:space="preserve">), </w:t>
      </w:r>
      <w:r w:rsidRPr="67596D41">
        <w:rPr>
          <w:rFonts w:eastAsiaTheme="minorEastAsia"/>
        </w:rPr>
        <w:t>psychologists</w:t>
      </w:r>
      <w:r>
        <w:rPr>
          <w:rFonts w:eastAsiaTheme="minorEastAsia"/>
        </w:rPr>
        <w:t xml:space="preserve"> (28%</w:t>
      </w:r>
      <w:r w:rsidR="004D7763">
        <w:rPr>
          <w:rFonts w:eastAsiaTheme="minorEastAsia"/>
        </w:rPr>
        <w:t xml:space="preserve"> increase from 88 to 113</w:t>
      </w:r>
      <w:r>
        <w:rPr>
          <w:rFonts w:eastAsiaTheme="minorEastAsia"/>
        </w:rPr>
        <w:t>)</w:t>
      </w:r>
      <w:r w:rsidRPr="67596D41">
        <w:rPr>
          <w:rFonts w:eastAsiaTheme="minorEastAsia"/>
        </w:rPr>
        <w:t>, mental health nurses</w:t>
      </w:r>
      <w:r>
        <w:rPr>
          <w:rFonts w:eastAsiaTheme="minorEastAsia"/>
        </w:rPr>
        <w:t xml:space="preserve"> (20%</w:t>
      </w:r>
      <w:r w:rsidR="00B372EE">
        <w:rPr>
          <w:rFonts w:eastAsiaTheme="minorEastAsia"/>
        </w:rPr>
        <w:t xml:space="preserve"> increase from 84 to 101</w:t>
      </w:r>
      <w:r>
        <w:rPr>
          <w:rFonts w:eastAsiaTheme="minorEastAsia"/>
        </w:rPr>
        <w:t>)</w:t>
      </w:r>
      <w:r w:rsidRPr="67596D41">
        <w:rPr>
          <w:rFonts w:eastAsiaTheme="minorEastAsia"/>
        </w:rPr>
        <w:t>, and psychiatrists</w:t>
      </w:r>
      <w:r>
        <w:rPr>
          <w:rFonts w:eastAsiaTheme="minorEastAsia"/>
        </w:rPr>
        <w:t xml:space="preserve"> (15%</w:t>
      </w:r>
      <w:r w:rsidR="00B372EE">
        <w:rPr>
          <w:rFonts w:eastAsiaTheme="minorEastAsia"/>
        </w:rPr>
        <w:t xml:space="preserve"> increase from 13 to 15</w:t>
      </w:r>
      <w:r>
        <w:rPr>
          <w:rFonts w:eastAsiaTheme="minorEastAsia"/>
        </w:rPr>
        <w:t>)</w:t>
      </w:r>
      <w:r w:rsidRPr="67596D41">
        <w:rPr>
          <w:rFonts w:eastAsiaTheme="minorEastAsia"/>
        </w:rPr>
        <w:t>.</w:t>
      </w:r>
      <w:r>
        <w:rPr>
          <w:rFonts w:eastAsiaTheme="minorEastAsia"/>
        </w:rPr>
        <w:t xml:space="preserve"> </w:t>
      </w:r>
      <w:r w:rsidRPr="67596D41">
        <w:rPr>
          <w:rFonts w:eastAsiaTheme="minorEastAsia"/>
        </w:rPr>
        <w:t>However, future gaps in supply are projected for psychiatrists and psychologists</w:t>
      </w:r>
      <w:r>
        <w:rPr>
          <w:rFonts w:eastAsiaTheme="minorEastAsia"/>
        </w:rPr>
        <w:t>.</w:t>
      </w:r>
    </w:p>
    <w:p w14:paraId="43C046F6" w14:textId="4FFEA4C4" w:rsidR="000D1C5F" w:rsidRPr="00040869" w:rsidRDefault="00491AA7" w:rsidP="005C6ED6">
      <w:pPr>
        <w:pStyle w:val="Heading3"/>
        <w:rPr>
          <w:lang w:eastAsia="en-AU"/>
        </w:rPr>
      </w:pPr>
      <w:r>
        <w:rPr>
          <w:noProof/>
        </w:rPr>
        <mc:AlternateContent>
          <mc:Choice Requires="wps">
            <w:drawing>
              <wp:anchor distT="0" distB="0" distL="114300" distR="114300" simplePos="0" relativeHeight="251658243" behindDoc="1" locked="0" layoutInCell="1" allowOverlap="1" wp14:anchorId="72FDEB23" wp14:editId="5B3CD5A5">
                <wp:simplePos x="0" y="0"/>
                <wp:positionH relativeFrom="page">
                  <wp:posOffset>-9714</wp:posOffset>
                </wp:positionH>
                <wp:positionV relativeFrom="page">
                  <wp:posOffset>635</wp:posOffset>
                </wp:positionV>
                <wp:extent cx="7559675" cy="9899650"/>
                <wp:effectExtent l="0" t="0" r="0" b="6350"/>
                <wp:wrapNone/>
                <wp:docPr id="9501906" name="Rectangle 95019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9899650"/>
                        </a:xfrm>
                        <a:prstGeom prst="rect">
                          <a:avLst/>
                        </a:prstGeom>
                        <a:solidFill>
                          <a:srgbClr val="F9F9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80937AA" id="Rectangle 9501906" o:spid="_x0000_s1026" alt="&quot;&quot;" style="position:absolute;margin-left:-.75pt;margin-top:.05pt;width:595.25pt;height:779.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" fillcolor="#f9f9e5" stroked="f" strokeweight="1pt">
                <w10:wrap anchorx="page" anchory="page"/>
              </v:rect>
            </w:pict>
          </mc:Fallback>
        </mc:AlternateContent>
      </w:r>
      <w:r w:rsidR="00B94D76">
        <w:rPr>
          <w:noProof/>
        </w:rPr>
        <mc:AlternateContent>
          <mc:Choice Requires="wps">
            <w:drawing>
              <wp:anchor distT="0" distB="0" distL="114300" distR="114300" simplePos="0" relativeHeight="251658289" behindDoc="1" locked="0" layoutInCell="1" allowOverlap="1" wp14:anchorId="6421DD3E" wp14:editId="179B00DA">
                <wp:simplePos x="0" y="0"/>
                <wp:positionH relativeFrom="page">
                  <wp:posOffset>-8727</wp:posOffset>
                </wp:positionH>
                <wp:positionV relativeFrom="page">
                  <wp:posOffset>10160</wp:posOffset>
                </wp:positionV>
                <wp:extent cx="7560000" cy="153909"/>
                <wp:effectExtent l="0" t="0" r="0" b="0"/>
                <wp:wrapNone/>
                <wp:docPr id="40339313" name="Rectangle 403393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0EB4B5B" id="Rectangle 40339313" o:spid="_x0000_s1026" alt="&quot;&quot;" style="position:absolute;margin-left:-.7pt;margin-top:.8pt;width:595.3pt;height:12.1pt;z-index:-251658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" fillcolor="#008142 [3208]" stroked="f" strokeweight="1pt">
                <w10:wrap anchorx="page" anchory="page"/>
              </v:rect>
            </w:pict>
          </mc:Fallback>
        </mc:AlternateContent>
      </w:r>
      <w:r w:rsidR="000D1C5F" w:rsidRPr="0041674F">
        <w:rPr>
          <w:lang w:eastAsia="en-AU"/>
        </w:rPr>
        <w:t>Key data gaps continue to limit our understanding and opportunities for system improvement</w:t>
      </w:r>
    </w:p>
    <w:p w14:paraId="426F177F" w14:textId="671F2A8F" w:rsidR="000D1C5F" w:rsidRPr="00040869" w:rsidRDefault="000D1C5F" w:rsidP="00AD57F1">
      <w:pPr>
        <w:pStyle w:val="NormalBeforeBullet"/>
        <w:rPr>
          <w:lang w:eastAsia="en-AU"/>
        </w:rPr>
      </w:pPr>
      <w:r w:rsidRPr="00040869">
        <w:rPr>
          <w:lang w:eastAsia="en-AU"/>
        </w:rPr>
        <w:t xml:space="preserve">The current scope and scale of mental health-related activity reporting </w:t>
      </w:r>
      <w:proofErr w:type="gramStart"/>
      <w:r w:rsidRPr="00040869">
        <w:rPr>
          <w:lang w:eastAsia="en-AU"/>
        </w:rPr>
        <w:t>provides</w:t>
      </w:r>
      <w:proofErr w:type="gramEnd"/>
      <w:r w:rsidRPr="00040869">
        <w:rPr>
          <w:lang w:eastAsia="en-AU"/>
        </w:rPr>
        <w:t xml:space="preserve"> a broad overview of how people in Australia interact and engage with the mental health system. However, evidence-informed investments such as targeting funding to areas of greatest need is difficult with stark gaps in data and evidence. </w:t>
      </w:r>
    </w:p>
    <w:p w14:paraId="3AE52B98" w14:textId="7E4518B6" w:rsidR="000D1C5F" w:rsidRPr="00040869" w:rsidRDefault="000D1C5F" w:rsidP="00FC1CFE">
      <w:pPr>
        <w:pStyle w:val="ListBullet"/>
      </w:pPr>
      <w:r w:rsidRPr="00040869">
        <w:t xml:space="preserve">Existing nationally representative outcome measures largely represent publicly funded services, highlighting the need for </w:t>
      </w:r>
      <w:r w:rsidRPr="00040869">
        <w:rPr>
          <w:b/>
        </w:rPr>
        <w:t xml:space="preserve">outcome measurements </w:t>
      </w:r>
      <w:r w:rsidRPr="00040869">
        <w:t xml:space="preserve">across a broader range of care settings, to better understand the extent to which mental health services are improving outcomes for people. </w:t>
      </w:r>
    </w:p>
    <w:p w14:paraId="04C63280" w14:textId="5E15A66A" w:rsidR="000D1C5F" w:rsidRPr="00040869" w:rsidRDefault="000D1C5F" w:rsidP="00FC1CFE">
      <w:pPr>
        <w:pStyle w:val="ListBullet"/>
        <w:rPr>
          <w:b/>
        </w:rPr>
      </w:pPr>
      <w:r w:rsidRPr="00040869">
        <w:t xml:space="preserve">Lack of national data that measures service navigation, care continuity and movement between services is preventing </w:t>
      </w:r>
      <w:r w:rsidRPr="00040869">
        <w:rPr>
          <w:b/>
        </w:rPr>
        <w:t>a holistic understanding of how well the system supports people</w:t>
      </w:r>
      <w:r>
        <w:rPr>
          <w:b/>
          <w:bCs/>
        </w:rPr>
        <w:t>.</w:t>
      </w:r>
      <w:r w:rsidRPr="00040869">
        <w:rPr>
          <w:b/>
        </w:rPr>
        <w:t xml:space="preserve"> </w:t>
      </w:r>
    </w:p>
    <w:p w14:paraId="1ABAA304" w14:textId="77777777" w:rsidR="005512F9" w:rsidRPr="005512F9" w:rsidRDefault="00664AC3" w:rsidP="005512F9">
      <w:pPr>
        <w:pStyle w:val="ListBullet"/>
      </w:pPr>
      <w:r w:rsidRPr="00424218">
        <w:rPr>
          <w:rFonts w:ascii="Aptos" w:hAnsi="Aptos"/>
          <w:noProof/>
          <w:sz w:val="22"/>
        </w:rPr>
        <w:drawing>
          <wp:anchor distT="0" distB="0" distL="114300" distR="114300" simplePos="0" relativeHeight="251696270" behindDoc="0" locked="0" layoutInCell="1" allowOverlap="1" wp14:anchorId="540DA99B" wp14:editId="5C67AEB9">
            <wp:simplePos x="0" y="0"/>
            <wp:positionH relativeFrom="column">
              <wp:posOffset>5292725</wp:posOffset>
            </wp:positionH>
            <wp:positionV relativeFrom="paragraph">
              <wp:posOffset>408256</wp:posOffset>
            </wp:positionV>
            <wp:extent cx="619517" cy="619517"/>
            <wp:effectExtent l="0" t="0" r="0" b="0"/>
            <wp:wrapNone/>
            <wp:docPr id="19736758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01348" name="Picture 29">
                      <a:extLst>
                        <a:ext uri="{C183D7F6-B498-43B3-948B-1728B52AA6E4}">
                          <adec:decorative xmlns:adec="http://schemas.microsoft.com/office/drawing/2017/decorative" val="1"/>
                        </a:ext>
                      </a:extLst>
                    </pic:cNvPr>
                    <pic:cNvPicPr/>
                  </pic:nvPicPr>
                  <pic:blipFill>
                    <a:blip r:embed="rId129">
                      <a:extLst>
                        <a:ext uri="{96DAC541-7B7A-43D3-8B79-37D633B846F1}">
                          <asvg:svgBlip xmlns:asvg="http://schemas.microsoft.com/office/drawing/2016/SVG/main" r:embed="rId130"/>
                        </a:ext>
                      </a:extLst>
                    </a:blip>
                    <a:stretch>
                      <a:fillRect/>
                    </a:stretch>
                  </pic:blipFill>
                  <pic:spPr>
                    <a:xfrm>
                      <a:off x="0" y="0"/>
                      <a:ext cx="619517" cy="619517"/>
                    </a:xfrm>
                    <a:prstGeom prst="rect">
                      <a:avLst/>
                    </a:prstGeom>
                  </pic:spPr>
                </pic:pic>
              </a:graphicData>
            </a:graphic>
            <wp14:sizeRelH relativeFrom="page">
              <wp14:pctWidth>0</wp14:pctWidth>
            </wp14:sizeRelH>
            <wp14:sizeRelV relativeFrom="page">
              <wp14:pctHeight>0</wp14:pctHeight>
            </wp14:sizeRelV>
          </wp:anchor>
        </w:drawing>
      </w:r>
      <w:r w:rsidR="000D1C5F" w:rsidRPr="00040869">
        <w:rPr>
          <w:b/>
        </w:rPr>
        <w:t>Carer, family and kin experiences</w:t>
      </w:r>
      <w:r w:rsidR="000D1C5F" w:rsidRPr="00040869">
        <w:t xml:space="preserve"> and outcomes are integral insights into how well services are working; however, the broader impacts of mental health challenges on families, carers and kin are not consistently measured. This limits our ability to fully quantify need and to effectively plan and deliver supports. </w:t>
      </w:r>
      <w:r w:rsidR="00F92EE1">
        <w:br/>
      </w:r>
      <w:r w:rsidR="000D1C5F" w:rsidRPr="00040869">
        <w:t xml:space="preserve">When care is not accessible or delayed, families and carers may take on additional caring and </w:t>
      </w:r>
      <w:r w:rsidR="00F92EE1">
        <w:br/>
      </w:r>
      <w:r w:rsidR="000D1C5F" w:rsidRPr="00040869">
        <w:t>system-navigation responsibilities, which can in turn impact their own wellbeing.</w:t>
      </w:r>
    </w:p>
    <w:p w14:paraId="0775AB99" w14:textId="57806EC7" w:rsidR="005512F9" w:rsidRDefault="005512F9" w:rsidP="005512F9">
      <w:pPr>
        <w:pStyle w:val="ListBullet"/>
        <w:numPr>
          <w:ilvl w:val="0"/>
          <w:numId w:val="0"/>
        </w:numPr>
      </w:pPr>
      <w:r>
        <w:br/>
      </w:r>
    </w:p>
    <w:p w14:paraId="617FF3B9" w14:textId="34B10E13" w:rsidR="009C373F" w:rsidRPr="002A1A73" w:rsidRDefault="009C373F" w:rsidP="005512F9">
      <w:pPr>
        <w:pStyle w:val="Heading2"/>
      </w:pPr>
      <w:r w:rsidRPr="002A1A73">
        <w:t>What we know about the system</w:t>
      </w:r>
    </w:p>
    <w:p w14:paraId="04B5DC00" w14:textId="4E98D933" w:rsidR="009C373F" w:rsidRPr="00312697" w:rsidRDefault="009C373F" w:rsidP="00702ACD">
      <w:r w:rsidRPr="00BE0A2B">
        <w:t>Australia’s mental health system includes a broad range of services and programs. Services are funded and delivered across different levels of government</w:t>
      </w:r>
      <w:r>
        <w:t>. N</w:t>
      </w:r>
      <w:r w:rsidRPr="00BE0A2B">
        <w:t>on-government and third-party providers</w:t>
      </w:r>
      <w:r>
        <w:t xml:space="preserve"> also</w:t>
      </w:r>
      <w:r w:rsidRPr="00BE0A2B">
        <w:t xml:space="preserve"> play a </w:t>
      </w:r>
      <w:r>
        <w:t>significant</w:t>
      </w:r>
      <w:r w:rsidRPr="00BE0A2B">
        <w:t xml:space="preserve"> role in service delivery.</w:t>
      </w:r>
      <w:r>
        <w:t xml:space="preserve"> Measurement of these services and the outcomes they achieve for consumers is inconsistent. For example, i</w:t>
      </w:r>
      <w:r w:rsidRPr="00BE0A2B">
        <w:t xml:space="preserve">n their Review of the National </w:t>
      </w:r>
      <w:r>
        <w:t xml:space="preserve">Mental Health and </w:t>
      </w:r>
      <w:r w:rsidRPr="00BE0A2B">
        <w:t>Suicide Prevention Agreement</w:t>
      </w:r>
      <w:r>
        <w:t xml:space="preserve"> (the Agreement)</w:t>
      </w:r>
      <w:r w:rsidRPr="00BE0A2B">
        <w:t>, the Productivity Commission highlighted limitations in data measur</w:t>
      </w:r>
      <w:r>
        <w:t>ing</w:t>
      </w:r>
      <w:r w:rsidRPr="00BE0A2B">
        <w:t xml:space="preserve"> many of the Agreement’s outcomes.</w:t>
      </w:r>
      <w:r w:rsidRPr="00BE0A2B">
        <w:rPr>
          <w:vertAlign w:val="superscript"/>
        </w:rPr>
        <w:endnoteReference w:id="125"/>
      </w:r>
      <w:r w:rsidRPr="00BE0A2B">
        <w:t xml:space="preserve"> Separately, recent research identified data availability limitations</w:t>
      </w:r>
      <w:r w:rsidRPr="00BE0A2B" w:rsidDel="001F0201">
        <w:t xml:space="preserve">, </w:t>
      </w:r>
      <w:r w:rsidRPr="00BE0A2B">
        <w:t>conclud</w:t>
      </w:r>
      <w:r>
        <w:t>ing</w:t>
      </w:r>
      <w:r w:rsidRPr="00BE0A2B">
        <w:t xml:space="preserve"> there was no centralised knowledge base of Australian public mental health data</w:t>
      </w:r>
      <w:r>
        <w:t>.</w:t>
      </w:r>
      <w:r>
        <w:rPr>
          <w:rStyle w:val="EndnoteReference"/>
          <w:rFonts w:ascii="Aptos" w:hAnsi="Aptos"/>
          <w:sz w:val="22"/>
        </w:rPr>
        <w:endnoteReference w:id="126"/>
      </w:r>
      <w:r>
        <w:t xml:space="preserve"> E</w:t>
      </w:r>
      <w:r w:rsidRPr="00BE0A2B">
        <w:t>xisting data mainly reflected input and activity data with comparatively little data on prevention, early intervention and social determinants.</w:t>
      </w:r>
      <w:r w:rsidRPr="00BE0A2B">
        <w:rPr>
          <w:vertAlign w:val="superscript"/>
        </w:rPr>
        <w:endnoteReference w:id="127"/>
      </w:r>
      <w:r w:rsidRPr="00BE0A2B">
        <w:t xml:space="preserve">  </w:t>
      </w:r>
    </w:p>
    <w:p w14:paraId="51ADF193" w14:textId="58D15EFB" w:rsidR="000B6BA5" w:rsidRDefault="00A54E88">
      <w:pPr>
        <w:suppressAutoHyphens w:val="0"/>
        <w:autoSpaceDE/>
        <w:autoSpaceDN/>
        <w:adjustRightInd/>
        <w:spacing w:after="0" w:line="240" w:lineRule="auto"/>
        <w:textAlignment w:val="auto"/>
        <w:rPr>
          <w:rFonts w:eastAsiaTheme="majorEastAsia" w:cstheme="majorBidi"/>
          <w:sz w:val="24"/>
          <w:szCs w:val="26"/>
          <w:lang w:val="en-AU" w:eastAsia="en-AU"/>
        </w:rPr>
      </w:pPr>
      <w:r>
        <w:rPr>
          <w:rFonts w:eastAsiaTheme="majorEastAsia" w:cstheme="majorBidi"/>
          <w:noProof/>
          <w:sz w:val="24"/>
          <w:szCs w:val="26"/>
          <w:lang w:val="en-AU" w:eastAsia="en-AU"/>
        </w:rPr>
        <w:drawing>
          <wp:anchor distT="0" distB="0" distL="114300" distR="114300" simplePos="0" relativeHeight="251658355" behindDoc="1" locked="0" layoutInCell="1" allowOverlap="1" wp14:anchorId="7C2CBFE1" wp14:editId="38E65B20">
            <wp:simplePos x="0" y="0"/>
            <wp:positionH relativeFrom="column">
              <wp:posOffset>-922655</wp:posOffset>
            </wp:positionH>
            <wp:positionV relativeFrom="paragraph">
              <wp:posOffset>917857</wp:posOffset>
            </wp:positionV>
            <wp:extent cx="7559675" cy="2368698"/>
            <wp:effectExtent l="0" t="0" r="0" b="6350"/>
            <wp:wrapNone/>
            <wp:docPr id="1827375079" name="Pictur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75079" name="Picture 102">
                      <a:extLst>
                        <a:ext uri="{C183D7F6-B498-43B3-948B-1728B52AA6E4}">
                          <adec:decorative xmlns:adec="http://schemas.microsoft.com/office/drawing/2017/decorative" val="1"/>
                        </a:ext>
                      </a:extLst>
                    </pic:cNvPr>
                    <pic:cNvPicPr/>
                  </pic:nvPicPr>
                  <pic:blipFill>
                    <a:blip r:embed="rId136">
                      <a:extLst>
                        <a:ext uri="{28A0092B-C50C-407E-A947-70E740481C1C}">
                          <a14:useLocalDpi xmlns:a14="http://schemas.microsoft.com/office/drawing/2010/main" val="0"/>
                        </a:ext>
                      </a:extLst>
                    </a:blip>
                    <a:stretch>
                      <a:fillRect/>
                    </a:stretch>
                  </pic:blipFill>
                  <pic:spPr bwMode="auto">
                    <a:xfrm>
                      <a:off x="0" y="0"/>
                      <a:ext cx="7559675" cy="23686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6BA5">
        <w:rPr>
          <w:lang w:val="en-AU"/>
        </w:rPr>
        <w:br w:type="page"/>
      </w:r>
    </w:p>
    <w:p w14:paraId="4FC58CAB" w14:textId="00A84FD3" w:rsidR="009C373F" w:rsidRPr="007A2B6E" w:rsidRDefault="001A7BE6" w:rsidP="009F46B4">
      <w:pPr>
        <w:pStyle w:val="Heading2"/>
        <w:rPr>
          <w:lang w:val="en-AU"/>
        </w:rPr>
      </w:pPr>
      <w:r w:rsidRPr="009D015F">
        <w:rPr>
          <w:color w:val="5C626C"/>
          <w:lang w:val="en-AU"/>
        </w:rPr>
        <w:lastRenderedPageBreak/>
        <w:t>Theme</w:t>
      </w:r>
      <w:r>
        <w:rPr>
          <w:noProof/>
        </w:rPr>
        <w:t xml:space="preserve"> </w:t>
      </w:r>
      <w:r w:rsidR="00C22B94">
        <w:rPr>
          <w:noProof/>
        </w:rPr>
        <w:drawing>
          <wp:inline distT="0" distB="0" distL="0" distR="0" wp14:anchorId="76FA17F3" wp14:editId="301CCFD7">
            <wp:extent cx="234095" cy="331470"/>
            <wp:effectExtent l="0" t="0" r="0" b="0"/>
            <wp:docPr id="390980562"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980562" name="Graphic 189">
                      <a:extLst>
                        <a:ext uri="{C183D7F6-B498-43B3-948B-1728B52AA6E4}">
                          <adec:decorative xmlns:adec="http://schemas.microsoft.com/office/drawing/2017/decorative" val="1"/>
                        </a:ext>
                      </a:extLst>
                    </pic:cNvPr>
                    <pic:cNvPicPr/>
                  </pic:nvPicPr>
                  <pic:blipFill rotWithShape="1">
                    <a:blip r:embed="rId137">
                      <a:extLst>
                        <a:ext uri="{96DAC541-7B7A-43D3-8B79-37D633B846F1}">
                          <asvg:svgBlip xmlns:asvg="http://schemas.microsoft.com/office/drawing/2016/SVG/main" r:embed="rId138"/>
                        </a:ext>
                      </a:extLst>
                    </a:blip>
                    <a:srcRect l="25327" t="12625" r="24153" b="15841"/>
                    <a:stretch>
                      <a:fillRect/>
                    </a:stretch>
                  </pic:blipFill>
                  <pic:spPr bwMode="auto">
                    <a:xfrm>
                      <a:off x="0" y="0"/>
                      <a:ext cx="237395" cy="336143"/>
                    </a:xfrm>
                    <a:prstGeom prst="rect">
                      <a:avLst/>
                    </a:prstGeom>
                    <a:ln>
                      <a:noFill/>
                    </a:ln>
                    <a:extLst>
                      <a:ext uri="{53640926-AAD7-44D8-BBD7-CCE9431645EC}">
                        <a14:shadowObscured xmlns:a14="http://schemas.microsoft.com/office/drawing/2010/main"/>
                      </a:ext>
                    </a:extLst>
                  </pic:spPr>
                </pic:pic>
              </a:graphicData>
            </a:graphic>
          </wp:inline>
        </w:drawing>
      </w:r>
      <w:r w:rsidR="00487EDC">
        <w:rPr>
          <w:color w:val="C00000"/>
          <w:lang w:val="en-AU"/>
        </w:rPr>
        <w:t xml:space="preserve"> </w:t>
      </w:r>
      <w:r w:rsidR="009C373F" w:rsidRPr="004E5D44">
        <w:rPr>
          <w:color w:val="008142" w:themeColor="accent5"/>
        </w:rPr>
        <w:t>Accessibility</w:t>
      </w:r>
      <w:r w:rsidR="00C22B94">
        <w:rPr>
          <w:color w:val="008142" w:themeColor="accent5"/>
        </w:rPr>
        <w:t xml:space="preserve"> </w:t>
      </w:r>
    </w:p>
    <w:p w14:paraId="68B25D73" w14:textId="579E4DA8" w:rsidR="009C373F" w:rsidRPr="00702ACD" w:rsidRDefault="009C373F" w:rsidP="00FE2462">
      <w:pPr>
        <w:pStyle w:val="NormalBeforeBullet"/>
      </w:pPr>
      <w:r w:rsidRPr="00702ACD">
        <w:t>To understand this theme, we consider the following guiding questions:</w:t>
      </w:r>
    </w:p>
    <w:p w14:paraId="1DB8031C" w14:textId="7D00F478" w:rsidR="009C373F" w:rsidRPr="007A2B6E" w:rsidRDefault="006214A2" w:rsidP="004E5D44">
      <w:pPr>
        <w:pStyle w:val="GuidingQuestion"/>
        <w:rPr>
          <w:sz w:val="22"/>
        </w:rPr>
      </w:pPr>
      <w:r>
        <w:rPr>
          <w:noProof/>
        </w:rPr>
        <w:drawing>
          <wp:anchor distT="0" distB="0" distL="114300" distR="114300" simplePos="0" relativeHeight="251815054" behindDoc="0" locked="0" layoutInCell="1" allowOverlap="1" wp14:anchorId="700E3903" wp14:editId="5480CEE2">
            <wp:simplePos x="0" y="0"/>
            <wp:positionH relativeFrom="column">
              <wp:posOffset>5207841</wp:posOffset>
            </wp:positionH>
            <wp:positionV relativeFrom="paragraph">
              <wp:posOffset>686145</wp:posOffset>
            </wp:positionV>
            <wp:extent cx="522605" cy="332740"/>
            <wp:effectExtent l="0" t="0" r="0" b="0"/>
            <wp:wrapSquare wrapText="bothSides"/>
            <wp:docPr id="498703959"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63720" name="Picture 100">
                      <a:extLst>
                        <a:ext uri="{C183D7F6-B498-43B3-948B-1728B52AA6E4}">
                          <adec:decorative xmlns:adec="http://schemas.microsoft.com/office/drawing/2017/decorative" val="1"/>
                        </a:ext>
                      </a:extLst>
                    </pic:cNvPr>
                    <pic:cNvPicPr/>
                  </pic:nvPicPr>
                  <pic:blipFill rotWithShape="1">
                    <a:blip r:embed="rId139">
                      <a:extLst>
                        <a:ext uri="{96DAC541-7B7A-43D3-8B79-37D633B846F1}">
                          <asvg:svgBlip xmlns:asvg="http://schemas.microsoft.com/office/drawing/2016/SVG/main" r:embed="rId140"/>
                        </a:ext>
                      </a:extLst>
                    </a:blip>
                    <a:srcRect l="6567" t="11818" r="1868" b="29856"/>
                    <a:stretch>
                      <a:fillRect/>
                    </a:stretch>
                  </pic:blipFill>
                  <pic:spPr bwMode="auto">
                    <a:xfrm>
                      <a:off x="0" y="0"/>
                      <a:ext cx="522605"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66AD">
        <w:rPr>
          <w:noProof/>
        </w:rPr>
        <w:drawing>
          <wp:inline distT="0" distB="0" distL="0" distR="0" wp14:anchorId="5F5A5441" wp14:editId="5A8B59EF">
            <wp:extent cx="369631" cy="260916"/>
            <wp:effectExtent l="0" t="0" r="0" b="6350"/>
            <wp:docPr id="1175375648"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75648" name="Graphic 189">
                      <a:extLst>
                        <a:ext uri="{C183D7F6-B498-43B3-948B-1728B52AA6E4}">
                          <adec:decorative xmlns:adec="http://schemas.microsoft.com/office/drawing/2017/decorative" val="1"/>
                        </a:ext>
                      </a:extLst>
                    </pic:cNvPr>
                    <pic:cNvPicPr/>
                  </pic:nvPicPr>
                  <pic:blipFill>
                    <a:blip r:embed="rId127">
                      <a:extLst>
                        <a:ext uri="{96DAC541-7B7A-43D3-8B79-37D633B846F1}">
                          <asvg:svgBlip xmlns:asvg="http://schemas.microsoft.com/office/drawing/2016/SVG/main" r:embed="rId128"/>
                        </a:ext>
                      </a:extLst>
                    </a:blip>
                    <a:stretch>
                      <a:fillRect/>
                    </a:stretch>
                  </pic:blipFill>
                  <pic:spPr>
                    <a:xfrm>
                      <a:off x="0" y="0"/>
                      <a:ext cx="369631" cy="260916"/>
                    </a:xfrm>
                    <a:prstGeom prst="rect">
                      <a:avLst/>
                    </a:prstGeom>
                  </pic:spPr>
                </pic:pic>
              </a:graphicData>
            </a:graphic>
          </wp:inline>
        </w:drawing>
      </w:r>
      <w:r w:rsidR="006366AD">
        <w:br/>
      </w:r>
      <w:r w:rsidR="009C373F" w:rsidRPr="00881A7C">
        <w:t xml:space="preserve">Are consumers, carers, family and kin getting the </w:t>
      </w:r>
      <w:r w:rsidR="00821190">
        <w:br/>
      </w:r>
      <w:r w:rsidR="009C373F" w:rsidRPr="00881A7C">
        <w:t xml:space="preserve">right care and support when they need it? </w:t>
      </w:r>
    </w:p>
    <w:p w14:paraId="375C0617" w14:textId="1D3B0A25" w:rsidR="009C373F" w:rsidRPr="008D7352" w:rsidRDefault="009C373F" w:rsidP="008D7352">
      <w:pPr>
        <w:pStyle w:val="Heading3"/>
      </w:pPr>
      <w:r w:rsidRPr="008D7352">
        <w:t xml:space="preserve">The Commission draws on the following indicators: </w:t>
      </w:r>
    </w:p>
    <w:p w14:paraId="479CFEDD" w14:textId="2C0DEC20" w:rsidR="008D7352" w:rsidRPr="005C0BE9" w:rsidRDefault="008D7352" w:rsidP="005C0BE9">
      <w:pPr>
        <w:pStyle w:val="NormalBeforeBullet"/>
      </w:pPr>
      <w:r>
        <w:rPr>
          <w:noProof/>
        </w:rPr>
        <w:drawing>
          <wp:anchor distT="0" distB="0" distL="114300" distR="114300" simplePos="0" relativeHeight="251735182" behindDoc="0" locked="0" layoutInCell="1" allowOverlap="1" wp14:anchorId="22817E5B" wp14:editId="5E72B330">
            <wp:simplePos x="0" y="0"/>
            <wp:positionH relativeFrom="column">
              <wp:posOffset>-5715</wp:posOffset>
            </wp:positionH>
            <wp:positionV relativeFrom="paragraph">
              <wp:posOffset>153964</wp:posOffset>
            </wp:positionV>
            <wp:extent cx="262890" cy="262890"/>
            <wp:effectExtent l="0" t="0" r="3810" b="3810"/>
            <wp:wrapSquare wrapText="bothSides"/>
            <wp:docPr id="1717034909"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77716" name="Picture 100">
                      <a:extLst>
                        <a:ext uri="{C183D7F6-B498-43B3-948B-1728B52AA6E4}">
                          <adec:decorative xmlns:adec="http://schemas.microsoft.com/office/drawing/2017/decorative" val="1"/>
                        </a:ext>
                      </a:extLst>
                    </pic:cNvPr>
                    <pic:cNvPicPr/>
                  </pic:nvPicPr>
                  <pic:blipFill>
                    <a:blip r:embed="rId141">
                      <a:extLst>
                        <a:ext uri="{96DAC541-7B7A-43D3-8B79-37D633B846F1}">
                          <asvg:svgBlip xmlns:asvg="http://schemas.microsoft.com/office/drawing/2016/SVG/main" r:embed="rId142"/>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60626DAE" w14:textId="0B227437" w:rsidR="009C373F" w:rsidRDefault="009C373F" w:rsidP="008D7352">
      <w:pPr>
        <w:pStyle w:val="ListBullet"/>
        <w:numPr>
          <w:ilvl w:val="0"/>
          <w:numId w:val="0"/>
        </w:numPr>
        <w:ind w:left="360"/>
      </w:pPr>
      <w:r w:rsidRPr="005C0BE9">
        <w:t>Mental health care is timely, affordable and geographically accessible for all communities</w:t>
      </w:r>
    </w:p>
    <w:p w14:paraId="4A214AB0" w14:textId="1FE4CCA5" w:rsidR="008D7352" w:rsidRPr="005C0BE9" w:rsidRDefault="008D7352" w:rsidP="008D7352">
      <w:pPr>
        <w:pStyle w:val="ListBullet"/>
        <w:numPr>
          <w:ilvl w:val="0"/>
          <w:numId w:val="0"/>
        </w:numPr>
      </w:pPr>
      <w:r>
        <w:rPr>
          <w:noProof/>
        </w:rPr>
        <w:drawing>
          <wp:anchor distT="0" distB="0" distL="114300" distR="114300" simplePos="0" relativeHeight="251737230" behindDoc="0" locked="0" layoutInCell="1" allowOverlap="1" wp14:anchorId="3AF7CDFE" wp14:editId="135F477B">
            <wp:simplePos x="0" y="0"/>
            <wp:positionH relativeFrom="column">
              <wp:posOffset>-6350</wp:posOffset>
            </wp:positionH>
            <wp:positionV relativeFrom="paragraph">
              <wp:posOffset>120944</wp:posOffset>
            </wp:positionV>
            <wp:extent cx="262890" cy="262890"/>
            <wp:effectExtent l="0" t="0" r="3810" b="3810"/>
            <wp:wrapSquare wrapText="bothSides"/>
            <wp:docPr id="1205218544"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218544" name="Picture 100">
                      <a:extLst>
                        <a:ext uri="{C183D7F6-B498-43B3-948B-1728B52AA6E4}">
                          <adec:decorative xmlns:adec="http://schemas.microsoft.com/office/drawing/2017/decorative" val="1"/>
                        </a:ext>
                      </a:extLst>
                    </pic:cNvPr>
                    <pic:cNvPicPr/>
                  </pic:nvPicPr>
                  <pic:blipFill>
                    <a:blip r:embed="rId132">
                      <a:extLst>
                        <a:ext uri="{96DAC541-7B7A-43D3-8B79-37D633B846F1}">
                          <asvg:svgBlip xmlns:asvg="http://schemas.microsoft.com/office/drawing/2016/SVG/main" r:embed="rId133"/>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3B16976F" w14:textId="110312FE" w:rsidR="009C373F" w:rsidRDefault="009C373F" w:rsidP="008D7352">
      <w:pPr>
        <w:pStyle w:val="ListBullet"/>
        <w:numPr>
          <w:ilvl w:val="0"/>
          <w:numId w:val="0"/>
        </w:numPr>
        <w:ind w:left="170" w:hanging="170"/>
      </w:pPr>
      <w:r w:rsidRPr="005C0BE9">
        <w:t xml:space="preserve">Treatment rates </w:t>
      </w:r>
    </w:p>
    <w:p w14:paraId="70A06BD4" w14:textId="63097135" w:rsidR="008D7352" w:rsidRPr="005C0BE9" w:rsidRDefault="008D7352" w:rsidP="008D7352">
      <w:pPr>
        <w:pStyle w:val="ListBullet"/>
        <w:numPr>
          <w:ilvl w:val="0"/>
          <w:numId w:val="0"/>
        </w:numPr>
      </w:pPr>
      <w:r>
        <w:rPr>
          <w:noProof/>
        </w:rPr>
        <w:drawing>
          <wp:anchor distT="0" distB="0" distL="114300" distR="114300" simplePos="0" relativeHeight="251729038" behindDoc="0" locked="0" layoutInCell="1" allowOverlap="1" wp14:anchorId="6938AD4C" wp14:editId="66FBF10D">
            <wp:simplePos x="0" y="0"/>
            <wp:positionH relativeFrom="column">
              <wp:posOffset>-6350</wp:posOffset>
            </wp:positionH>
            <wp:positionV relativeFrom="paragraph">
              <wp:posOffset>126659</wp:posOffset>
            </wp:positionV>
            <wp:extent cx="262890" cy="262890"/>
            <wp:effectExtent l="0" t="0" r="3810" b="3810"/>
            <wp:wrapSquare wrapText="bothSides"/>
            <wp:docPr id="52656533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6CBC5463" w14:textId="6C2DB000" w:rsidR="009C373F" w:rsidRPr="005C0BE9" w:rsidRDefault="009C373F" w:rsidP="008D7352">
      <w:pPr>
        <w:pStyle w:val="ListBullet"/>
        <w:numPr>
          <w:ilvl w:val="0"/>
          <w:numId w:val="0"/>
        </w:numPr>
        <w:tabs>
          <w:tab w:val="left" w:pos="851"/>
        </w:tabs>
        <w:ind w:left="170" w:hanging="170"/>
      </w:pPr>
      <w:r w:rsidRPr="005C0BE9">
        <w:t>Unmet need for mental health care</w:t>
      </w:r>
      <w:r w:rsidR="00D313CB">
        <w:t xml:space="preserve"> </w:t>
      </w:r>
      <w:r w:rsidR="00AD29E0" w:rsidRPr="004E5D44">
        <w:rPr>
          <w:b/>
          <w:bCs/>
          <w:color w:val="008142" w:themeColor="accent5"/>
        </w:rPr>
        <w:t>Identified data gap</w:t>
      </w:r>
    </w:p>
    <w:p w14:paraId="4B38FEE0" w14:textId="6E8CBA61" w:rsidR="008D7352" w:rsidRDefault="008D7352" w:rsidP="008D7352">
      <w:pPr>
        <w:pStyle w:val="ListBullet"/>
        <w:numPr>
          <w:ilvl w:val="0"/>
          <w:numId w:val="0"/>
        </w:numPr>
        <w:ind w:left="360"/>
      </w:pPr>
      <w:r>
        <w:rPr>
          <w:noProof/>
        </w:rPr>
        <w:drawing>
          <wp:anchor distT="0" distB="0" distL="114300" distR="114300" simplePos="0" relativeHeight="251731086" behindDoc="0" locked="0" layoutInCell="1" allowOverlap="1" wp14:anchorId="1931F899" wp14:editId="252ACCD7">
            <wp:simplePos x="0" y="0"/>
            <wp:positionH relativeFrom="column">
              <wp:posOffset>-6350</wp:posOffset>
            </wp:positionH>
            <wp:positionV relativeFrom="paragraph">
              <wp:posOffset>130469</wp:posOffset>
            </wp:positionV>
            <wp:extent cx="262890" cy="262890"/>
            <wp:effectExtent l="0" t="0" r="3810" b="3810"/>
            <wp:wrapSquare wrapText="bothSides"/>
            <wp:docPr id="893919936"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2C37B0F9" w14:textId="00BC8439" w:rsidR="009C373F" w:rsidRPr="004E5D44" w:rsidRDefault="009C373F" w:rsidP="008D7352">
      <w:pPr>
        <w:pStyle w:val="ListBullet"/>
        <w:numPr>
          <w:ilvl w:val="0"/>
          <w:numId w:val="0"/>
        </w:numPr>
        <w:ind w:left="360"/>
      </w:pPr>
      <w:r w:rsidRPr="005C0BE9">
        <w:t xml:space="preserve">Access to non-government mental health services </w:t>
      </w:r>
      <w:r w:rsidR="00DA126A" w:rsidRPr="004E5D44">
        <w:rPr>
          <w:b/>
          <w:bCs/>
          <w:color w:val="008142" w:themeColor="accent5"/>
        </w:rPr>
        <w:t>Identified data gap</w:t>
      </w:r>
    </w:p>
    <w:p w14:paraId="02EE6A1B" w14:textId="1CA7F4C6" w:rsidR="008D7352" w:rsidRDefault="00851E9C" w:rsidP="008D7352">
      <w:pPr>
        <w:pStyle w:val="ListBullet"/>
        <w:numPr>
          <w:ilvl w:val="0"/>
          <w:numId w:val="0"/>
        </w:numPr>
        <w:ind w:left="360"/>
      </w:pPr>
      <w:r>
        <w:rPr>
          <w:noProof/>
        </w:rPr>
        <w:drawing>
          <wp:anchor distT="0" distB="0" distL="114300" distR="114300" simplePos="0" relativeHeight="251829390" behindDoc="0" locked="0" layoutInCell="1" allowOverlap="1" wp14:anchorId="7F901A3A" wp14:editId="59EF1644">
            <wp:simplePos x="0" y="0"/>
            <wp:positionH relativeFrom="column">
              <wp:posOffset>-7951</wp:posOffset>
            </wp:positionH>
            <wp:positionV relativeFrom="paragraph">
              <wp:posOffset>116840</wp:posOffset>
            </wp:positionV>
            <wp:extent cx="262890" cy="262890"/>
            <wp:effectExtent l="0" t="0" r="3810" b="3810"/>
            <wp:wrapSquare wrapText="bothSides"/>
            <wp:docPr id="1085239696"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39B90DCA" w14:textId="2CE12FC4" w:rsidR="00543C01" w:rsidRPr="005C0BE9" w:rsidRDefault="00543C01" w:rsidP="008D7352">
      <w:pPr>
        <w:pStyle w:val="ListBullet"/>
        <w:numPr>
          <w:ilvl w:val="0"/>
          <w:numId w:val="0"/>
        </w:numPr>
        <w:ind w:left="360"/>
      </w:pPr>
      <w:r>
        <w:t>Services received that did not meet needs</w:t>
      </w:r>
      <w:r w:rsidR="00851E9C">
        <w:t xml:space="preserve"> </w:t>
      </w:r>
      <w:r w:rsidR="00851E9C" w:rsidRPr="004E5D44">
        <w:rPr>
          <w:b/>
          <w:bCs/>
          <w:color w:val="008142" w:themeColor="accent5"/>
        </w:rPr>
        <w:t>Identified data gap</w:t>
      </w:r>
    </w:p>
    <w:p w14:paraId="6F8D07C9" w14:textId="3C40C4AA" w:rsidR="009C373F" w:rsidRPr="005C0BE9" w:rsidRDefault="006214A2" w:rsidP="004E5D44">
      <w:pPr>
        <w:pStyle w:val="GuidingQuestion"/>
      </w:pPr>
      <w:r>
        <w:rPr>
          <w:noProof/>
        </w:rPr>
        <w:drawing>
          <wp:anchor distT="0" distB="0" distL="114300" distR="114300" simplePos="0" relativeHeight="251813006" behindDoc="0" locked="0" layoutInCell="1" allowOverlap="1" wp14:anchorId="0DE68E39" wp14:editId="712EC101">
            <wp:simplePos x="0" y="0"/>
            <wp:positionH relativeFrom="column">
              <wp:posOffset>5208787</wp:posOffset>
            </wp:positionH>
            <wp:positionV relativeFrom="paragraph">
              <wp:posOffset>673104</wp:posOffset>
            </wp:positionV>
            <wp:extent cx="522605" cy="332740"/>
            <wp:effectExtent l="0" t="0" r="0" b="0"/>
            <wp:wrapSquare wrapText="bothSides"/>
            <wp:docPr id="1105655042"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63720" name="Picture 100">
                      <a:extLst>
                        <a:ext uri="{C183D7F6-B498-43B3-948B-1728B52AA6E4}">
                          <adec:decorative xmlns:adec="http://schemas.microsoft.com/office/drawing/2017/decorative" val="1"/>
                        </a:ext>
                      </a:extLst>
                    </pic:cNvPr>
                    <pic:cNvPicPr/>
                  </pic:nvPicPr>
                  <pic:blipFill rotWithShape="1">
                    <a:blip r:embed="rId139">
                      <a:extLst>
                        <a:ext uri="{96DAC541-7B7A-43D3-8B79-37D633B846F1}">
                          <asvg:svgBlip xmlns:asvg="http://schemas.microsoft.com/office/drawing/2016/SVG/main" r:embed="rId140"/>
                        </a:ext>
                      </a:extLst>
                    </a:blip>
                    <a:srcRect l="6567" t="11818" r="1868" b="29856"/>
                    <a:stretch>
                      <a:fillRect/>
                    </a:stretch>
                  </pic:blipFill>
                  <pic:spPr bwMode="auto">
                    <a:xfrm>
                      <a:off x="0" y="0"/>
                      <a:ext cx="522605"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66AD">
        <w:rPr>
          <w:noProof/>
        </w:rPr>
        <w:drawing>
          <wp:inline distT="0" distB="0" distL="0" distR="0" wp14:anchorId="195A1137" wp14:editId="3E071032">
            <wp:extent cx="369631" cy="260916"/>
            <wp:effectExtent l="0" t="0" r="0" b="6350"/>
            <wp:docPr id="2088724548"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24548" name="Graphic 189">
                      <a:extLst>
                        <a:ext uri="{C183D7F6-B498-43B3-948B-1728B52AA6E4}">
                          <adec:decorative xmlns:adec="http://schemas.microsoft.com/office/drawing/2017/decorative" val="1"/>
                        </a:ext>
                      </a:extLst>
                    </pic:cNvPr>
                    <pic:cNvPicPr/>
                  </pic:nvPicPr>
                  <pic:blipFill>
                    <a:blip r:embed="rId127">
                      <a:extLst>
                        <a:ext uri="{96DAC541-7B7A-43D3-8B79-37D633B846F1}">
                          <asvg:svgBlip xmlns:asvg="http://schemas.microsoft.com/office/drawing/2016/SVG/main" r:embed="rId128"/>
                        </a:ext>
                      </a:extLst>
                    </a:blip>
                    <a:stretch>
                      <a:fillRect/>
                    </a:stretch>
                  </pic:blipFill>
                  <pic:spPr>
                    <a:xfrm>
                      <a:off x="0" y="0"/>
                      <a:ext cx="369631" cy="260916"/>
                    </a:xfrm>
                    <a:prstGeom prst="rect">
                      <a:avLst/>
                    </a:prstGeom>
                  </pic:spPr>
                </pic:pic>
              </a:graphicData>
            </a:graphic>
          </wp:inline>
        </w:drawing>
      </w:r>
      <w:r w:rsidR="006366AD">
        <w:br/>
      </w:r>
      <w:r w:rsidR="009C373F" w:rsidRPr="005C0BE9">
        <w:t xml:space="preserve">To what extent are consumers, carers, family and kin unable to access </w:t>
      </w:r>
      <w:r w:rsidR="000F5B08">
        <w:br/>
      </w:r>
      <w:r w:rsidR="009C373F" w:rsidRPr="005C0BE9">
        <w:t xml:space="preserve">the mental health supports they need, trust and prefer? </w:t>
      </w:r>
    </w:p>
    <w:p w14:paraId="1070A73A" w14:textId="4FB3B558" w:rsidR="009C373F" w:rsidRDefault="009C373F" w:rsidP="00F25942">
      <w:pPr>
        <w:pStyle w:val="Heading3"/>
        <w:rPr>
          <w:lang w:eastAsia="en-AU"/>
        </w:rPr>
      </w:pPr>
      <w:r w:rsidRPr="00881A7C">
        <w:rPr>
          <w:lang w:eastAsia="en-AU"/>
        </w:rPr>
        <w:t xml:space="preserve">The Commission draws on the following indicators: </w:t>
      </w:r>
    </w:p>
    <w:p w14:paraId="6C87EDE8" w14:textId="654BDB3C" w:rsidR="00F25942" w:rsidRPr="00881A7C" w:rsidRDefault="00F25942" w:rsidP="005C0BE9">
      <w:pPr>
        <w:pStyle w:val="NormalBeforeBullet"/>
        <w:rPr>
          <w:lang w:eastAsia="en-AU"/>
        </w:rPr>
      </w:pPr>
      <w:r>
        <w:rPr>
          <w:noProof/>
        </w:rPr>
        <w:drawing>
          <wp:anchor distT="0" distB="0" distL="114300" distR="114300" simplePos="0" relativeHeight="251741326" behindDoc="0" locked="0" layoutInCell="1" allowOverlap="1" wp14:anchorId="01912BC6" wp14:editId="1EE30563">
            <wp:simplePos x="0" y="0"/>
            <wp:positionH relativeFrom="column">
              <wp:posOffset>17780</wp:posOffset>
            </wp:positionH>
            <wp:positionV relativeFrom="paragraph">
              <wp:posOffset>163830</wp:posOffset>
            </wp:positionV>
            <wp:extent cx="262890" cy="262890"/>
            <wp:effectExtent l="0" t="0" r="3810" b="3810"/>
            <wp:wrapSquare wrapText="bothSides"/>
            <wp:docPr id="1088803974"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03974" name="Picture 100">
                      <a:extLst>
                        <a:ext uri="{C183D7F6-B498-43B3-948B-1728B52AA6E4}">
                          <adec:decorative xmlns:adec="http://schemas.microsoft.com/office/drawing/2017/decorative" val="1"/>
                        </a:ext>
                      </a:extLst>
                    </pic:cNvPr>
                    <pic:cNvPicPr/>
                  </pic:nvPicPr>
                  <pic:blipFill>
                    <a:blip r:embed="rId145">
                      <a:extLst>
                        <a:ext uri="{96DAC541-7B7A-43D3-8B79-37D633B846F1}">
                          <asvg:svgBlip xmlns:asvg="http://schemas.microsoft.com/office/drawing/2016/SVG/main" r:embed="rId146"/>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4CCC23A0" w14:textId="285BA90C" w:rsidR="009C373F" w:rsidRPr="00702ACD" w:rsidRDefault="00F25942" w:rsidP="00F25942">
      <w:pPr>
        <w:pStyle w:val="ListBullet"/>
        <w:numPr>
          <w:ilvl w:val="0"/>
          <w:numId w:val="0"/>
        </w:numPr>
        <w:ind w:left="170" w:hanging="170"/>
      </w:pPr>
      <w:r>
        <w:rPr>
          <w:noProof/>
        </w:rPr>
        <w:drawing>
          <wp:anchor distT="0" distB="0" distL="114300" distR="114300" simplePos="0" relativeHeight="251743374" behindDoc="0" locked="0" layoutInCell="1" allowOverlap="1" wp14:anchorId="4731E4FF" wp14:editId="23105395">
            <wp:simplePos x="0" y="0"/>
            <wp:positionH relativeFrom="column">
              <wp:posOffset>17780</wp:posOffset>
            </wp:positionH>
            <wp:positionV relativeFrom="paragraph">
              <wp:posOffset>293370</wp:posOffset>
            </wp:positionV>
            <wp:extent cx="262890" cy="262890"/>
            <wp:effectExtent l="0" t="0" r="3810" b="3810"/>
            <wp:wrapSquare wrapText="bothSides"/>
            <wp:docPr id="1644106404"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r w:rsidR="009C373F" w:rsidRPr="00702ACD">
        <w:t>Cost related delays to accessing care</w:t>
      </w:r>
      <w:r>
        <w:br/>
      </w:r>
    </w:p>
    <w:p w14:paraId="4E7F9CDF" w14:textId="165A0720" w:rsidR="009C373F" w:rsidRDefault="009C373F" w:rsidP="00F25942">
      <w:pPr>
        <w:pStyle w:val="ListBullet"/>
        <w:numPr>
          <w:ilvl w:val="0"/>
          <w:numId w:val="0"/>
        </w:numPr>
        <w:ind w:left="170" w:hanging="170"/>
      </w:pPr>
      <w:r w:rsidRPr="00702ACD">
        <w:t xml:space="preserve">Wait times following referral </w:t>
      </w:r>
      <w:r w:rsidR="00DA126A" w:rsidRPr="004E5D44">
        <w:rPr>
          <w:b/>
          <w:bCs/>
          <w:color w:val="008142" w:themeColor="accent5"/>
        </w:rPr>
        <w:t xml:space="preserve">Identified data gap </w:t>
      </w:r>
    </w:p>
    <w:p w14:paraId="1346CADE" w14:textId="042E8C92" w:rsidR="00F25942" w:rsidRPr="00702ACD" w:rsidRDefault="00F25942" w:rsidP="00F25942">
      <w:pPr>
        <w:pStyle w:val="ListBullet"/>
        <w:numPr>
          <w:ilvl w:val="0"/>
          <w:numId w:val="0"/>
        </w:numPr>
      </w:pPr>
    </w:p>
    <w:p w14:paraId="1696DFAE" w14:textId="3C336922" w:rsidR="009C373F" w:rsidRPr="00702ACD" w:rsidRDefault="00F25942" w:rsidP="00F25942">
      <w:pPr>
        <w:pStyle w:val="ListBullet"/>
        <w:numPr>
          <w:ilvl w:val="0"/>
          <w:numId w:val="0"/>
        </w:numPr>
        <w:ind w:left="170" w:hanging="170"/>
      </w:pPr>
      <w:r>
        <w:rPr>
          <w:noProof/>
        </w:rPr>
        <w:drawing>
          <wp:anchor distT="0" distB="0" distL="114300" distR="114300" simplePos="0" relativeHeight="251745422" behindDoc="0" locked="0" layoutInCell="1" allowOverlap="1" wp14:anchorId="46F6A007" wp14:editId="29F1A9C7">
            <wp:simplePos x="0" y="0"/>
            <wp:positionH relativeFrom="column">
              <wp:posOffset>17780</wp:posOffset>
            </wp:positionH>
            <wp:positionV relativeFrom="paragraph">
              <wp:posOffset>34290</wp:posOffset>
            </wp:positionV>
            <wp:extent cx="262890" cy="262890"/>
            <wp:effectExtent l="0" t="0" r="3810" b="3810"/>
            <wp:wrapSquare wrapText="bothSides"/>
            <wp:docPr id="162903240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r w:rsidR="009C373F" w:rsidRPr="00702ACD">
        <w:t xml:space="preserve">Capability and capacity of families, carers and kin to effectively </w:t>
      </w:r>
      <w:r>
        <w:br/>
      </w:r>
      <w:r w:rsidR="009C373F" w:rsidRPr="00702ACD">
        <w:t>support people experiencing mental health challenges </w:t>
      </w:r>
      <w:r w:rsidR="00DA126A" w:rsidRPr="004E5D44">
        <w:rPr>
          <w:b/>
          <w:bCs/>
          <w:color w:val="008142" w:themeColor="accent5"/>
        </w:rPr>
        <w:t>Identified data gap</w:t>
      </w:r>
    </w:p>
    <w:p w14:paraId="350FCAE3" w14:textId="55E1BF56" w:rsidR="009C373F" w:rsidRPr="005C0BE9" w:rsidRDefault="006214A2" w:rsidP="004E5D44">
      <w:pPr>
        <w:pStyle w:val="GuidingQuestion"/>
      </w:pPr>
      <w:r>
        <w:rPr>
          <w:noProof/>
        </w:rPr>
        <w:drawing>
          <wp:anchor distT="0" distB="0" distL="114300" distR="114300" simplePos="0" relativeHeight="251810958" behindDoc="0" locked="0" layoutInCell="1" allowOverlap="1" wp14:anchorId="5322324E" wp14:editId="6B4A6CA4">
            <wp:simplePos x="0" y="0"/>
            <wp:positionH relativeFrom="column">
              <wp:posOffset>5206626</wp:posOffset>
            </wp:positionH>
            <wp:positionV relativeFrom="paragraph">
              <wp:posOffset>675796</wp:posOffset>
            </wp:positionV>
            <wp:extent cx="522605" cy="332740"/>
            <wp:effectExtent l="0" t="0" r="0" b="0"/>
            <wp:wrapSquare wrapText="bothSides"/>
            <wp:docPr id="1487374428"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63720" name="Picture 100">
                      <a:extLst>
                        <a:ext uri="{C183D7F6-B498-43B3-948B-1728B52AA6E4}">
                          <adec:decorative xmlns:adec="http://schemas.microsoft.com/office/drawing/2017/decorative" val="1"/>
                        </a:ext>
                      </a:extLst>
                    </pic:cNvPr>
                    <pic:cNvPicPr/>
                  </pic:nvPicPr>
                  <pic:blipFill rotWithShape="1">
                    <a:blip r:embed="rId139">
                      <a:extLst>
                        <a:ext uri="{96DAC541-7B7A-43D3-8B79-37D633B846F1}">
                          <asvg:svgBlip xmlns:asvg="http://schemas.microsoft.com/office/drawing/2016/SVG/main" r:embed="rId140"/>
                        </a:ext>
                      </a:extLst>
                    </a:blip>
                    <a:srcRect l="6567" t="11818" r="1868" b="29856"/>
                    <a:stretch>
                      <a:fillRect/>
                    </a:stretch>
                  </pic:blipFill>
                  <pic:spPr bwMode="auto">
                    <a:xfrm>
                      <a:off x="0" y="0"/>
                      <a:ext cx="522605"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66AD">
        <w:rPr>
          <w:noProof/>
        </w:rPr>
        <w:drawing>
          <wp:inline distT="0" distB="0" distL="0" distR="0" wp14:anchorId="3AB30E67" wp14:editId="56D6877F">
            <wp:extent cx="369631" cy="260916"/>
            <wp:effectExtent l="0" t="0" r="0" b="6350"/>
            <wp:docPr id="83909616"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9616" name="Graphic 189">
                      <a:extLst>
                        <a:ext uri="{C183D7F6-B498-43B3-948B-1728B52AA6E4}">
                          <adec:decorative xmlns:adec="http://schemas.microsoft.com/office/drawing/2017/decorative" val="1"/>
                        </a:ext>
                      </a:extLst>
                    </pic:cNvPr>
                    <pic:cNvPicPr/>
                  </pic:nvPicPr>
                  <pic:blipFill>
                    <a:blip r:embed="rId127">
                      <a:extLst>
                        <a:ext uri="{96DAC541-7B7A-43D3-8B79-37D633B846F1}">
                          <asvg:svgBlip xmlns:asvg="http://schemas.microsoft.com/office/drawing/2016/SVG/main" r:embed="rId128"/>
                        </a:ext>
                      </a:extLst>
                    </a:blip>
                    <a:stretch>
                      <a:fillRect/>
                    </a:stretch>
                  </pic:blipFill>
                  <pic:spPr>
                    <a:xfrm>
                      <a:off x="0" y="0"/>
                      <a:ext cx="369631" cy="260916"/>
                    </a:xfrm>
                    <a:prstGeom prst="rect">
                      <a:avLst/>
                    </a:prstGeom>
                  </pic:spPr>
                </pic:pic>
              </a:graphicData>
            </a:graphic>
          </wp:inline>
        </w:drawing>
      </w:r>
      <w:r w:rsidR="006366AD">
        <w:br/>
      </w:r>
      <w:r w:rsidR="009C373F" w:rsidRPr="005C0BE9">
        <w:t xml:space="preserve">To what extent do consumers, carers, family and kin have awareness, </w:t>
      </w:r>
      <w:r w:rsidR="000F5B08">
        <w:br/>
      </w:r>
      <w:r w:rsidR="009C373F" w:rsidRPr="005C0BE9">
        <w:t>understanding, and trust towards available mental health supports?</w:t>
      </w:r>
    </w:p>
    <w:p w14:paraId="39E7348A" w14:textId="2A63E8AB" w:rsidR="009C373F" w:rsidRPr="00653670" w:rsidRDefault="009C373F" w:rsidP="00F25942">
      <w:pPr>
        <w:pStyle w:val="Heading3"/>
      </w:pPr>
      <w:r w:rsidRPr="00653670">
        <w:t xml:space="preserve">The Commission draws on the following indicators: </w:t>
      </w:r>
    </w:p>
    <w:p w14:paraId="195D3ED2" w14:textId="508EB947" w:rsidR="00F25942" w:rsidRDefault="006214A2" w:rsidP="00F25942">
      <w:pPr>
        <w:pStyle w:val="ListBullet"/>
        <w:numPr>
          <w:ilvl w:val="0"/>
          <w:numId w:val="0"/>
        </w:numPr>
        <w:ind w:left="170" w:hanging="170"/>
      </w:pPr>
      <w:r>
        <w:rPr>
          <w:noProof/>
        </w:rPr>
        <w:drawing>
          <wp:anchor distT="0" distB="0" distL="114300" distR="114300" simplePos="0" relativeHeight="251747470" behindDoc="0" locked="0" layoutInCell="1" allowOverlap="1" wp14:anchorId="0DAA25D3" wp14:editId="2E2AD07F">
            <wp:simplePos x="0" y="0"/>
            <wp:positionH relativeFrom="column">
              <wp:posOffset>0</wp:posOffset>
            </wp:positionH>
            <wp:positionV relativeFrom="paragraph">
              <wp:posOffset>128270</wp:posOffset>
            </wp:positionV>
            <wp:extent cx="262890" cy="262890"/>
            <wp:effectExtent l="0" t="0" r="3810" b="3810"/>
            <wp:wrapSquare wrapText="bothSides"/>
            <wp:docPr id="555760418"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361F83E5" w14:textId="7375974C" w:rsidR="00F25942" w:rsidRDefault="009C373F" w:rsidP="00F25942">
      <w:pPr>
        <w:pStyle w:val="ListBullet"/>
        <w:numPr>
          <w:ilvl w:val="0"/>
          <w:numId w:val="0"/>
        </w:numPr>
        <w:ind w:left="170" w:hanging="170"/>
        <w:rPr>
          <w:b/>
          <w:bCs/>
          <w:color w:val="008142" w:themeColor="accent5"/>
        </w:rPr>
      </w:pPr>
      <w:r w:rsidRPr="005C0BE9">
        <w:t>Knowledge and awareness of how to navigate to relevant mental health care</w:t>
      </w:r>
      <w:r w:rsidR="00CF3A65">
        <w:t xml:space="preserve"> </w:t>
      </w:r>
      <w:r w:rsidR="00DA126A" w:rsidRPr="004E5D44">
        <w:rPr>
          <w:b/>
          <w:bCs/>
          <w:color w:val="008142" w:themeColor="accent5"/>
        </w:rPr>
        <w:t>Identified data gap</w:t>
      </w:r>
    </w:p>
    <w:p w14:paraId="7A46E73D" w14:textId="28190950" w:rsidR="00F25942" w:rsidRDefault="00F25942" w:rsidP="00F25942">
      <w:pPr>
        <w:pStyle w:val="ListBullet"/>
        <w:numPr>
          <w:ilvl w:val="0"/>
          <w:numId w:val="0"/>
        </w:numPr>
        <w:ind w:left="170" w:hanging="170"/>
        <w:rPr>
          <w:b/>
          <w:bCs/>
          <w:color w:val="008142" w:themeColor="accent5"/>
        </w:rPr>
      </w:pPr>
      <w:r>
        <w:rPr>
          <w:noProof/>
        </w:rPr>
        <w:drawing>
          <wp:anchor distT="0" distB="0" distL="114300" distR="114300" simplePos="0" relativeHeight="251749518" behindDoc="0" locked="0" layoutInCell="1" allowOverlap="1" wp14:anchorId="50AD03FA" wp14:editId="5CA10E97">
            <wp:simplePos x="0" y="0"/>
            <wp:positionH relativeFrom="column">
              <wp:posOffset>-505</wp:posOffset>
            </wp:positionH>
            <wp:positionV relativeFrom="paragraph">
              <wp:posOffset>130351</wp:posOffset>
            </wp:positionV>
            <wp:extent cx="262890" cy="262890"/>
            <wp:effectExtent l="0" t="0" r="3810" b="3810"/>
            <wp:wrapSquare wrapText="bothSides"/>
            <wp:docPr id="382680075"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65E2AF48" w14:textId="018D8845" w:rsidR="009C373F" w:rsidRPr="005C0BE9" w:rsidRDefault="009C373F" w:rsidP="00F25942">
      <w:pPr>
        <w:pStyle w:val="ListBullet"/>
        <w:numPr>
          <w:ilvl w:val="0"/>
          <w:numId w:val="0"/>
        </w:numPr>
        <w:ind w:left="170" w:hanging="170"/>
      </w:pPr>
      <w:r w:rsidRPr="005C0BE9">
        <w:t xml:space="preserve">Mental health literacy </w:t>
      </w:r>
      <w:r w:rsidR="002B21DE" w:rsidRPr="004E5D44">
        <w:rPr>
          <w:b/>
          <w:bCs/>
          <w:color w:val="008142" w:themeColor="accent5"/>
        </w:rPr>
        <w:t>Identified data gap</w:t>
      </w:r>
    </w:p>
    <w:p w14:paraId="0ED327DA" w14:textId="7D961A91" w:rsidR="00F25942" w:rsidRDefault="00F25942" w:rsidP="00F25942">
      <w:pPr>
        <w:pStyle w:val="ListBullet"/>
        <w:numPr>
          <w:ilvl w:val="0"/>
          <w:numId w:val="0"/>
        </w:numPr>
        <w:ind w:left="170"/>
      </w:pPr>
    </w:p>
    <w:p w14:paraId="446B3D4A" w14:textId="2053B6E0" w:rsidR="009C373F" w:rsidRPr="005C0BE9" w:rsidRDefault="00F25942" w:rsidP="00F25942">
      <w:pPr>
        <w:pStyle w:val="ListBullet"/>
        <w:numPr>
          <w:ilvl w:val="0"/>
          <w:numId w:val="0"/>
        </w:numPr>
        <w:ind w:left="170"/>
      </w:pPr>
      <w:r>
        <w:rPr>
          <w:noProof/>
        </w:rPr>
        <w:drawing>
          <wp:anchor distT="0" distB="0" distL="114300" distR="114300" simplePos="0" relativeHeight="251751566" behindDoc="0" locked="0" layoutInCell="1" allowOverlap="1" wp14:anchorId="58B70B4F" wp14:editId="50F9A4A9">
            <wp:simplePos x="0" y="0"/>
            <wp:positionH relativeFrom="column">
              <wp:posOffset>0</wp:posOffset>
            </wp:positionH>
            <wp:positionV relativeFrom="paragraph">
              <wp:posOffset>34631</wp:posOffset>
            </wp:positionV>
            <wp:extent cx="262890" cy="262890"/>
            <wp:effectExtent l="0" t="0" r="3810" b="3810"/>
            <wp:wrapSquare wrapText="bothSides"/>
            <wp:docPr id="475553784"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r w:rsidR="009C373F" w:rsidRPr="005C0BE9">
        <w:t xml:space="preserve">Proportion of people who report receiving effective support to </w:t>
      </w:r>
      <w:r>
        <w:br/>
      </w:r>
      <w:r w:rsidR="009C373F" w:rsidRPr="005C0BE9">
        <w:t xml:space="preserve">navigate between multiple mental health </w:t>
      </w:r>
      <w:r w:rsidR="009C373F" w:rsidRPr="00CF3A65">
        <w:t>providers</w:t>
      </w:r>
      <w:r w:rsidR="002B21DE" w:rsidRPr="002B21DE">
        <w:rPr>
          <w:b/>
          <w:bCs/>
        </w:rPr>
        <w:t xml:space="preserve"> </w:t>
      </w:r>
      <w:r w:rsidR="002B21DE" w:rsidRPr="004E5D44">
        <w:rPr>
          <w:b/>
          <w:bCs/>
          <w:color w:val="008142" w:themeColor="accent5"/>
        </w:rPr>
        <w:t>Identified data gap</w:t>
      </w:r>
    </w:p>
    <w:p w14:paraId="6030D28C" w14:textId="1F3A16EF" w:rsidR="00F25942" w:rsidRDefault="00F25942" w:rsidP="00F25942">
      <w:pPr>
        <w:pStyle w:val="ListBullet"/>
        <w:numPr>
          <w:ilvl w:val="0"/>
          <w:numId w:val="0"/>
        </w:numPr>
        <w:ind w:left="170" w:hanging="170"/>
      </w:pPr>
      <w:r>
        <w:rPr>
          <w:noProof/>
        </w:rPr>
        <w:drawing>
          <wp:anchor distT="0" distB="0" distL="114300" distR="114300" simplePos="0" relativeHeight="251753614" behindDoc="0" locked="0" layoutInCell="1" allowOverlap="1" wp14:anchorId="3B7F283E" wp14:editId="27CAD90C">
            <wp:simplePos x="0" y="0"/>
            <wp:positionH relativeFrom="column">
              <wp:posOffset>-6056</wp:posOffset>
            </wp:positionH>
            <wp:positionV relativeFrom="paragraph">
              <wp:posOffset>120015</wp:posOffset>
            </wp:positionV>
            <wp:extent cx="262890" cy="262890"/>
            <wp:effectExtent l="0" t="0" r="3810" b="3810"/>
            <wp:wrapSquare wrapText="bothSides"/>
            <wp:docPr id="311395036"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611B1B72" w14:textId="6A32ADF2" w:rsidR="009C373F" w:rsidRDefault="009C373F" w:rsidP="00F25942">
      <w:pPr>
        <w:pStyle w:val="ListBullet"/>
        <w:numPr>
          <w:ilvl w:val="0"/>
          <w:numId w:val="0"/>
        </w:numPr>
        <w:ind w:left="170" w:hanging="170"/>
        <w:rPr>
          <w:b/>
          <w:bCs/>
          <w:color w:val="008142" w:themeColor="accent5"/>
        </w:rPr>
      </w:pPr>
      <w:r w:rsidRPr="005C0BE9">
        <w:t xml:space="preserve">Experience of stigma in mental health services </w:t>
      </w:r>
      <w:r w:rsidR="002B21DE" w:rsidRPr="004E5D44">
        <w:rPr>
          <w:b/>
          <w:bCs/>
          <w:color w:val="008142" w:themeColor="accent5"/>
        </w:rPr>
        <w:t>Identified data gap</w:t>
      </w:r>
    </w:p>
    <w:p w14:paraId="019F44D6" w14:textId="77777777" w:rsidR="00F25942" w:rsidRPr="00702ACD" w:rsidRDefault="00F25942" w:rsidP="00F25942">
      <w:pPr>
        <w:pStyle w:val="ListBullet"/>
        <w:numPr>
          <w:ilvl w:val="0"/>
          <w:numId w:val="0"/>
        </w:numPr>
        <w:ind w:left="170" w:hanging="170"/>
      </w:pPr>
    </w:p>
    <w:p w14:paraId="4C73D79D" w14:textId="2DC79F70" w:rsidR="009C373F" w:rsidRPr="002443C4" w:rsidRDefault="00B94D76" w:rsidP="00702ACD">
      <w:pPr>
        <w:rPr>
          <w:lang w:val="en-AU" w:eastAsia="en-AU"/>
        </w:rPr>
      </w:pPr>
      <w:r>
        <w:rPr>
          <w:noProof/>
        </w:rPr>
        <mc:AlternateContent>
          <mc:Choice Requires="wps">
            <w:drawing>
              <wp:anchor distT="0" distB="0" distL="114300" distR="114300" simplePos="0" relativeHeight="251658290" behindDoc="1" locked="0" layoutInCell="1" allowOverlap="1" wp14:anchorId="6334FCC1" wp14:editId="35F9086E">
                <wp:simplePos x="0" y="0"/>
                <wp:positionH relativeFrom="page">
                  <wp:posOffset>-8890</wp:posOffset>
                </wp:positionH>
                <wp:positionV relativeFrom="page">
                  <wp:posOffset>9997</wp:posOffset>
                </wp:positionV>
                <wp:extent cx="7560000" cy="153909"/>
                <wp:effectExtent l="0" t="0" r="0" b="0"/>
                <wp:wrapNone/>
                <wp:docPr id="524669110" name="Rectangle 524669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2D6014A" id="Rectangle 524669110" o:spid="_x0000_s1026" alt="&quot;&quot;" style="position:absolute;margin-left:-.7pt;margin-top:.8pt;width:595.3pt;height:12.1pt;z-index:-2516581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" fillcolor="#008142 [3208]" stroked="f" strokeweight="1pt">
                <w10:wrap anchorx="page" anchory="page"/>
              </v:rect>
            </w:pict>
          </mc:Fallback>
        </mc:AlternateContent>
      </w:r>
      <w:r w:rsidR="009C373F" w:rsidRPr="00F07A16">
        <w:rPr>
          <w:lang w:val="en-AU" w:eastAsia="en-AU"/>
        </w:rPr>
        <w:t xml:space="preserve">Mental health supports </w:t>
      </w:r>
      <w:r w:rsidR="009C373F">
        <w:rPr>
          <w:lang w:val="en-AU" w:eastAsia="en-AU"/>
        </w:rPr>
        <w:t>must</w:t>
      </w:r>
      <w:r w:rsidR="009C373F" w:rsidRPr="00F07A16">
        <w:rPr>
          <w:lang w:val="en-AU" w:eastAsia="en-AU"/>
        </w:rPr>
        <w:t xml:space="preserve"> be available to people in the community when and where they need them. However, this is often not the case. Access can be affected by barriers such as cost, wait times, demand for services and geographic availability. Accessibility is also shaped by whether services and supports are aligned with consumers’ preferences, needs and circumstances, and whether people feel able and willing to use them.</w:t>
      </w:r>
    </w:p>
    <w:p w14:paraId="132378E1" w14:textId="1DD7F5B6" w:rsidR="009C373F" w:rsidRPr="00702ACD" w:rsidRDefault="0072564B" w:rsidP="009F46B4">
      <w:pPr>
        <w:pStyle w:val="Heading2"/>
      </w:pPr>
      <w:r>
        <w:rPr>
          <w:noProof/>
        </w:rPr>
        <w:lastRenderedPageBreak/>
        <w:drawing>
          <wp:anchor distT="0" distB="0" distL="114300" distR="114300" simplePos="0" relativeHeight="251699342" behindDoc="0" locked="0" layoutInCell="1" allowOverlap="1" wp14:anchorId="44388BA9" wp14:editId="5C2364B6">
            <wp:simplePos x="0" y="0"/>
            <wp:positionH relativeFrom="column">
              <wp:posOffset>-8255</wp:posOffset>
            </wp:positionH>
            <wp:positionV relativeFrom="paragraph">
              <wp:posOffset>20135</wp:posOffset>
            </wp:positionV>
            <wp:extent cx="387350" cy="387350"/>
            <wp:effectExtent l="0" t="0" r="6350" b="6350"/>
            <wp:wrapSquare wrapText="bothSides"/>
            <wp:docPr id="1130177716"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77716" name="Picture 100">
                      <a:extLst>
                        <a:ext uri="{C183D7F6-B498-43B3-948B-1728B52AA6E4}">
                          <adec:decorative xmlns:adec="http://schemas.microsoft.com/office/drawing/2017/decorative" val="1"/>
                        </a:ext>
                      </a:extLst>
                    </pic:cNvPr>
                    <pic:cNvPicPr/>
                  </pic:nvPicPr>
                  <pic:blipFill>
                    <a:blip r:embed="rId141">
                      <a:extLst>
                        <a:ext uri="{96DAC541-7B7A-43D3-8B79-37D633B846F1}">
                          <asvg:svgBlip xmlns:asvg="http://schemas.microsoft.com/office/drawing/2016/SVG/main" r:embed="rId142"/>
                        </a:ext>
                      </a:extLst>
                    </a:blip>
                    <a:stretch>
                      <a:fillRect/>
                    </a:stretch>
                  </pic:blipFill>
                  <pic:spPr>
                    <a:xfrm>
                      <a:off x="0" y="0"/>
                      <a:ext cx="387350" cy="387350"/>
                    </a:xfrm>
                    <a:prstGeom prst="rect">
                      <a:avLst/>
                    </a:prstGeom>
                  </pic:spPr>
                </pic:pic>
              </a:graphicData>
            </a:graphic>
            <wp14:sizeRelH relativeFrom="page">
              <wp14:pctWidth>0</wp14:pctWidth>
            </wp14:sizeRelH>
            <wp14:sizeRelV relativeFrom="page">
              <wp14:pctHeight>0</wp14:pctHeight>
            </wp14:sizeRelV>
          </wp:anchor>
        </w:drawing>
      </w:r>
      <w:r w:rsidR="009C373F" w:rsidRPr="00702ACD">
        <w:t xml:space="preserve">Mental health care is timely, affordable and geographically </w:t>
      </w:r>
      <w:r w:rsidR="00075933">
        <w:br/>
      </w:r>
      <w:r w:rsidR="009C373F" w:rsidRPr="00702ACD">
        <w:t>accessible for all communities</w:t>
      </w:r>
    </w:p>
    <w:p w14:paraId="2044A420" w14:textId="23606EFB" w:rsidR="009C373F" w:rsidRDefault="009C373F" w:rsidP="00897207">
      <w:pPr>
        <w:rPr>
          <w:lang w:val="en-AU" w:eastAsia="en-AU"/>
        </w:rPr>
      </w:pPr>
      <w:r>
        <w:rPr>
          <w:lang w:val="en-AU" w:eastAsia="en-AU"/>
        </w:rPr>
        <w:t xml:space="preserve">Monitoring whether mental health care is timely, affordable and geographically accessible can help identify barriers to access, opportunities to improve service planning and who might be missing out on services they need. </w:t>
      </w:r>
      <w:r w:rsidRPr="00BE0A2B">
        <w:rPr>
          <w:lang w:val="en-AU" w:eastAsia="en-AU"/>
        </w:rPr>
        <w:t xml:space="preserve">Measurement of this indicator is informed by latest available data across publicly funded mental health care settings, digital and online mental health services. </w:t>
      </w:r>
      <w:r>
        <w:rPr>
          <w:lang w:val="en-AU" w:eastAsia="en-AU"/>
        </w:rPr>
        <w:t>Increasing service use in isolation is not a direct measure of availability and accessibility of services. It may also reflect other factors, such as increasing demand across the system. However, when considered alongside other measures, service use can provide useful insights into access across the system. T</w:t>
      </w:r>
      <w:r w:rsidRPr="00BE0A2B">
        <w:rPr>
          <w:lang w:val="en-AU" w:eastAsia="en-AU"/>
        </w:rPr>
        <w:t>here are known gaps</w:t>
      </w:r>
      <w:r>
        <w:rPr>
          <w:lang w:val="en-AU" w:eastAsia="en-AU"/>
        </w:rPr>
        <w:t xml:space="preserve"> in service use data, including</w:t>
      </w:r>
      <w:r w:rsidRPr="00BE0A2B">
        <w:rPr>
          <w:lang w:val="en-AU" w:eastAsia="en-AU"/>
        </w:rPr>
        <w:t xml:space="preserve"> in non-government mental health services (called out </w:t>
      </w:r>
      <w:r w:rsidRPr="00BE0A2B">
        <w:rPr>
          <w:b/>
          <w:bCs/>
          <w:lang w:val="en-AU" w:eastAsia="en-AU"/>
        </w:rPr>
        <w:t xml:space="preserve">in </w:t>
      </w:r>
      <w:r>
        <w:rPr>
          <w:b/>
          <w:bCs/>
          <w:lang w:val="en-AU" w:eastAsia="en-AU"/>
        </w:rPr>
        <w:t>Box 9</w:t>
      </w:r>
      <w:r w:rsidRPr="00BE0A2B">
        <w:rPr>
          <w:lang w:val="en-AU" w:eastAsia="en-AU"/>
        </w:rPr>
        <w:t xml:space="preserve">). </w:t>
      </w:r>
    </w:p>
    <w:p w14:paraId="6A01E9D0" w14:textId="06DB8177" w:rsidR="009C373F" w:rsidRPr="0094416E" w:rsidDel="00B32535" w:rsidRDefault="009C373F" w:rsidP="00897207">
      <w:pPr>
        <w:rPr>
          <w:lang w:val="en-AU" w:eastAsia="en-AU"/>
        </w:rPr>
      </w:pPr>
      <w:r>
        <w:rPr>
          <w:lang w:val="en-AU" w:eastAsia="en-AU"/>
        </w:rPr>
        <w:t>Overall,</w:t>
      </w:r>
      <w:r w:rsidRPr="00BE0A2B">
        <w:rPr>
          <w:lang w:val="en-AU" w:eastAsia="en-AU"/>
        </w:rPr>
        <w:t xml:space="preserve"> </w:t>
      </w:r>
      <w:r>
        <w:rPr>
          <w:lang w:val="en-AU" w:eastAsia="en-AU"/>
        </w:rPr>
        <w:t xml:space="preserve">based on available data, </w:t>
      </w:r>
      <w:r w:rsidRPr="00BE0A2B">
        <w:rPr>
          <w:lang w:val="en-AU" w:eastAsia="en-AU"/>
        </w:rPr>
        <w:t>mental health service use has increased or remained steady across most care settings</w:t>
      </w:r>
      <w:r>
        <w:rPr>
          <w:lang w:val="en-AU" w:eastAsia="en-AU"/>
        </w:rPr>
        <w:t>.</w:t>
      </w:r>
    </w:p>
    <w:p w14:paraId="6673AF1F" w14:textId="145B14F0" w:rsidR="009C373F" w:rsidRPr="00201E30" w:rsidRDefault="009C373F" w:rsidP="004E5D44">
      <w:pPr>
        <w:pStyle w:val="Heading3"/>
        <w:rPr>
          <w:lang w:val="en-AU"/>
        </w:rPr>
      </w:pPr>
      <w:r w:rsidRPr="00201E30">
        <w:rPr>
          <w:lang w:val="en-AU"/>
        </w:rPr>
        <w:t>Admitted hospital care service use</w:t>
      </w:r>
    </w:p>
    <w:p w14:paraId="7F121AF0" w14:textId="77777777" w:rsidR="009C373F" w:rsidRPr="007A3A62" w:rsidRDefault="009C373F" w:rsidP="00897207">
      <w:pPr>
        <w:rPr>
          <w:lang w:eastAsia="en-AU"/>
        </w:rPr>
      </w:pPr>
      <w:r w:rsidRPr="6F491A43">
        <w:rPr>
          <w:lang w:eastAsia="en-AU"/>
        </w:rPr>
        <w:t xml:space="preserve">This setting involves a person staying in a hospital ward to receive more intensive mental health care and support. Admitted mental-health related care can involve same day treatment, as well as overnight treatment.  </w:t>
      </w:r>
    </w:p>
    <w:p w14:paraId="4A3CC463" w14:textId="053EED22" w:rsidR="009C373F" w:rsidRPr="00702ACD" w:rsidRDefault="009C373F" w:rsidP="00702ACD">
      <w:pPr>
        <w:pStyle w:val="ListBullet"/>
        <w:rPr>
          <w:rFonts w:eastAsiaTheme="minorEastAsia"/>
          <w:color w:val="auto"/>
        </w:rPr>
      </w:pPr>
      <w:r w:rsidRPr="00BE0A2B">
        <w:rPr>
          <w:rFonts w:eastAsiaTheme="minorEastAsia"/>
        </w:rPr>
        <w:t>Nationally, between 2014-15 and 2024-25 the rate of same day mental health-related hospitalisations (per 10,000 p</w:t>
      </w:r>
      <w:r w:rsidR="008C0044">
        <w:rPr>
          <w:rFonts w:eastAsiaTheme="minorEastAsia"/>
        </w:rPr>
        <w:t>eople</w:t>
      </w:r>
      <w:r w:rsidRPr="00BE0A2B">
        <w:rPr>
          <w:rFonts w:eastAsiaTheme="minorEastAsia"/>
        </w:rPr>
        <w:t xml:space="preserve">) was relatively </w:t>
      </w:r>
      <w:r w:rsidRPr="00201E30">
        <w:rPr>
          <w:rFonts w:eastAsiaTheme="minorEastAsia"/>
          <w:b/>
        </w:rPr>
        <w:t>steady</w:t>
      </w:r>
      <w:r w:rsidRPr="00BE0A2B">
        <w:rPr>
          <w:rFonts w:eastAsiaTheme="minorEastAsia"/>
        </w:rPr>
        <w:t xml:space="preserve"> in public hospitals (changing from 22 to 21) and </w:t>
      </w:r>
      <w:r w:rsidRPr="00201E30">
        <w:rPr>
          <w:rFonts w:eastAsiaTheme="minorEastAsia"/>
          <w:b/>
        </w:rPr>
        <w:t>increased</w:t>
      </w:r>
      <w:r w:rsidRPr="00BE0A2B">
        <w:rPr>
          <w:rFonts w:eastAsiaTheme="minorEastAsia"/>
        </w:rPr>
        <w:t xml:space="preserve"> in private hospitals (from 62 to 70)</w:t>
      </w:r>
      <w:r>
        <w:rPr>
          <w:rFonts w:eastAsiaTheme="minorEastAsia"/>
        </w:rPr>
        <w:t>.</w:t>
      </w:r>
    </w:p>
    <w:p w14:paraId="1846DE1D" w14:textId="7A5D33BD" w:rsidR="009C373F" w:rsidRPr="00105E10" w:rsidRDefault="009C373F" w:rsidP="004E5D44">
      <w:pPr>
        <w:pStyle w:val="Heading3"/>
        <w:rPr>
          <w:rStyle w:val="Hyperlink"/>
          <w:rFonts w:cs="Segoe UI"/>
          <w:b w:val="0"/>
          <w:color w:val="171717" w:themeColor="background2" w:themeShade="1A"/>
          <w:szCs w:val="18"/>
          <w:u w:val="none"/>
          <w:lang w:val="en-AU"/>
        </w:rPr>
      </w:pPr>
      <w:r w:rsidRPr="00105E10">
        <w:rPr>
          <w:rStyle w:val="Hyperlink"/>
          <w:color w:val="171717" w:themeColor="background2" w:themeShade="1A"/>
          <w:u w:val="none"/>
        </w:rPr>
        <w:t>Residential mental health service use</w:t>
      </w:r>
    </w:p>
    <w:p w14:paraId="71C3B155" w14:textId="77777777" w:rsidR="009C373F" w:rsidRPr="007A3A62" w:rsidRDefault="009C373F" w:rsidP="00897207">
      <w:pPr>
        <w:rPr>
          <w:lang w:val="en-AU" w:eastAsia="en-AU"/>
        </w:rPr>
      </w:pPr>
      <w:r w:rsidRPr="007A3A62">
        <w:rPr>
          <w:lang w:val="en-AU" w:eastAsia="en-AU"/>
        </w:rPr>
        <w:t>This setting reflects care and support for people residing in government-funded residential mental health care services, except residential aged care facilities. Residential mental health service facilities include both government-operated services and government-funded, non-government operated services. These facilities employ mental health trained staff on-site, with some services involving 24-hour staffed services.</w:t>
      </w:r>
    </w:p>
    <w:p w14:paraId="21AACF4A" w14:textId="3424793C" w:rsidR="009C373F" w:rsidRPr="00897207" w:rsidRDefault="009C373F" w:rsidP="00897207">
      <w:pPr>
        <w:pStyle w:val="ListBullet"/>
      </w:pPr>
      <w:r w:rsidRPr="00897207">
        <w:t>Residential mental health care episodes increased slightly between 2014-15 and 2023-24, with the national rate rising from 2 to 3 per 10,000</w:t>
      </w:r>
      <w:r w:rsidR="00471A25">
        <w:t xml:space="preserve"> </w:t>
      </w:r>
      <w:r w:rsidR="008C0044">
        <w:t>people</w:t>
      </w:r>
      <w:r w:rsidRPr="00897207">
        <w:t xml:space="preserve">. </w:t>
      </w:r>
    </w:p>
    <w:p w14:paraId="30DF1BC8" w14:textId="43A29BB6" w:rsidR="009C373F" w:rsidRPr="004E5D44" w:rsidRDefault="009C373F" w:rsidP="004E5D44">
      <w:pPr>
        <w:pStyle w:val="Heading3"/>
      </w:pPr>
      <w:r w:rsidRPr="004E5D44">
        <w:t>Emergency Department (ED) presentations</w:t>
      </w:r>
    </w:p>
    <w:p w14:paraId="7A398F96" w14:textId="77777777" w:rsidR="009C373F" w:rsidRPr="008F3599" w:rsidRDefault="009C373F" w:rsidP="00897207">
      <w:pPr>
        <w:rPr>
          <w:lang w:val="en-AU" w:eastAsia="en-AU"/>
        </w:rPr>
      </w:pPr>
      <w:r>
        <w:rPr>
          <w:lang w:val="en-AU" w:eastAsia="en-AU"/>
        </w:rPr>
        <w:t>Mental</w:t>
      </w:r>
      <w:r w:rsidRPr="008F3599">
        <w:rPr>
          <w:lang w:val="en-AU" w:eastAsia="en-AU"/>
        </w:rPr>
        <w:t xml:space="preserve"> health-related ED presentations are defined as presentations to public hospital </w:t>
      </w:r>
      <w:r w:rsidRPr="008F3599" w:rsidDel="0094416E">
        <w:rPr>
          <w:lang w:val="en-AU" w:eastAsia="en-AU"/>
        </w:rPr>
        <w:t>E</w:t>
      </w:r>
      <w:r w:rsidRPr="008F3599">
        <w:rPr>
          <w:lang w:val="en-AU" w:eastAsia="en-AU"/>
        </w:rPr>
        <w:t xml:space="preserve">Ds that have a principal diagnosis of </w:t>
      </w:r>
      <w:r>
        <w:rPr>
          <w:lang w:val="en-AU" w:eastAsia="en-AU"/>
        </w:rPr>
        <w:t>a m</w:t>
      </w:r>
      <w:r w:rsidRPr="008F3599">
        <w:rPr>
          <w:lang w:val="en-AU" w:eastAsia="en-AU"/>
        </w:rPr>
        <w:t xml:space="preserve">ental and behavioural disorder. </w:t>
      </w:r>
      <w:r>
        <w:rPr>
          <w:lang w:val="en-AU" w:eastAsia="en-AU"/>
        </w:rPr>
        <w:t>It</w:t>
      </w:r>
      <w:r w:rsidRPr="008F3599">
        <w:rPr>
          <w:lang w:val="en-AU" w:eastAsia="en-AU"/>
        </w:rPr>
        <w:t xml:space="preserve"> is important to note that the </w:t>
      </w:r>
      <w:r>
        <w:rPr>
          <w:lang w:val="en-AU" w:eastAsia="en-AU"/>
        </w:rPr>
        <w:t>m</w:t>
      </w:r>
      <w:r w:rsidRPr="008F3599">
        <w:rPr>
          <w:lang w:val="en-AU" w:eastAsia="en-AU"/>
        </w:rPr>
        <w:t xml:space="preserve">ental and behavioural disorders principal diagnosis codes may not fully capture all mental health-related presentations to </w:t>
      </w:r>
      <w:proofErr w:type="spellStart"/>
      <w:r w:rsidRPr="008F3599">
        <w:rPr>
          <w:lang w:val="en-AU" w:eastAsia="en-AU"/>
        </w:rPr>
        <w:t>EDs.</w:t>
      </w:r>
      <w:proofErr w:type="spellEnd"/>
      <w:r w:rsidRPr="008F3599">
        <w:rPr>
          <w:lang w:val="en-AU" w:eastAsia="en-AU"/>
        </w:rPr>
        <w:t xml:space="preserve"> </w:t>
      </w:r>
    </w:p>
    <w:p w14:paraId="0D4655B9" w14:textId="61733F99" w:rsidR="009C373F" w:rsidRPr="009626B7" w:rsidRDefault="009C373F" w:rsidP="00897207">
      <w:pPr>
        <w:pStyle w:val="ListBullet"/>
      </w:pPr>
      <w:r>
        <w:t>M</w:t>
      </w:r>
      <w:r w:rsidRPr="009626B7">
        <w:t>ental health-related presentations showed some signs of decreasing from 2020-21 (</w:t>
      </w:r>
      <w:r>
        <w:t xml:space="preserve">a rate of </w:t>
      </w:r>
      <w:r w:rsidRPr="009626B7">
        <w:t xml:space="preserve">121 </w:t>
      </w:r>
      <w:r>
        <w:t xml:space="preserve">presentations </w:t>
      </w:r>
      <w:r w:rsidRPr="009626B7">
        <w:t>per 10,000 p</w:t>
      </w:r>
      <w:r w:rsidR="008D3CBE">
        <w:t>eople</w:t>
      </w:r>
      <w:r w:rsidRPr="009626B7">
        <w:t>)</w:t>
      </w:r>
      <w:r w:rsidR="008249BD">
        <w:t xml:space="preserve"> and remained stable in 2022-23, before increasing again to 116 presentations per 10,000 people in 2024-25.</w:t>
      </w:r>
      <w:r w:rsidRPr="009626B7">
        <w:t xml:space="preserve">  </w:t>
      </w:r>
    </w:p>
    <w:p w14:paraId="3AE99A7E" w14:textId="7511F316" w:rsidR="009C373F" w:rsidRPr="00897207" w:rsidRDefault="009C373F" w:rsidP="00897207">
      <w:pPr>
        <w:pStyle w:val="ListBullet"/>
      </w:pPr>
      <w:r w:rsidRPr="00E16B49">
        <w:t>However, disparities in rates were observed according to factors like geography and socio-economic circumstances, with the highest rates recorded for people living in Remote/Very remote areas, and for people living in areas classified as most disadvantaged (Quintile 1) (</w:t>
      </w:r>
      <w:r w:rsidRPr="00FA6726">
        <w:t xml:space="preserve">refer </w:t>
      </w:r>
      <w:r>
        <w:t xml:space="preserve">to </w:t>
      </w:r>
      <w:r w:rsidRPr="00BF0343">
        <w:rPr>
          <w:b/>
          <w:bCs/>
        </w:rPr>
        <w:t>Box 6</w:t>
      </w:r>
      <w:r>
        <w:rPr>
          <w:b/>
          <w:bCs/>
        </w:rPr>
        <w:t xml:space="preserve"> -</w:t>
      </w:r>
      <w:r w:rsidRPr="00BF0343">
        <w:rPr>
          <w:b/>
          <w:bCs/>
        </w:rPr>
        <w:t xml:space="preserve"> Social and economic circumstances impact mental health care use</w:t>
      </w:r>
      <w:r w:rsidRPr="00FA6726">
        <w:t xml:space="preserve"> </w:t>
      </w:r>
      <w:r>
        <w:t xml:space="preserve">and </w:t>
      </w:r>
      <w:r w:rsidRPr="00BF0343">
        <w:rPr>
          <w:b/>
          <w:bCs/>
        </w:rPr>
        <w:t xml:space="preserve">Box 7 </w:t>
      </w:r>
      <w:r>
        <w:rPr>
          <w:b/>
          <w:bCs/>
        </w:rPr>
        <w:t xml:space="preserve">- </w:t>
      </w:r>
      <w:r w:rsidRPr="00BF0343">
        <w:rPr>
          <w:rFonts w:eastAsiaTheme="majorEastAsia" w:cstheme="majorBidi"/>
          <w:b/>
          <w:bCs/>
        </w:rPr>
        <w:t>Where</w:t>
      </w:r>
      <w:r w:rsidRPr="00120F84">
        <w:rPr>
          <w:rFonts w:eastAsiaTheme="majorEastAsia" w:cstheme="majorBidi"/>
          <w:b/>
        </w:rPr>
        <w:t xml:space="preserve"> people live and mental health care use</w:t>
      </w:r>
      <w:r>
        <w:rPr>
          <w:rFonts w:eastAsiaTheme="majorEastAsia" w:cstheme="majorBidi"/>
          <w:b/>
        </w:rPr>
        <w:t>).</w:t>
      </w:r>
    </w:p>
    <w:p w14:paraId="2ED89915" w14:textId="15FE1746" w:rsidR="009C373F" w:rsidRDefault="009C373F" w:rsidP="004E5D44">
      <w:pPr>
        <w:pStyle w:val="Heading3"/>
        <w:rPr>
          <w:lang w:val="en-AU"/>
        </w:rPr>
      </w:pPr>
      <w:r w:rsidRPr="007A3A62">
        <w:rPr>
          <w:lang w:val="en-AU"/>
        </w:rPr>
        <w:t xml:space="preserve">Community Mental Health Care Services </w:t>
      </w:r>
    </w:p>
    <w:p w14:paraId="46759524" w14:textId="12A15B73" w:rsidR="009C373F" w:rsidRDefault="009C373F" w:rsidP="00897207">
      <w:pPr>
        <w:rPr>
          <w:lang w:val="en-AU" w:eastAsia="en-AU"/>
        </w:rPr>
      </w:pPr>
      <w:r w:rsidRPr="007A3A62">
        <w:rPr>
          <w:lang w:val="en-AU" w:eastAsia="en-AU"/>
        </w:rPr>
        <w:t>This setting provides specialised community and hospital-based outpatient psychiatric services for people in the community, who are not admitted to hospital or a residential mental health care service.</w:t>
      </w:r>
      <w:r>
        <w:rPr>
          <w:lang w:val="en-AU" w:eastAsia="en-AU"/>
        </w:rPr>
        <w:t xml:space="preserve"> Data is collected from government-funded and operated community mental health care services across Australia. This excludes non-</w:t>
      </w:r>
      <w:r w:rsidR="00B94D76">
        <w:rPr>
          <w:noProof/>
        </w:rPr>
        <mc:AlternateContent>
          <mc:Choice Requires="wps">
            <w:drawing>
              <wp:anchor distT="0" distB="0" distL="114300" distR="114300" simplePos="0" relativeHeight="251658291" behindDoc="1" locked="0" layoutInCell="1" allowOverlap="1" wp14:anchorId="386F2738" wp14:editId="1220A302">
                <wp:simplePos x="0" y="0"/>
                <wp:positionH relativeFrom="page">
                  <wp:posOffset>-8890</wp:posOffset>
                </wp:positionH>
                <wp:positionV relativeFrom="page">
                  <wp:posOffset>11902</wp:posOffset>
                </wp:positionV>
                <wp:extent cx="7560000" cy="153909"/>
                <wp:effectExtent l="0" t="0" r="0" b="0"/>
                <wp:wrapNone/>
                <wp:docPr id="1020570511" name="Rectangle 10205705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9565286" id="Rectangle 1020570511" o:spid="_x0000_s1026" alt="&quot;&quot;" style="position:absolute;margin-left:-.7pt;margin-top:.95pt;width:595.3pt;height:12.1pt;z-index:-2516581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" fillcolor="#008142 [3208]" stroked="f" strokeweight="1pt">
                <w10:wrap anchorx="page" anchory="page"/>
              </v:rect>
            </w:pict>
          </mc:Fallback>
        </mc:AlternateContent>
      </w:r>
      <w:r>
        <w:rPr>
          <w:lang w:val="en-AU" w:eastAsia="en-AU"/>
        </w:rPr>
        <w:t>specialised mental health care services (e.g. accommodation support services), and services provided by non-government organisations.</w:t>
      </w:r>
      <w:r w:rsidR="00B94D76" w:rsidRPr="00B94D76">
        <w:rPr>
          <w:noProof/>
        </w:rPr>
        <w:t xml:space="preserve"> </w:t>
      </w:r>
    </w:p>
    <w:p w14:paraId="74C4701B" w14:textId="4FCF8FA7" w:rsidR="009C373F" w:rsidRPr="003E5DA6" w:rsidRDefault="009C373F" w:rsidP="003E5DA6">
      <w:pPr>
        <w:pStyle w:val="ListBullet"/>
        <w:rPr>
          <w:rFonts w:eastAsiaTheme="majorEastAsia" w:cstheme="majorBidi"/>
          <w:b/>
          <w:bCs/>
          <w:color w:val="008143"/>
        </w:rPr>
      </w:pPr>
      <w:r w:rsidRPr="0088434A">
        <w:rPr>
          <w:rFonts w:eastAsiaTheme="minorEastAsia"/>
          <w:b/>
          <w:bCs/>
        </w:rPr>
        <w:t>Community mental health care contacts have decreased slightly</w:t>
      </w:r>
      <w:r w:rsidRPr="00336C3A">
        <w:rPr>
          <w:rFonts w:eastAsiaTheme="minorEastAsia"/>
        </w:rPr>
        <w:t xml:space="preserve"> over the 10-year period, with the national rate falling from 373 to 365 per 1,000 p</w:t>
      </w:r>
      <w:r w:rsidR="008D3CBE">
        <w:rPr>
          <w:rFonts w:eastAsiaTheme="minorEastAsia"/>
        </w:rPr>
        <w:t>eople</w:t>
      </w:r>
      <w:r w:rsidRPr="00336C3A">
        <w:rPr>
          <w:rFonts w:eastAsiaTheme="minorEastAsia"/>
        </w:rPr>
        <w:t xml:space="preserve"> between 2014-15 and 2023-24. </w:t>
      </w:r>
    </w:p>
    <w:p w14:paraId="5CC14D29" w14:textId="77777777" w:rsidR="00F25942" w:rsidRDefault="00F25942">
      <w:pPr>
        <w:suppressAutoHyphens w:val="0"/>
        <w:autoSpaceDE/>
        <w:autoSpaceDN/>
        <w:adjustRightInd/>
        <w:spacing w:after="0" w:line="240" w:lineRule="auto"/>
        <w:textAlignment w:val="auto"/>
        <w:rPr>
          <w:rFonts w:eastAsiaTheme="majorEastAsia" w:cstheme="majorBidi"/>
          <w:b/>
          <w:color w:val="171717" w:themeColor="background2" w:themeShade="1A"/>
          <w:szCs w:val="24"/>
        </w:rPr>
      </w:pPr>
      <w:r>
        <w:br w:type="page"/>
      </w:r>
    </w:p>
    <w:p w14:paraId="2F0DB3C5" w14:textId="55133411" w:rsidR="009C373F" w:rsidRPr="003E5DA6" w:rsidRDefault="009C373F" w:rsidP="004E5D44">
      <w:pPr>
        <w:pStyle w:val="Heading3"/>
      </w:pPr>
      <w:r w:rsidRPr="003E5DA6">
        <w:lastRenderedPageBreak/>
        <w:t xml:space="preserve">Medicare Benefits Schedule (MBS) </w:t>
      </w:r>
    </w:p>
    <w:p w14:paraId="3BB65F10" w14:textId="50BB220B" w:rsidR="009C373F" w:rsidRPr="00336C3A" w:rsidRDefault="009C373F" w:rsidP="003E5DA6">
      <w:r w:rsidRPr="00336C3A">
        <w:t xml:space="preserve">Medicare mental health-related services </w:t>
      </w:r>
      <w:r>
        <w:t xml:space="preserve">are delivered on a fee for service basis, subsidised by the government through the MBS. </w:t>
      </w:r>
      <w:r w:rsidRPr="00336C3A">
        <w:t>Medicare mental health-related services</w:t>
      </w:r>
      <w:r>
        <w:t xml:space="preserve"> are </w:t>
      </w:r>
      <w:r w:rsidRPr="00336C3A">
        <w:t xml:space="preserve">delivered by </w:t>
      </w:r>
      <w:r>
        <w:t>p</w:t>
      </w:r>
      <w:r w:rsidRPr="00336C3A">
        <w:t xml:space="preserve">sychiatrists, </w:t>
      </w:r>
      <w:r>
        <w:t>g</w:t>
      </w:r>
      <w:r w:rsidRPr="00336C3A">
        <w:t xml:space="preserve">eneral practitioners (GPs), </w:t>
      </w:r>
      <w:r>
        <w:t>p</w:t>
      </w:r>
      <w:r w:rsidRPr="00336C3A">
        <w:t xml:space="preserve">sychologists and </w:t>
      </w:r>
      <w:r>
        <w:t>o</w:t>
      </w:r>
      <w:r w:rsidRPr="00336C3A">
        <w:t>ther allied health professionals. They are delivered across a range of settings – including hospitals, consulting rooms, home visits, and telehealth – as defined in the MBS.</w:t>
      </w:r>
    </w:p>
    <w:p w14:paraId="1A49333F" w14:textId="5FA7E145" w:rsidR="009C373F" w:rsidRPr="003E5DA6" w:rsidRDefault="009C373F" w:rsidP="003E5DA6">
      <w:pPr>
        <w:pStyle w:val="ListBullet"/>
        <w:rPr>
          <w:rFonts w:eastAsiaTheme="minorEastAsia"/>
          <w:color w:val="auto"/>
        </w:rPr>
      </w:pPr>
      <w:r w:rsidRPr="0088434A">
        <w:rPr>
          <w:rFonts w:eastAsiaTheme="minorEastAsia"/>
          <w:b/>
          <w:bCs/>
        </w:rPr>
        <w:t>Medicare mental health-related services have increased over the past decade</w:t>
      </w:r>
      <w:r w:rsidRPr="0088434A">
        <w:rPr>
          <w:rFonts w:eastAsiaTheme="minorEastAsia"/>
        </w:rPr>
        <w:t>, with the national rate of service</w:t>
      </w:r>
      <w:r>
        <w:rPr>
          <w:rFonts w:eastAsiaTheme="minorEastAsia"/>
        </w:rPr>
        <w:t>s</w:t>
      </w:r>
      <w:r w:rsidRPr="0088434A">
        <w:rPr>
          <w:rFonts w:eastAsiaTheme="minorEastAsia"/>
        </w:rPr>
        <w:t xml:space="preserve"> increasing from 443 in 2</w:t>
      </w:r>
      <w:r>
        <w:rPr>
          <w:rFonts w:eastAsiaTheme="minorEastAsia"/>
        </w:rPr>
        <w:t xml:space="preserve">015-16 </w:t>
      </w:r>
      <w:r w:rsidRPr="0088434A">
        <w:rPr>
          <w:rFonts w:eastAsiaTheme="minorEastAsia"/>
        </w:rPr>
        <w:t>to 473 in 2024-25 (per 1,000 p</w:t>
      </w:r>
      <w:r w:rsidR="008D3CBE">
        <w:rPr>
          <w:rFonts w:eastAsiaTheme="minorEastAsia"/>
        </w:rPr>
        <w:t>eople</w:t>
      </w:r>
      <w:r w:rsidRPr="0088434A">
        <w:rPr>
          <w:rFonts w:eastAsiaTheme="minorEastAsia"/>
        </w:rPr>
        <w:t>).</w:t>
      </w:r>
    </w:p>
    <w:p w14:paraId="053FC7C4" w14:textId="4EE7EC1B" w:rsidR="009C373F" w:rsidRPr="007A3A62" w:rsidRDefault="009C373F" w:rsidP="004E5D44">
      <w:pPr>
        <w:pStyle w:val="Heading3"/>
        <w:rPr>
          <w:lang w:val="en-AU"/>
        </w:rPr>
      </w:pPr>
      <w:r w:rsidRPr="007A3A62">
        <w:rPr>
          <w:lang w:val="en-AU"/>
        </w:rPr>
        <w:t xml:space="preserve">Pharmaceutical Benefits Scheme (PBS) medications dispensed </w:t>
      </w:r>
    </w:p>
    <w:p w14:paraId="7ADF4F70" w14:textId="5BDDB6D6" w:rsidR="009C373F" w:rsidRDefault="009C373F" w:rsidP="003E5DA6">
      <w:pPr>
        <w:rPr>
          <w:b/>
          <w:bCs/>
        </w:rPr>
      </w:pPr>
      <w:r>
        <w:t xml:space="preserve">The </w:t>
      </w:r>
      <w:r w:rsidRPr="0088434A">
        <w:t>PBS and Repatriation Pharmaceutical Benefits Scheme includes both subsidised prescriptions and under co-payment prescriptions.</w:t>
      </w:r>
      <w:r w:rsidRPr="0088434A" w:rsidDel="004B3660">
        <w:t xml:space="preserve"> </w:t>
      </w:r>
    </w:p>
    <w:p w14:paraId="29EDF944" w14:textId="3259B9A0" w:rsidR="009C373F" w:rsidRPr="00897207" w:rsidRDefault="009C373F" w:rsidP="00897207">
      <w:pPr>
        <w:pStyle w:val="ListBullet"/>
        <w:rPr>
          <w:rFonts w:eastAsiaTheme="minorEastAsia"/>
          <w:color w:val="auto"/>
        </w:rPr>
      </w:pPr>
      <w:r w:rsidRPr="0088434A">
        <w:rPr>
          <w:rFonts w:eastAsiaTheme="minorEastAsia"/>
          <w:b/>
          <w:bCs/>
        </w:rPr>
        <w:t>Mental health-related prescriptions on the PBS increased moderately</w:t>
      </w:r>
      <w:r w:rsidRPr="0088434A">
        <w:rPr>
          <w:rFonts w:eastAsiaTheme="minorEastAsia"/>
        </w:rPr>
        <w:t xml:space="preserve"> from 2015-16 to 2024-25</w:t>
      </w:r>
      <w:r>
        <w:rPr>
          <w:rFonts w:eastAsiaTheme="minorEastAsia"/>
        </w:rPr>
        <w:t>, with the</w:t>
      </w:r>
      <w:r w:rsidRPr="0088434A">
        <w:rPr>
          <w:rFonts w:eastAsiaTheme="minorEastAsia"/>
        </w:rPr>
        <w:t xml:space="preserve"> national rate rising from 1,488 to 1,80</w:t>
      </w:r>
      <w:r>
        <w:rPr>
          <w:rFonts w:eastAsiaTheme="minorEastAsia"/>
        </w:rPr>
        <w:t>6</w:t>
      </w:r>
      <w:r w:rsidRPr="0088434A">
        <w:rPr>
          <w:rFonts w:eastAsiaTheme="minorEastAsia"/>
        </w:rPr>
        <w:t xml:space="preserve"> per 1,000 p</w:t>
      </w:r>
      <w:r w:rsidR="008D3CBE">
        <w:rPr>
          <w:rFonts w:eastAsiaTheme="minorEastAsia"/>
        </w:rPr>
        <w:t>eople</w:t>
      </w:r>
      <w:r w:rsidRPr="0088434A">
        <w:rPr>
          <w:rFonts w:eastAsiaTheme="minorEastAsia"/>
        </w:rPr>
        <w:t>.</w:t>
      </w:r>
    </w:p>
    <w:p w14:paraId="2980797A" w14:textId="3B6A6339" w:rsidR="009C373F" w:rsidRPr="00201E30" w:rsidRDefault="009C373F" w:rsidP="004E5D44">
      <w:pPr>
        <w:pStyle w:val="Heading3"/>
        <w:rPr>
          <w:lang w:val="en-AU"/>
        </w:rPr>
      </w:pPr>
      <w:r>
        <w:rPr>
          <w:lang w:val="en-AU"/>
        </w:rPr>
        <w:t>D</w:t>
      </w:r>
      <w:r w:rsidRPr="00201E30">
        <w:rPr>
          <w:lang w:val="en-AU"/>
        </w:rPr>
        <w:t xml:space="preserve">igital and online mental health services </w:t>
      </w:r>
    </w:p>
    <w:p w14:paraId="40C0F3A5" w14:textId="77777777" w:rsidR="009C373F" w:rsidRDefault="009C373F" w:rsidP="003E5DA6">
      <w:r>
        <w:t xml:space="preserve">There are a range of digital and online mental health services which are designed to </w:t>
      </w:r>
      <w:r w:rsidRPr="00074489">
        <w:t>increase access by more flexibly offering services such as outside of business hours, and in ways that are less impacted by geography.</w:t>
      </w:r>
      <w:r>
        <w:t xml:space="preserve"> </w:t>
      </w:r>
    </w:p>
    <w:p w14:paraId="454FCEDE" w14:textId="77777777" w:rsidR="009C373F" w:rsidRPr="004A4CFC" w:rsidRDefault="009C373F" w:rsidP="004A4CFC">
      <w:pPr>
        <w:pStyle w:val="NormalBeforeBullet"/>
      </w:pPr>
      <w:r w:rsidRPr="004A4CFC">
        <w:t>In the December quarter of 2025, national mental health crisis services, including Lifeline, Kids Helpline, Beyond Blue and 13YARN, reported</w:t>
      </w:r>
      <w:r w:rsidRPr="004A4CFC" w:rsidDel="00167310">
        <w:t>:</w:t>
      </w:r>
      <w:r w:rsidRPr="004A4CFC">
        <w:rPr>
          <w:vertAlign w:val="superscript"/>
        </w:rPr>
        <w:endnoteReference w:id="128"/>
      </w:r>
    </w:p>
    <w:p w14:paraId="21BFF0E5" w14:textId="7B6D54B9" w:rsidR="009C373F" w:rsidRPr="00BE0A2B" w:rsidRDefault="009C373F" w:rsidP="003E5DA6">
      <w:pPr>
        <w:pStyle w:val="ListBullet"/>
      </w:pPr>
      <w:r w:rsidRPr="00BE0A2B">
        <w:t>12,154 contacts were answered by 13YARN</w:t>
      </w:r>
      <w:r>
        <w:t xml:space="preserve">. The rate of answered contacts per 100,000 </w:t>
      </w:r>
      <w:r w:rsidR="008D3CBE">
        <w:t>people</w:t>
      </w:r>
      <w:r>
        <w:t xml:space="preserve"> was </w:t>
      </w:r>
      <w:r w:rsidRPr="00B342D7">
        <w:rPr>
          <w:b/>
        </w:rPr>
        <w:t>89% higher</w:t>
      </w:r>
      <w:r>
        <w:t xml:space="preserve"> than the same period in 2024 (6,305 answered contacts) and 93% higher than the same period in 2023 (6,055 answered contacts). </w:t>
      </w:r>
    </w:p>
    <w:p w14:paraId="5B89374A" w14:textId="2C58474D" w:rsidR="009C373F" w:rsidRPr="00BE0A2B" w:rsidRDefault="009C373F" w:rsidP="003E5DA6">
      <w:pPr>
        <w:pStyle w:val="ListBullet"/>
      </w:pPr>
      <w:r w:rsidRPr="00BE0A2B">
        <w:t>197,248 c</w:t>
      </w:r>
      <w:r>
        <w:t xml:space="preserve">ontacts were answered by </w:t>
      </w:r>
      <w:r w:rsidRPr="00BE0A2B">
        <w:t>Lifeline</w:t>
      </w:r>
      <w:r>
        <w:t>. The rate of answered contacts per 100,000 p</w:t>
      </w:r>
      <w:r w:rsidR="008D3CBE">
        <w:t>eople</w:t>
      </w:r>
      <w:r>
        <w:t xml:space="preserve"> was 11% lower than the same period in 2024 (217,617 answered contacts) and </w:t>
      </w:r>
      <w:r w:rsidRPr="00B342D7">
        <w:rPr>
          <w:b/>
        </w:rPr>
        <w:t>3% lower</w:t>
      </w:r>
      <w:r>
        <w:t xml:space="preserve"> </w:t>
      </w:r>
      <w:r w:rsidRPr="00BE0A2B">
        <w:t xml:space="preserve">than the </w:t>
      </w:r>
      <w:r>
        <w:t>same period in 2023 (195,473 answered contacts).</w:t>
      </w:r>
      <w:r w:rsidRPr="00BE0A2B">
        <w:rPr>
          <w:b/>
        </w:rPr>
        <w:t xml:space="preserve"> </w:t>
      </w:r>
    </w:p>
    <w:p w14:paraId="3A1AF144" w14:textId="51B425D2" w:rsidR="009C373F" w:rsidRPr="00BE0A2B" w:rsidRDefault="009C373F" w:rsidP="003E5DA6">
      <w:pPr>
        <w:pStyle w:val="ListBullet"/>
      </w:pPr>
      <w:r w:rsidRPr="00BE0A2B">
        <w:t>31,929 contacts (includes phone, webchat, email contacts as well as outbound calls) were answered by Kids Helpline</w:t>
      </w:r>
      <w:r>
        <w:t>. The rate of answered contacts per 100,000 p</w:t>
      </w:r>
      <w:r w:rsidR="008D3CBE">
        <w:t>eople</w:t>
      </w:r>
      <w:r>
        <w:t xml:space="preserve"> was </w:t>
      </w:r>
      <w:r w:rsidRPr="004E5D44">
        <w:rPr>
          <w:b/>
          <w:bCs/>
        </w:rPr>
        <w:t xml:space="preserve">10% </w:t>
      </w:r>
      <w:r w:rsidRPr="00CC502D">
        <w:rPr>
          <w:b/>
          <w:bCs/>
        </w:rPr>
        <w:t>lower</w:t>
      </w:r>
      <w:r w:rsidRPr="00BE0A2B">
        <w:t xml:space="preserve"> than the </w:t>
      </w:r>
      <w:r>
        <w:t xml:space="preserve">same period in 2024 (35,042 answered contacts) but </w:t>
      </w:r>
      <w:r w:rsidRPr="00BE0A2B">
        <w:rPr>
          <w:b/>
        </w:rPr>
        <w:t>16%</w:t>
      </w:r>
      <w:r>
        <w:rPr>
          <w:b/>
        </w:rPr>
        <w:t xml:space="preserve"> higher</w:t>
      </w:r>
      <w:r w:rsidRPr="00B342D7">
        <w:t xml:space="preserve"> than the same period in 2023 (26,831 answered contacts). </w:t>
      </w:r>
      <w:r w:rsidRPr="00BE0A2B">
        <w:t xml:space="preserve"> </w:t>
      </w:r>
    </w:p>
    <w:p w14:paraId="3160D20A" w14:textId="071BC2C2" w:rsidR="009C373F" w:rsidRPr="003E5DA6" w:rsidRDefault="009C373F" w:rsidP="003E5DA6">
      <w:pPr>
        <w:pStyle w:val="ListBullet"/>
      </w:pPr>
      <w:r w:rsidRPr="00EB20CD">
        <w:t>56,238 contacts (includes phone, webchat and email contacts) were answered by Beyond Blue. The rate of answered contacts per 100,000 p</w:t>
      </w:r>
      <w:r w:rsidR="008D3CBE">
        <w:t>eople</w:t>
      </w:r>
      <w:r w:rsidRPr="00EB20CD">
        <w:t xml:space="preserve"> was 2% lower than the same period in 2024 (56,713 contacts) but 6% higher than the same period in 2023 (51,201 answered contacts). </w:t>
      </w:r>
    </w:p>
    <w:p w14:paraId="6A668D37" w14:textId="204DE6EA" w:rsidR="009C373F" w:rsidRPr="0004420A" w:rsidRDefault="009C373F" w:rsidP="003E5DA6">
      <w:pPr>
        <w:rPr>
          <w:lang w:val="en-AU"/>
        </w:rPr>
      </w:pPr>
      <w:r w:rsidRPr="00BE0A2B">
        <w:rPr>
          <w:lang w:val="en-AU"/>
        </w:rPr>
        <w:t>eheadspace</w:t>
      </w:r>
      <w:r>
        <w:rPr>
          <w:lang w:val="en-AU"/>
        </w:rPr>
        <w:t xml:space="preserve"> is a digital mental health service </w:t>
      </w:r>
      <w:r w:rsidRPr="00BE0A2B">
        <w:rPr>
          <w:lang w:val="en-AU"/>
        </w:rPr>
        <w:t>provid</w:t>
      </w:r>
      <w:r>
        <w:rPr>
          <w:lang w:val="en-AU"/>
        </w:rPr>
        <w:t>ing</w:t>
      </w:r>
      <w:r w:rsidRPr="00BE0A2B">
        <w:rPr>
          <w:lang w:val="en-AU"/>
        </w:rPr>
        <w:t xml:space="preserve"> confidential, free online and telephone support and counselling</w:t>
      </w:r>
      <w:r>
        <w:rPr>
          <w:lang w:val="en-AU"/>
        </w:rPr>
        <w:t>, for young people and family members</w:t>
      </w:r>
      <w:r w:rsidRPr="00BE0A2B" w:rsidDel="00397A7B">
        <w:rPr>
          <w:lang w:val="en-AU"/>
        </w:rPr>
        <w:t xml:space="preserve">. </w:t>
      </w:r>
      <w:r w:rsidRPr="00BE0A2B" w:rsidDel="00956EF5">
        <w:rPr>
          <w:lang w:val="en-AU"/>
        </w:rPr>
        <w:t>I</w:t>
      </w:r>
      <w:r w:rsidRPr="00BE0A2B">
        <w:rPr>
          <w:lang w:val="en-AU"/>
        </w:rPr>
        <w:t>n 2024-25, eheadspace supported 17,690 young people and family members, providing 48,495 occasions of service. Of these requests to eheadspace, approximately 64% were made outside business hours, and around one third (31%) of the young people and families who accessed eheadspace were based outside of metropolitan areas in regional and remote locations.</w:t>
      </w:r>
      <w:r w:rsidRPr="00BE0A2B">
        <w:rPr>
          <w:vertAlign w:val="superscript"/>
          <w:lang w:val="en-AU"/>
        </w:rPr>
        <w:endnoteReference w:id="129"/>
      </w:r>
      <w:r>
        <w:rPr>
          <w:lang w:val="en-AU"/>
        </w:rPr>
        <w:t xml:space="preserve"> </w:t>
      </w:r>
      <w:r w:rsidRPr="0004420A">
        <w:rPr>
          <w:lang w:val="en-AU"/>
        </w:rPr>
        <w:t>Although headspace is not the only model of youth-focused mental health care in Australia, this data provide</w:t>
      </w:r>
      <w:r>
        <w:rPr>
          <w:lang w:val="en-AU"/>
        </w:rPr>
        <w:t>s some</w:t>
      </w:r>
      <w:r w:rsidRPr="0004420A">
        <w:rPr>
          <w:lang w:val="en-AU"/>
        </w:rPr>
        <w:t xml:space="preserve"> insights</w:t>
      </w:r>
      <w:r>
        <w:rPr>
          <w:lang w:val="en-AU"/>
        </w:rPr>
        <w:t xml:space="preserve"> </w:t>
      </w:r>
      <w:r w:rsidRPr="0004420A">
        <w:rPr>
          <w:lang w:val="en-AU"/>
        </w:rPr>
        <w:t xml:space="preserve">into when </w:t>
      </w:r>
      <w:r>
        <w:rPr>
          <w:lang w:val="en-AU"/>
        </w:rPr>
        <w:t xml:space="preserve">digital </w:t>
      </w:r>
      <w:r w:rsidRPr="0004420A">
        <w:rPr>
          <w:lang w:val="en-AU"/>
        </w:rPr>
        <w:t xml:space="preserve">services are </w:t>
      </w:r>
      <w:r>
        <w:rPr>
          <w:lang w:val="en-AU"/>
        </w:rPr>
        <w:t>used</w:t>
      </w:r>
      <w:r w:rsidRPr="0004420A">
        <w:rPr>
          <w:lang w:val="en-AU"/>
        </w:rPr>
        <w:t xml:space="preserve">, and how digital services can flexibly respond to young people and their families. </w:t>
      </w:r>
    </w:p>
    <w:p w14:paraId="7B447109" w14:textId="50E2952F" w:rsidR="009C373F" w:rsidRDefault="009C373F" w:rsidP="003E5DA6">
      <w:pPr>
        <w:rPr>
          <w:lang w:val="en-AU"/>
        </w:rPr>
      </w:pPr>
      <w:r w:rsidRPr="00A67782">
        <w:t xml:space="preserve">In January 2026, the Australian Government’s new digital mental health service, Medicare Mental Health Check In, was launched and is being rolled out in stages, starting with guided support </w:t>
      </w:r>
      <w:r w:rsidRPr="00A67782">
        <w:rPr>
          <w:lang w:val="en-AU"/>
        </w:rPr>
        <w:t>delivered by trained professionals via phone or video.</w:t>
      </w:r>
      <w:r w:rsidRPr="00BE0A2B">
        <w:rPr>
          <w:vertAlign w:val="superscript"/>
          <w:lang w:val="en-AU"/>
        </w:rPr>
        <w:endnoteReference w:id="130"/>
      </w:r>
      <w:r w:rsidRPr="00A67782">
        <w:rPr>
          <w:lang w:val="en-AU"/>
        </w:rPr>
        <w:t xml:space="preserve"> In February 2025, the Australian Government announced additional short-term funding of $800,000 to Lifeline for </w:t>
      </w:r>
      <w:proofErr w:type="spellStart"/>
      <w:r w:rsidRPr="00A67782">
        <w:rPr>
          <w:lang w:val="en-AU"/>
        </w:rPr>
        <w:t>MensLine</w:t>
      </w:r>
      <w:proofErr w:type="spellEnd"/>
      <w:r w:rsidRPr="00A67782">
        <w:rPr>
          <w:lang w:val="en-AU"/>
        </w:rPr>
        <w:t xml:space="preserve"> Australia, from April 2025.</w:t>
      </w:r>
      <w:r w:rsidRPr="00BE0A2B">
        <w:rPr>
          <w:vertAlign w:val="superscript"/>
          <w:lang w:val="en-AU"/>
        </w:rPr>
        <w:endnoteReference w:id="131"/>
      </w:r>
      <w:r>
        <w:rPr>
          <w:lang w:val="en-AU"/>
        </w:rPr>
        <w:t xml:space="preserve"> These services will continue to be monitored.</w:t>
      </w:r>
    </w:p>
    <w:p w14:paraId="0BB1625B" w14:textId="05563AC9" w:rsidR="009C373F" w:rsidRDefault="00D054E6" w:rsidP="002E4A9B">
      <w:r>
        <w:rPr>
          <w:noProof/>
        </w:rPr>
        <mc:AlternateContent>
          <mc:Choice Requires="wps">
            <w:drawing>
              <wp:anchor distT="0" distB="0" distL="114300" distR="114300" simplePos="0" relativeHeight="251658292" behindDoc="1" locked="0" layoutInCell="1" allowOverlap="1" wp14:anchorId="57BE30B0" wp14:editId="72D2FFA7">
                <wp:simplePos x="0" y="0"/>
                <wp:positionH relativeFrom="page">
                  <wp:posOffset>-9053</wp:posOffset>
                </wp:positionH>
                <wp:positionV relativeFrom="page">
                  <wp:posOffset>12278</wp:posOffset>
                </wp:positionV>
                <wp:extent cx="7560000" cy="153909"/>
                <wp:effectExtent l="0" t="0" r="0" b="0"/>
                <wp:wrapNone/>
                <wp:docPr id="351676241" name="Rectangle 3516762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C8C20AE" id="Rectangle 351676241" o:spid="_x0000_s1026" alt="&quot;&quot;" style="position:absolute;margin-left:-.7pt;margin-top:.95pt;width:595.3pt;height:12.1pt;z-index:-2516581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" fillcolor="#008142 [3208]" stroked="f" strokeweight="1pt">
                <w10:wrap anchorx="page" anchory="page"/>
              </v:rect>
            </w:pict>
          </mc:Fallback>
        </mc:AlternateContent>
      </w:r>
      <w:r w:rsidR="009C373F">
        <w:t xml:space="preserve">Beyond the </w:t>
      </w:r>
      <w:r w:rsidR="009C373F" w:rsidRPr="00BE5FF4">
        <w:t xml:space="preserve">mental health </w:t>
      </w:r>
      <w:r w:rsidR="009C373F">
        <w:t>service settings explored above, some people may be eligible to</w:t>
      </w:r>
      <w:r w:rsidR="009C373F" w:rsidRPr="00BE5FF4">
        <w:t xml:space="preserve"> access psychosocial support through the NDIS.</w:t>
      </w:r>
      <w:r w:rsidR="009C373F">
        <w:t xml:space="preserve"> Supports for psychosocial disability is explored below, including information on service access through the NDIS.</w:t>
      </w:r>
    </w:p>
    <w:p w14:paraId="4D718C15" w14:textId="5F5BFBD7" w:rsidR="002A1A73" w:rsidRDefault="002A1A73" w:rsidP="003E5DA6">
      <w:pPr>
        <w:rPr>
          <w:lang w:val="en-AU"/>
        </w:rPr>
      </w:pPr>
    </w:p>
    <w:p w14:paraId="7211EB48" w14:textId="77777777" w:rsidR="00F25942" w:rsidRDefault="00F25942">
      <w:pPr>
        <w:suppressAutoHyphens w:val="0"/>
        <w:autoSpaceDE/>
        <w:autoSpaceDN/>
        <w:adjustRightInd/>
        <w:spacing w:after="0" w:line="240" w:lineRule="auto"/>
        <w:textAlignment w:val="auto"/>
        <w:rPr>
          <w:rFonts w:eastAsiaTheme="majorEastAsia" w:cstheme="majorBidi"/>
          <w:color w:val="171717" w:themeColor="background2" w:themeShade="1A"/>
          <w:sz w:val="24"/>
          <w:szCs w:val="26"/>
          <w:lang w:val="en-AU" w:eastAsia="en-AU"/>
        </w:rPr>
      </w:pPr>
      <w:r>
        <w:rPr>
          <w:lang w:val="en-AU"/>
        </w:rPr>
        <w:br w:type="page"/>
      </w:r>
    </w:p>
    <w:p w14:paraId="2F16E8BE" w14:textId="51219EC9" w:rsidR="009C373F" w:rsidRPr="00140D3F" w:rsidRDefault="00F25942" w:rsidP="009F46B4">
      <w:pPr>
        <w:pStyle w:val="Heading2"/>
        <w:rPr>
          <w:lang w:val="en-AU"/>
        </w:rPr>
      </w:pPr>
      <w:r w:rsidRPr="007A1964">
        <w:rPr>
          <w:rStyle w:val="FollowedHyperlink"/>
          <w:noProof/>
        </w:rPr>
        <w:lastRenderedPageBreak/>
        <mc:AlternateContent>
          <mc:Choice Requires="wps">
            <w:drawing>
              <wp:anchor distT="0" distB="0" distL="114300" distR="114300" simplePos="0" relativeHeight="251759758" behindDoc="1" locked="0" layoutInCell="1" allowOverlap="1" wp14:anchorId="237922B4" wp14:editId="2E8B9EB3">
                <wp:simplePos x="0" y="0"/>
                <wp:positionH relativeFrom="page">
                  <wp:posOffset>696397</wp:posOffset>
                </wp:positionH>
                <wp:positionV relativeFrom="page">
                  <wp:posOffset>829621</wp:posOffset>
                </wp:positionV>
                <wp:extent cx="6089015" cy="7000307"/>
                <wp:effectExtent l="0" t="0" r="6985" b="10160"/>
                <wp:wrapNone/>
                <wp:docPr id="831087637" name="Rectangle 8310876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89015" cy="7000307"/>
                        </a:xfrm>
                        <a:prstGeom prst="rect">
                          <a:avLst/>
                        </a:prstGeom>
                        <a:solidFill>
                          <a:srgbClr val="F9F9E5">
                            <a:alpha val="50196"/>
                          </a:srgbClr>
                        </a:solidFill>
                        <a:ln w="1270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1A42CB2" id="Rectangle 831087637" o:spid="_x0000_s1026" alt="&quot;&quot;" style="position:absolute;margin-left:54.85pt;margin-top:65.3pt;width:479.45pt;height:551.2pt;z-index:-2515567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" fillcolor="#f9f9e5" strokecolor="#008142 [3208]" strokeweight="1pt">
                <v:fill opacity="32896f"/>
                <w10:wrap anchorx="page" anchory="page"/>
              </v:rect>
            </w:pict>
          </mc:Fallback>
        </mc:AlternateContent>
      </w:r>
      <w:r w:rsidR="009C373F" w:rsidRPr="00140D3F">
        <w:rPr>
          <w:lang w:val="en-AU"/>
        </w:rPr>
        <w:t xml:space="preserve">Box </w:t>
      </w:r>
      <w:r w:rsidR="009C373F">
        <w:rPr>
          <w:lang w:val="en-AU"/>
        </w:rPr>
        <w:t>6</w:t>
      </w:r>
      <w:r w:rsidR="009C373F" w:rsidRPr="00140D3F">
        <w:rPr>
          <w:lang w:val="en-AU"/>
        </w:rPr>
        <w:t xml:space="preserve"> - Supports for Psychosocial Disability </w:t>
      </w:r>
    </w:p>
    <w:p w14:paraId="150888D0" w14:textId="1108B618" w:rsidR="009C373F" w:rsidRPr="0064073C" w:rsidRDefault="009C373F" w:rsidP="006E014A">
      <w:r w:rsidRPr="0064535F">
        <w:t>Psychosocial disability is the term used to describe disabilities that may arise from mental health challenges</w:t>
      </w:r>
      <w:r>
        <w:t>.</w:t>
      </w:r>
      <w:r w:rsidRPr="0064535F">
        <w:t xml:space="preserve"> Psychosocial disability can be influenced by the interaction between a person’s mental health challenges with wider determinants, including social, economic and environmental factors. This reinforces the need to address barriers in broader support systems for people experiencing mental health challenges, including psychosocial disability. </w:t>
      </w:r>
    </w:p>
    <w:p w14:paraId="03756131" w14:textId="50461177" w:rsidR="009C373F" w:rsidRPr="0064535F" w:rsidRDefault="009C373F" w:rsidP="006E014A">
      <w:pPr>
        <w:rPr>
          <w:rFonts w:cs="Times New Roman"/>
          <w:lang w:val="en-AU"/>
        </w:rPr>
      </w:pPr>
      <w:r w:rsidRPr="0064535F">
        <w:t>People with mental health challenges can demonstrate needs for tailored, non-clinical supports to assist them with daily living activities and community participation. Psychosocial supports include, but are not limited to:</w:t>
      </w:r>
    </w:p>
    <w:p w14:paraId="491E4F2B" w14:textId="77777777" w:rsidR="009C373F" w:rsidRPr="006E014A" w:rsidRDefault="009C373F" w:rsidP="006E014A">
      <w:pPr>
        <w:pStyle w:val="ListBullet"/>
      </w:pPr>
      <w:r w:rsidRPr="006E014A">
        <w:t>life-skills, daily living and housing support;</w:t>
      </w:r>
    </w:p>
    <w:p w14:paraId="2AD01192" w14:textId="2FB13E3E" w:rsidR="009C373F" w:rsidRPr="006E014A" w:rsidRDefault="009C373F" w:rsidP="006E014A">
      <w:pPr>
        <w:pStyle w:val="ListBullet"/>
      </w:pPr>
      <w:r w:rsidRPr="006E014A">
        <w:t>social, community and relationship support;</w:t>
      </w:r>
    </w:p>
    <w:p w14:paraId="0B3EC591" w14:textId="781BFDD5" w:rsidR="009C373F" w:rsidRPr="006E014A" w:rsidRDefault="009C373F" w:rsidP="006E014A">
      <w:pPr>
        <w:pStyle w:val="ListBullet"/>
      </w:pPr>
      <w:r w:rsidRPr="006E014A">
        <w:t>vocational, educational and economic participation support;</w:t>
      </w:r>
    </w:p>
    <w:p w14:paraId="022DEFA5" w14:textId="502CC965" w:rsidR="009C373F" w:rsidRPr="006E014A" w:rsidRDefault="009C373F" w:rsidP="006E014A">
      <w:pPr>
        <w:pStyle w:val="ListBullet"/>
      </w:pPr>
      <w:r w:rsidRPr="006E014A">
        <w:t>support coordination, navigation and brokerage;</w:t>
      </w:r>
    </w:p>
    <w:p w14:paraId="374F479C" w14:textId="77777777" w:rsidR="009C373F" w:rsidRPr="006E014A" w:rsidRDefault="009C373F" w:rsidP="006E014A">
      <w:pPr>
        <w:pStyle w:val="ListBullet"/>
      </w:pPr>
      <w:r w:rsidRPr="006E014A">
        <w:t>psychosocial recovery coaching/capacity building; and</w:t>
      </w:r>
    </w:p>
    <w:p w14:paraId="46D9EC64" w14:textId="00764350" w:rsidR="009C373F" w:rsidRPr="0064535F" w:rsidRDefault="009C373F" w:rsidP="006E014A">
      <w:pPr>
        <w:pStyle w:val="ListBullet"/>
      </w:pPr>
      <w:r w:rsidRPr="006E014A">
        <w:t>group-based and community-based programs.</w:t>
      </w:r>
    </w:p>
    <w:p w14:paraId="3094B2E9" w14:textId="4103E71B" w:rsidR="009C373F" w:rsidRDefault="009C373F" w:rsidP="006E014A">
      <w:r w:rsidRPr="001A321D">
        <w:t xml:space="preserve">Psychosocial supports are delivered in a range of settings, including through the </w:t>
      </w:r>
      <w:r>
        <w:t>National Disability Insurance Scheme (</w:t>
      </w:r>
      <w:r w:rsidRPr="001A321D">
        <w:t>NDIS</w:t>
      </w:r>
      <w:r>
        <w:t>)</w:t>
      </w:r>
      <w:r w:rsidRPr="001A321D">
        <w:t xml:space="preserve"> and through non-government </w:t>
      </w:r>
      <w:r>
        <w:t xml:space="preserve">operated </w:t>
      </w:r>
      <w:r w:rsidRPr="001A321D">
        <w:t>mental health services. Defining ‘psychosocial’ supports in data collection can be challenging, especially for providers delivering multiple services</w:t>
      </w:r>
      <w:r>
        <w:t xml:space="preserve"> across different settings</w:t>
      </w:r>
      <w:r w:rsidRPr="001A321D">
        <w:t>.</w:t>
      </w:r>
      <w:r>
        <w:rPr>
          <w:rStyle w:val="EndnoteReference"/>
          <w:rFonts w:ascii="Aptos" w:hAnsi="Aptos" w:cs="Segoe UI"/>
          <w:kern w:val="2"/>
          <w:sz w:val="22"/>
          <w14:ligatures w14:val="standardContextual"/>
        </w:rPr>
        <w:endnoteReference w:id="132"/>
      </w:r>
      <w:r w:rsidRPr="001A321D">
        <w:t xml:space="preserve"> </w:t>
      </w:r>
    </w:p>
    <w:p w14:paraId="4D2897CE" w14:textId="75F42ECB" w:rsidR="009C373F" w:rsidRPr="006E014A" w:rsidRDefault="009C373F" w:rsidP="002E4A9B">
      <w:r w:rsidRPr="001A321D">
        <w:t>Below we explore what we know from</w:t>
      </w:r>
      <w:r>
        <w:t xml:space="preserve"> national data about specialist </w:t>
      </w:r>
      <w:r w:rsidRPr="0064535F">
        <w:t xml:space="preserve">disability support services provided under the NDIS to participants with a psychosocial disability. This data is for participants with psychosocial disability recorded as their “primary disability”, noting many other participants also experience psychosocial disability or mental health challenges. </w:t>
      </w:r>
      <w:r>
        <w:t>S</w:t>
      </w:r>
      <w:r w:rsidRPr="001A321D">
        <w:t>upports provided through the National Disability Insurance Scheme (NDIS) for people with psychosocial disability are an important component of the continuum of supports for people with mental health challenges in Australia, and</w:t>
      </w:r>
      <w:r>
        <w:t xml:space="preserve"> where possible,</w:t>
      </w:r>
      <w:r w:rsidRPr="001A321D">
        <w:t xml:space="preserve"> should be included in national mental health system reporting.</w:t>
      </w:r>
      <w:r w:rsidRPr="00506633">
        <w:rPr>
          <w:vertAlign w:val="superscript"/>
        </w:rPr>
        <w:endnoteReference w:id="133"/>
      </w:r>
    </w:p>
    <w:p w14:paraId="29549015" w14:textId="0961E6D0" w:rsidR="009C373F" w:rsidRPr="00BB4A79" w:rsidRDefault="009C373F" w:rsidP="002E4A9B">
      <w:pPr>
        <w:rPr>
          <w:kern w:val="2"/>
          <w14:ligatures w14:val="standardContextual"/>
        </w:rPr>
      </w:pPr>
      <w:r>
        <w:rPr>
          <w:kern w:val="2"/>
          <w14:ligatures w14:val="standardContextual"/>
        </w:rPr>
        <w:t xml:space="preserve">This Report Card draws on </w:t>
      </w:r>
      <w:r w:rsidRPr="0064535F">
        <w:rPr>
          <w:kern w:val="2"/>
          <w14:ligatures w14:val="standardContextual"/>
        </w:rPr>
        <w:t>AIHW’s online</w:t>
      </w:r>
      <w:r w:rsidRPr="001A321D">
        <w:rPr>
          <w:i/>
          <w:iCs/>
          <w:color w:val="5B626C" w:themeColor="text1"/>
        </w:rPr>
        <w:t xml:space="preserve"> </w:t>
      </w:r>
      <w:hyperlink r:id="rId147" w:history="1">
        <w:r w:rsidRPr="00E06048">
          <w:rPr>
            <w:rStyle w:val="Hyperlink"/>
            <w:i/>
            <w:iCs/>
          </w:rPr>
          <w:t>Psychosocial Disability Support Report</w:t>
        </w:r>
      </w:hyperlink>
      <w:r w:rsidRPr="00E06048">
        <w:rPr>
          <w:i/>
          <w:iCs/>
          <w:color w:val="171717" w:themeColor="background2" w:themeShade="1A"/>
        </w:rPr>
        <w:t xml:space="preserve"> </w:t>
      </w:r>
      <w:r w:rsidRPr="00E06048">
        <w:rPr>
          <w:color w:val="171717" w:themeColor="background2" w:themeShade="1A"/>
          <w:kern w:val="2"/>
          <w14:ligatures w14:val="standardContextual"/>
        </w:rPr>
        <w:t>(</w:t>
      </w:r>
      <w:r w:rsidRPr="0064535F">
        <w:rPr>
          <w:kern w:val="2"/>
          <w14:ligatures w14:val="standardContextual"/>
        </w:rPr>
        <w:t xml:space="preserve">updated February 2026), which </w:t>
      </w:r>
      <w:r>
        <w:rPr>
          <w:kern w:val="2"/>
          <w14:ligatures w14:val="standardContextual"/>
        </w:rPr>
        <w:t>uses</w:t>
      </w:r>
      <w:r w:rsidRPr="0064535F">
        <w:rPr>
          <w:kern w:val="2"/>
          <w14:ligatures w14:val="standardContextual"/>
        </w:rPr>
        <w:t xml:space="preserve"> data about participant </w:t>
      </w:r>
      <w:r>
        <w:rPr>
          <w:kern w:val="2"/>
          <w14:ligatures w14:val="standardContextual"/>
        </w:rPr>
        <w:t xml:space="preserve">access and </w:t>
      </w:r>
      <w:r w:rsidRPr="0064535F">
        <w:rPr>
          <w:kern w:val="2"/>
          <w14:ligatures w14:val="standardContextual"/>
        </w:rPr>
        <w:t xml:space="preserve">experiences with the NDIS, collected and published by the National Disability Insurance Agency (NDIA). </w:t>
      </w:r>
      <w:r>
        <w:rPr>
          <w:kern w:val="2"/>
          <w14:ligatures w14:val="standardContextual"/>
        </w:rPr>
        <w:t xml:space="preserve">The measures below are selected because they are regularly updated to enable monitoring over time. </w:t>
      </w:r>
    </w:p>
    <w:p w14:paraId="1C225DF5" w14:textId="77777777" w:rsidR="009C373F" w:rsidRPr="00823B86" w:rsidRDefault="009C373F" w:rsidP="00823B86">
      <w:pPr>
        <w:pStyle w:val="Heading3"/>
      </w:pPr>
      <w:r w:rsidRPr="00823B86">
        <w:t xml:space="preserve">Access to the NDIS for people with psychosocial disability </w:t>
      </w:r>
    </w:p>
    <w:p w14:paraId="6D7B3C3E" w14:textId="77777777" w:rsidR="009C373F" w:rsidRPr="00F0496D" w:rsidRDefault="009C373F" w:rsidP="006E014A">
      <w:pPr>
        <w:pStyle w:val="NormalBeforeBullet"/>
      </w:pPr>
      <w:proofErr w:type="gramStart"/>
      <w:r w:rsidRPr="00F0496D">
        <w:t>At</w:t>
      </w:r>
      <w:proofErr w:type="gramEnd"/>
      <w:r w:rsidRPr="00F0496D">
        <w:t xml:space="preserve"> 30 June 2025 (for the 2024-25 financial year):</w:t>
      </w:r>
    </w:p>
    <w:p w14:paraId="2BC3183A" w14:textId="77777777" w:rsidR="009C373F" w:rsidRPr="001A321D" w:rsidRDefault="009C373F" w:rsidP="006E014A">
      <w:pPr>
        <w:pStyle w:val="ListBullet"/>
      </w:pPr>
      <w:r w:rsidRPr="0064535F">
        <w:t xml:space="preserve">65,272 NDIS participants had a psychosocial disability as their primary disability, representing about 9% of all NDIS participants, and the </w:t>
      </w:r>
      <w:r w:rsidRPr="0064535F">
        <w:rPr>
          <w:b/>
          <w:bCs/>
        </w:rPr>
        <w:t>fourth largest primary disability group in the NDIS</w:t>
      </w:r>
      <w:r w:rsidRPr="0064535F">
        <w:t xml:space="preserve">. </w:t>
      </w:r>
    </w:p>
    <w:p w14:paraId="76852CBA" w14:textId="4F0B3B4E" w:rsidR="009C373F" w:rsidRPr="006E014A" w:rsidRDefault="009C373F" w:rsidP="006E014A">
      <w:pPr>
        <w:pStyle w:val="ListBullet"/>
      </w:pPr>
      <w:r w:rsidRPr="006E014A">
        <w:t xml:space="preserve">The </w:t>
      </w:r>
      <w:r w:rsidRPr="006E014A">
        <w:rPr>
          <w:b/>
          <w:bCs/>
        </w:rPr>
        <w:t>highest population rates of inclusion in the NDIS for participants with a primary psychosocial disability were for people aged 55-64 years</w:t>
      </w:r>
      <w:r w:rsidRPr="006E014A">
        <w:t xml:space="preserve"> (550 per 100,000 p</w:t>
      </w:r>
      <w:r w:rsidR="002D5556">
        <w:t>eople</w:t>
      </w:r>
      <w:r w:rsidRPr="006E014A">
        <w:t>), followed by 45–54 years (533</w:t>
      </w:r>
      <w:r w:rsidR="00A44B15">
        <w:t xml:space="preserve"> per 100,000 people</w:t>
      </w:r>
      <w:r w:rsidRPr="006E014A">
        <w:t>). </w:t>
      </w:r>
    </w:p>
    <w:p w14:paraId="3E48AB2E" w14:textId="4D046968" w:rsidR="009C373F" w:rsidRPr="006E014A" w:rsidRDefault="009C373F" w:rsidP="006E014A">
      <w:pPr>
        <w:pStyle w:val="ListBullet"/>
        <w:rPr>
          <w:lang w:val="en-GB"/>
        </w:rPr>
      </w:pPr>
      <w:r w:rsidRPr="0064535F">
        <w:t>The lowest population rates were among people who were</w:t>
      </w:r>
      <w:r>
        <w:t xml:space="preserve"> aged</w:t>
      </w:r>
      <w:r w:rsidRPr="0064535F">
        <w:t xml:space="preserve"> 18 years or younger.</w:t>
      </w:r>
      <w:r w:rsidRPr="001A321D">
        <w:t> </w:t>
      </w:r>
    </w:p>
    <w:p w14:paraId="374CD935" w14:textId="77777777" w:rsidR="00F25942" w:rsidRDefault="00F25942">
      <w:pPr>
        <w:suppressAutoHyphens w:val="0"/>
        <w:autoSpaceDE/>
        <w:autoSpaceDN/>
        <w:adjustRightInd/>
        <w:spacing w:after="0" w:line="240" w:lineRule="auto"/>
        <w:textAlignment w:val="auto"/>
        <w:rPr>
          <w:rFonts w:eastAsiaTheme="majorEastAsia" w:cstheme="majorBidi"/>
          <w:b/>
          <w:color w:val="171717" w:themeColor="background2" w:themeShade="1A"/>
          <w:szCs w:val="24"/>
        </w:rPr>
      </w:pPr>
      <w:r>
        <w:br w:type="page"/>
      </w:r>
    </w:p>
    <w:p w14:paraId="04DBD636" w14:textId="4DC5C449" w:rsidR="009C373F" w:rsidRPr="00823B86" w:rsidRDefault="00F25942" w:rsidP="00823B86">
      <w:pPr>
        <w:pStyle w:val="Heading3"/>
      </w:pPr>
      <w:r w:rsidRPr="007A1964">
        <w:rPr>
          <w:rStyle w:val="FollowedHyperlink"/>
          <w:noProof/>
        </w:rPr>
        <w:lastRenderedPageBreak/>
        <mc:AlternateContent>
          <mc:Choice Requires="wps">
            <w:drawing>
              <wp:anchor distT="0" distB="0" distL="114300" distR="114300" simplePos="0" relativeHeight="251658314" behindDoc="1" locked="0" layoutInCell="1" allowOverlap="1" wp14:anchorId="31595BE0" wp14:editId="432B0566">
                <wp:simplePos x="0" y="0"/>
                <wp:positionH relativeFrom="page">
                  <wp:posOffset>720620</wp:posOffset>
                </wp:positionH>
                <wp:positionV relativeFrom="page">
                  <wp:posOffset>835678</wp:posOffset>
                </wp:positionV>
                <wp:extent cx="6147435" cy="5098840"/>
                <wp:effectExtent l="0" t="0" r="12065" b="6985"/>
                <wp:wrapNone/>
                <wp:docPr id="1773745469" name="Rectangle 17737454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5098840"/>
                        </a:xfrm>
                        <a:prstGeom prst="rect">
                          <a:avLst/>
                        </a:prstGeom>
                        <a:solidFill>
                          <a:srgbClr val="F9F9E5">
                            <a:alpha val="50196"/>
                          </a:srgbClr>
                        </a:solidFill>
                        <a:ln w="1270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7222FE0" id="Rectangle 1773745469" o:spid="_x0000_s1026" alt="&quot;&quot;" style="position:absolute;margin-left:56.75pt;margin-top:65.8pt;width:484.05pt;height:401.5pt;z-index:-2516581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" fillcolor="#f9f9e5" strokecolor="#008142 [3208]" strokeweight="1pt">
                <v:fill opacity="32896f"/>
                <w10:wrap anchorx="page" anchory="page"/>
              </v:rect>
            </w:pict>
          </mc:Fallback>
        </mc:AlternateContent>
      </w:r>
      <w:r w:rsidR="009C373F" w:rsidRPr="00823B86">
        <w:t xml:space="preserve">Experiences of NDIS participants with a primary psychosocial disability </w:t>
      </w:r>
    </w:p>
    <w:p w14:paraId="00B58893" w14:textId="77777777" w:rsidR="009C373F" w:rsidRPr="006E014A" w:rsidRDefault="009C373F" w:rsidP="006E014A">
      <w:pPr>
        <w:pStyle w:val="NormalBeforeBullet"/>
      </w:pPr>
      <w:proofErr w:type="gramStart"/>
      <w:r w:rsidRPr="006E014A">
        <w:t>At</w:t>
      </w:r>
      <w:proofErr w:type="gramEnd"/>
      <w:r w:rsidRPr="006E014A">
        <w:t xml:space="preserve"> 30 June 2025 (for the 2024-25 financial year):</w:t>
      </w:r>
    </w:p>
    <w:p w14:paraId="4F45104C" w14:textId="77777777" w:rsidR="009C373F" w:rsidRPr="00DB6933" w:rsidDel="001047A0" w:rsidRDefault="009C373F" w:rsidP="006E014A">
      <w:pPr>
        <w:pStyle w:val="ListBullet"/>
        <w:rPr>
          <w:rFonts w:cs="Times New Roman"/>
        </w:rPr>
      </w:pPr>
      <w:r w:rsidRPr="0064535F">
        <w:t xml:space="preserve">At their most recent NDIS assessment, </w:t>
      </w:r>
      <w:r w:rsidRPr="001A321D">
        <w:rPr>
          <w:b/>
          <w:bCs/>
        </w:rPr>
        <w:t>81%</w:t>
      </w:r>
      <w:r w:rsidRPr="0064535F">
        <w:t xml:space="preserve"> of NDIS participants aged 15 years and over with a primary psychosocial disability reported they felt the NDIS had helped them have more choices and control in their life. </w:t>
      </w:r>
    </w:p>
    <w:p w14:paraId="278F037C" w14:textId="77777777" w:rsidR="009C373F" w:rsidRPr="0064535F" w:rsidRDefault="009C373F" w:rsidP="006E014A">
      <w:pPr>
        <w:pStyle w:val="ListBullet"/>
        <w:rPr>
          <w:rFonts w:cs="Times New Roman"/>
        </w:rPr>
      </w:pPr>
      <w:r w:rsidRPr="0064535F">
        <w:t xml:space="preserve">This </w:t>
      </w:r>
      <w:r w:rsidRPr="0064535F">
        <w:rPr>
          <w:b/>
          <w:bCs/>
        </w:rPr>
        <w:t>is higher than 69%</w:t>
      </w:r>
      <w:r w:rsidRPr="0064535F">
        <w:t xml:space="preserve"> at their first reassessment after entry to the NDIS, and in line with broader experiences of NDIS participants (81%).</w:t>
      </w:r>
    </w:p>
    <w:p w14:paraId="0103CBED" w14:textId="188D9303" w:rsidR="009C373F" w:rsidRPr="006E014A" w:rsidRDefault="00D054E6" w:rsidP="006E014A">
      <w:pPr>
        <w:pStyle w:val="ListBullet"/>
        <w:rPr>
          <w:rFonts w:cs="Times New Roman"/>
        </w:rPr>
      </w:pPr>
      <w:r>
        <w:rPr>
          <w:noProof/>
        </w:rPr>
        <mc:AlternateContent>
          <mc:Choice Requires="wps">
            <w:drawing>
              <wp:anchor distT="0" distB="0" distL="114300" distR="114300" simplePos="0" relativeHeight="251658293" behindDoc="1" locked="0" layoutInCell="1" allowOverlap="1" wp14:anchorId="035CA642" wp14:editId="1550DC43">
                <wp:simplePos x="0" y="0"/>
                <wp:positionH relativeFrom="page">
                  <wp:posOffset>0</wp:posOffset>
                </wp:positionH>
                <wp:positionV relativeFrom="page">
                  <wp:posOffset>12386</wp:posOffset>
                </wp:positionV>
                <wp:extent cx="7560000" cy="153909"/>
                <wp:effectExtent l="0" t="0" r="0" b="0"/>
                <wp:wrapNone/>
                <wp:docPr id="1288582324" name="Rectangle 12885823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4F1C741" id="Rectangle 1288582324" o:spid="_x0000_s1026" alt="&quot;&quot;" style="position:absolute;margin-left:0;margin-top:1pt;width:595.3pt;height:12.1pt;z-index:-25165818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" fillcolor="#008142 [3208]" stroked="f" strokeweight="1pt">
                <w10:wrap anchorx="page" anchory="page"/>
              </v:rect>
            </w:pict>
          </mc:Fallback>
        </mc:AlternateContent>
      </w:r>
      <w:r w:rsidR="009C373F" w:rsidRPr="0064535F">
        <w:t xml:space="preserve">At their most recent NDIS assessment, </w:t>
      </w:r>
      <w:r w:rsidR="009C373F" w:rsidRPr="0064535F">
        <w:rPr>
          <w:b/>
          <w:bCs/>
        </w:rPr>
        <w:t>11% of NDIS</w:t>
      </w:r>
      <w:r w:rsidR="009C373F" w:rsidRPr="0064535F">
        <w:t xml:space="preserve"> participants aged 15–64 years with a primary psychosocial disability reported being in a paid job, compared with 10% at entry to the Scheme. This proportion is </w:t>
      </w:r>
      <w:r w:rsidR="009C373F" w:rsidRPr="0064535F">
        <w:rPr>
          <w:b/>
          <w:bCs/>
        </w:rPr>
        <w:t>still lower</w:t>
      </w:r>
      <w:r w:rsidR="009C373F" w:rsidRPr="0064535F">
        <w:t> compared to outcomes for NDIS participants more generally (23%).</w:t>
      </w:r>
      <w:r w:rsidR="009C373F" w:rsidRPr="0064535F">
        <w:rPr>
          <w:rFonts w:ascii="Arial" w:hAnsi="Arial" w:cs="Arial"/>
        </w:rPr>
        <w:t> </w:t>
      </w:r>
      <w:r w:rsidR="009C373F" w:rsidRPr="00C63EB6">
        <w:rPr>
          <w:rFonts w:cs="Arial"/>
        </w:rPr>
        <w:t xml:space="preserve"> </w:t>
      </w:r>
      <w:r w:rsidR="009C373F" w:rsidRPr="0064535F">
        <w:t xml:space="preserve">This </w:t>
      </w:r>
      <w:r w:rsidR="009C373F" w:rsidRPr="0064535F">
        <w:rPr>
          <w:b/>
          <w:bCs/>
        </w:rPr>
        <w:t>indicative gap in employment outcomes </w:t>
      </w:r>
      <w:r w:rsidR="009C373F" w:rsidRPr="0064535F">
        <w:t>can be seen in families and carers of participants with a psychosocial disability, in that 37% of psychosocial primary disability participants had families or carers in a paid job. This is </w:t>
      </w:r>
      <w:r w:rsidR="009C373F" w:rsidRPr="0064535F">
        <w:rPr>
          <w:b/>
          <w:bCs/>
        </w:rPr>
        <w:t xml:space="preserve">much lower than 53% reported by </w:t>
      </w:r>
      <w:r w:rsidR="009C373F" w:rsidRPr="0064535F">
        <w:t>families or carers of participants across the NDIS generally. </w:t>
      </w:r>
    </w:p>
    <w:p w14:paraId="09B2F527" w14:textId="7D44012F" w:rsidR="009C373F" w:rsidRPr="00C63EB6" w:rsidRDefault="009C373F" w:rsidP="00823B86">
      <w:pPr>
        <w:pStyle w:val="Heading3"/>
        <w:rPr>
          <w:rFonts w:cs="Times New Roman"/>
          <w:lang w:val="en-AU"/>
        </w:rPr>
      </w:pPr>
      <w:r w:rsidRPr="00C63EB6">
        <w:t>Gap in psychosocial supports outside of the</w:t>
      </w:r>
      <w:r w:rsidRPr="00C63EB6">
        <w:rPr>
          <w:rFonts w:ascii="Arial" w:hAnsi="Arial" w:cs="Arial"/>
        </w:rPr>
        <w:t> </w:t>
      </w:r>
      <w:r w:rsidRPr="00C63EB6">
        <w:t>NDIS</w:t>
      </w:r>
      <w:r w:rsidRPr="00C63EB6">
        <w:rPr>
          <w:rFonts w:ascii="Arial" w:hAnsi="Arial" w:cs="Arial"/>
        </w:rPr>
        <w:t> </w:t>
      </w:r>
    </w:p>
    <w:p w14:paraId="3AD5DCDF" w14:textId="5C80460C" w:rsidR="009C373F" w:rsidRPr="006E014A" w:rsidRDefault="009C373F" w:rsidP="006E014A">
      <w:r w:rsidRPr="006E014A">
        <w:t>As highlighted in Report Card 2024, the </w:t>
      </w:r>
      <w:hyperlink r:id="rId148" w:tgtFrame="_blank" w:history="1">
        <w:r w:rsidRPr="006E014A">
          <w:rPr>
            <w:rStyle w:val="Hyperlink"/>
          </w:rPr>
          <w:t>Analysis of unme</w:t>
        </w:r>
        <w:bookmarkStart w:id="31" w:name="_Hlt236046266"/>
        <w:bookmarkStart w:id="32" w:name="_Hlt236046267"/>
        <w:r w:rsidRPr="006E014A">
          <w:rPr>
            <w:rStyle w:val="Hyperlink"/>
          </w:rPr>
          <w:t>t</w:t>
        </w:r>
        <w:bookmarkEnd w:id="31"/>
        <w:bookmarkEnd w:id="32"/>
        <w:r w:rsidRPr="006E014A">
          <w:rPr>
            <w:rStyle w:val="Hyperlink"/>
          </w:rPr>
          <w:t xml:space="preserve"> need for psychosocial supports outside of the NDIS - Final Report</w:t>
        </w:r>
      </w:hyperlink>
      <w:r w:rsidRPr="006E014A">
        <w:t> presented estimates of unmet need for psychosocial supports outside the NDIS for the 2022-23 financial year. This report estimated that there were approximately 230,500 people with severe mental illness and 263,100 people with moderate mental illness aged 12 to 64 years who required psychosocial support but were not receiving psychosocial support through the NDIS or other government-funded programs.</w:t>
      </w:r>
      <w:r w:rsidRPr="00506633">
        <w:rPr>
          <w:vertAlign w:val="superscript"/>
        </w:rPr>
        <w:endnoteReference w:id="134"/>
      </w:r>
    </w:p>
    <w:p w14:paraId="11CD43F5" w14:textId="741AC7F9" w:rsidR="009C373F" w:rsidRPr="006E014A" w:rsidRDefault="009C373F" w:rsidP="006E014A">
      <w:r w:rsidRPr="006E014A">
        <w:t>In November 2025, the Grattan Institute published their analysis of the work undertaken by Health Policy Analysis. The Grattan Institute’s analysis of the Unmet need for psychosocial supports outside of the NDIS concluded that most people experiencing psychosocial disability were receiving very little or no support through the mental health system or the NDIS. The Grattan Institute estimated about 130,000 adults were going without supports in this way.</w:t>
      </w:r>
      <w:r w:rsidRPr="00506633">
        <w:rPr>
          <w:vertAlign w:val="superscript"/>
        </w:rPr>
        <w:endnoteReference w:id="135"/>
      </w:r>
      <w:r w:rsidRPr="00506633">
        <w:rPr>
          <w:vertAlign w:val="superscript"/>
        </w:rPr>
        <w:t> </w:t>
      </w:r>
    </w:p>
    <w:p w14:paraId="530DA1C0" w14:textId="45F5EA84" w:rsidR="009C373F" w:rsidRPr="006E014A" w:rsidRDefault="009C373F" w:rsidP="006E014A">
      <w:pPr>
        <w:rPr>
          <w:color w:val="000000"/>
        </w:rPr>
      </w:pPr>
      <w:r w:rsidRPr="006E014A">
        <w:t>In May 2026, the Commission contributed its </w:t>
      </w:r>
      <w:hyperlink r:id="rId149">
        <w:r w:rsidRPr="006E014A">
          <w:rPr>
            <w:rStyle w:val="Hyperlink"/>
          </w:rPr>
          <w:t>submission</w:t>
        </w:r>
      </w:hyperlink>
      <w:r w:rsidRPr="006E014A">
        <w:t> to the Senate inquiry into the National Disability Insurance Scheme Amendment (Securing the NDIS for Future Generations) Bill 2026.</w:t>
      </w:r>
      <w:r w:rsidRPr="00506633">
        <w:rPr>
          <w:vertAlign w:val="superscript"/>
        </w:rPr>
        <w:endnoteReference w:id="136"/>
      </w:r>
      <w:r w:rsidRPr="006E014A">
        <w:t xml:space="preserve"> The Commission’s submission highlighted that without careful design and implementation, proposed reforms to the NDIS risked amplifying gaps in equitable access to quality psychosocial supports in Australia.</w:t>
      </w:r>
      <w:r w:rsidRPr="00506633">
        <w:rPr>
          <w:vertAlign w:val="superscript"/>
        </w:rPr>
        <w:endnoteReference w:id="137"/>
      </w:r>
    </w:p>
    <w:p w14:paraId="3DD140FA" w14:textId="77777777" w:rsidR="00823B86" w:rsidRDefault="00823B86">
      <w:pPr>
        <w:suppressAutoHyphens w:val="0"/>
        <w:autoSpaceDE/>
        <w:autoSpaceDN/>
        <w:adjustRightInd/>
        <w:spacing w:after="0" w:line="240" w:lineRule="auto"/>
        <w:textAlignment w:val="auto"/>
        <w:rPr>
          <w:lang w:val="en-AU"/>
        </w:rPr>
      </w:pPr>
      <w:r>
        <w:rPr>
          <w:lang w:val="en-AU"/>
        </w:rPr>
        <w:br w:type="page"/>
      </w:r>
    </w:p>
    <w:p w14:paraId="0F1B741D" w14:textId="4E6924B4" w:rsidR="009C373F" w:rsidRPr="003E5DA6" w:rsidRDefault="009C373F" w:rsidP="003E5DA6">
      <w:pPr>
        <w:rPr>
          <w:rFonts w:eastAsiaTheme="majorEastAsia" w:cstheme="majorBidi"/>
          <w:lang w:val="en-AU" w:eastAsia="en-AU"/>
        </w:rPr>
      </w:pPr>
      <w:r w:rsidRPr="007801A1">
        <w:rPr>
          <w:lang w:val="en-AU"/>
        </w:rPr>
        <w:lastRenderedPageBreak/>
        <w:t>While this year</w:t>
      </w:r>
      <w:r>
        <w:rPr>
          <w:lang w:val="en-AU"/>
        </w:rPr>
        <w:t>’</w:t>
      </w:r>
      <w:r w:rsidRPr="007801A1">
        <w:rPr>
          <w:lang w:val="en-AU"/>
        </w:rPr>
        <w:t>s Report Card provides access insights across a greater range of service settings than previously, available data still does not capture access across the full spectrum of services. This is particularly evident in services delivered by non-government mental health services</w:t>
      </w:r>
      <w:r>
        <w:rPr>
          <w:lang w:val="en-AU"/>
        </w:rPr>
        <w:t xml:space="preserve">. So, while there are signs that service use is increasing, a greater understanding </w:t>
      </w:r>
      <w:r>
        <w:rPr>
          <w:rFonts w:eastAsiaTheme="majorEastAsia" w:cstheme="majorBidi"/>
          <w:lang w:val="en-AU" w:eastAsia="en-AU"/>
        </w:rPr>
        <w:t>of</w:t>
      </w:r>
      <w:r w:rsidRPr="00BE0A2B">
        <w:rPr>
          <w:rFonts w:eastAsiaTheme="majorEastAsia" w:cstheme="majorBidi"/>
          <w:lang w:val="en-AU" w:eastAsia="en-AU"/>
        </w:rPr>
        <w:t xml:space="preserve"> how and why people </w:t>
      </w:r>
      <w:r>
        <w:rPr>
          <w:rFonts w:eastAsiaTheme="majorEastAsia" w:cstheme="majorBidi"/>
          <w:lang w:val="en-AU" w:eastAsia="en-AU"/>
        </w:rPr>
        <w:t xml:space="preserve">are using different supports and presenting at different settings is needed </w:t>
      </w:r>
      <w:r w:rsidRPr="00BE0A2B">
        <w:rPr>
          <w:rFonts w:eastAsiaTheme="majorEastAsia" w:cstheme="majorBidi"/>
          <w:lang w:val="en-AU" w:eastAsia="en-AU"/>
        </w:rPr>
        <w:t>to better understand service use across the system</w:t>
      </w:r>
      <w:r>
        <w:rPr>
          <w:rFonts w:eastAsiaTheme="majorEastAsia" w:cstheme="majorBidi"/>
          <w:lang w:val="en-AU" w:eastAsia="en-AU"/>
        </w:rPr>
        <w:t xml:space="preserve">. </w:t>
      </w:r>
    </w:p>
    <w:p w14:paraId="2B422692" w14:textId="79DF423A" w:rsidR="009C373F" w:rsidRPr="00BE0A2B" w:rsidRDefault="00AE60B2" w:rsidP="009F46B4">
      <w:pPr>
        <w:pStyle w:val="Heading2"/>
        <w:rPr>
          <w:lang w:val="en-AU"/>
        </w:rPr>
      </w:pPr>
      <w:r>
        <w:rPr>
          <w:noProof/>
        </w:rPr>
        <w:drawing>
          <wp:inline distT="0" distB="0" distL="0" distR="0" wp14:anchorId="5BAAEFE1" wp14:editId="2C6F80D5">
            <wp:extent cx="387350" cy="387350"/>
            <wp:effectExtent l="0" t="0" r="6350" b="6350"/>
            <wp:docPr id="1878253078"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253078" name="Picture 100">
                      <a:extLst>
                        <a:ext uri="{C183D7F6-B498-43B3-948B-1728B52AA6E4}">
                          <adec:decorative xmlns:adec="http://schemas.microsoft.com/office/drawing/2017/decorative" val="1"/>
                        </a:ext>
                      </a:extLst>
                    </pic:cNvPr>
                    <pic:cNvPicPr/>
                  </pic:nvPicPr>
                  <pic:blipFill>
                    <a:blip r:embed="rId132">
                      <a:extLst>
                        <a:ext uri="{96DAC541-7B7A-43D3-8B79-37D633B846F1}">
                          <asvg:svgBlip xmlns:asvg="http://schemas.microsoft.com/office/drawing/2016/SVG/main" r:embed="rId133"/>
                        </a:ext>
                      </a:extLst>
                    </a:blip>
                    <a:stretch>
                      <a:fillRect/>
                    </a:stretch>
                  </pic:blipFill>
                  <pic:spPr>
                    <a:xfrm>
                      <a:off x="0" y="0"/>
                      <a:ext cx="387350" cy="387350"/>
                    </a:xfrm>
                    <a:prstGeom prst="rect">
                      <a:avLst/>
                    </a:prstGeom>
                  </pic:spPr>
                </pic:pic>
              </a:graphicData>
            </a:graphic>
          </wp:inline>
        </w:drawing>
      </w:r>
      <w:r>
        <w:t xml:space="preserve"> </w:t>
      </w:r>
      <w:r w:rsidR="009C373F" w:rsidRPr="00BE0A2B">
        <w:rPr>
          <w:lang w:val="en-AU"/>
        </w:rPr>
        <w:t>Treatment rates</w:t>
      </w:r>
      <w:r w:rsidR="009C373F" w:rsidRPr="00BE0A2B">
        <w:rPr>
          <w:rFonts w:ascii="Arial" w:hAnsi="Arial" w:cs="Arial"/>
          <w:lang w:val="en-AU"/>
        </w:rPr>
        <w:t>​</w:t>
      </w:r>
      <w:r w:rsidR="009C373F" w:rsidRPr="00BE0A2B">
        <w:rPr>
          <w:lang w:val="en-AU"/>
        </w:rPr>
        <w:t> </w:t>
      </w:r>
    </w:p>
    <w:p w14:paraId="23CE850F" w14:textId="77777777" w:rsidR="009C373F" w:rsidRDefault="009C373F" w:rsidP="00634996">
      <w:pPr>
        <w:pStyle w:val="NormalBeforeBullet"/>
      </w:pPr>
      <w:r>
        <w:t>Treatment rates are a</w:t>
      </w:r>
      <w:r w:rsidRPr="00564CEE">
        <w:t xml:space="preserve"> measure of the proportion of the population who either</w:t>
      </w:r>
      <w:r>
        <w:t>:</w:t>
      </w:r>
      <w:r w:rsidRPr="00564CEE">
        <w:t xml:space="preserve"> </w:t>
      </w:r>
    </w:p>
    <w:p w14:paraId="44D35801" w14:textId="04FCAEE0" w:rsidR="009C373F" w:rsidRPr="00140D3F" w:rsidRDefault="009C373F" w:rsidP="003E5DA6">
      <w:pPr>
        <w:pStyle w:val="ListBullet"/>
        <w:rPr>
          <w:rFonts w:eastAsiaTheme="minorEastAsia"/>
        </w:rPr>
      </w:pPr>
      <w:r>
        <w:rPr>
          <w:rFonts w:eastAsiaTheme="minorEastAsia"/>
        </w:rPr>
        <w:t>R</w:t>
      </w:r>
      <w:r w:rsidRPr="00140D3F">
        <w:rPr>
          <w:rFonts w:eastAsiaTheme="minorEastAsia"/>
        </w:rPr>
        <w:t>eceived one or more services from state/territory public specialised mental health service</w:t>
      </w:r>
      <w:r w:rsidR="009B283A">
        <w:rPr>
          <w:rFonts w:eastAsiaTheme="minorEastAsia"/>
        </w:rPr>
        <w:t>s</w:t>
      </w:r>
      <w:r w:rsidRPr="00140D3F">
        <w:rPr>
          <w:rFonts w:eastAsiaTheme="minorEastAsia"/>
        </w:rPr>
        <w:t>;</w:t>
      </w:r>
      <w:r w:rsidR="009B283A">
        <w:rPr>
          <w:rFonts w:eastAsiaTheme="minorEastAsia"/>
        </w:rPr>
        <w:t xml:space="preserve"> and/or</w:t>
      </w:r>
    </w:p>
    <w:p w14:paraId="7AE40A1B" w14:textId="77777777" w:rsidR="009C373F" w:rsidRPr="00140D3F" w:rsidRDefault="009C373F" w:rsidP="003E5DA6">
      <w:pPr>
        <w:pStyle w:val="ListBullet"/>
        <w:rPr>
          <w:rFonts w:eastAsiaTheme="minorEastAsia"/>
        </w:rPr>
      </w:pPr>
      <w:r>
        <w:rPr>
          <w:rFonts w:eastAsiaTheme="minorEastAsia"/>
        </w:rPr>
        <w:t>R</w:t>
      </w:r>
      <w:r w:rsidRPr="00140D3F">
        <w:rPr>
          <w:rFonts w:eastAsiaTheme="minorEastAsia"/>
        </w:rPr>
        <w:t xml:space="preserve">eceived one or more services from </w:t>
      </w:r>
      <w:r>
        <w:rPr>
          <w:rFonts w:eastAsiaTheme="minorEastAsia"/>
        </w:rPr>
        <w:t>s</w:t>
      </w:r>
      <w:r w:rsidRPr="00140D3F">
        <w:rPr>
          <w:rFonts w:eastAsiaTheme="minorEastAsia"/>
        </w:rPr>
        <w:t>pecialist psychiatric care in participating private hospitals with psychiatric beds; and/or</w:t>
      </w:r>
    </w:p>
    <w:p w14:paraId="03E057D8" w14:textId="77777777" w:rsidR="00B57BFE" w:rsidRDefault="009C373F" w:rsidP="003E5DA6">
      <w:pPr>
        <w:pStyle w:val="ListBullet"/>
        <w:rPr>
          <w:rFonts w:eastAsiaTheme="minorEastAsia"/>
        </w:rPr>
      </w:pPr>
      <w:r>
        <w:rPr>
          <w:rFonts w:eastAsiaTheme="minorEastAsia"/>
        </w:rPr>
        <w:t>R</w:t>
      </w:r>
      <w:r w:rsidRPr="00140D3F">
        <w:rPr>
          <w:rFonts w:eastAsiaTheme="minorEastAsia"/>
        </w:rPr>
        <w:t>eceived Medicare Benefits Schedule (MBS) or Department of Veterans' Affairs (DVA) subsidised mental health services</w:t>
      </w:r>
      <w:r w:rsidR="00B57BFE">
        <w:rPr>
          <w:rFonts w:eastAsiaTheme="minorEastAsia"/>
        </w:rPr>
        <w:t>; and/or</w:t>
      </w:r>
    </w:p>
    <w:p w14:paraId="1964B5A8" w14:textId="6CCD67F7" w:rsidR="009C373F" w:rsidRDefault="00B57BFE" w:rsidP="003E5DA6">
      <w:pPr>
        <w:pStyle w:val="ListBullet"/>
        <w:rPr>
          <w:rFonts w:eastAsiaTheme="minorEastAsia"/>
        </w:rPr>
      </w:pPr>
      <w:r>
        <w:rPr>
          <w:rFonts w:eastAsiaTheme="minorEastAsia"/>
        </w:rPr>
        <w:t>Received mental health-related prescriptions through the Pharmaceutical Benefit</w:t>
      </w:r>
      <w:r w:rsidR="00627810">
        <w:rPr>
          <w:rFonts w:eastAsiaTheme="minorEastAsia"/>
        </w:rPr>
        <w:t xml:space="preserve"> Scheme (PBS).</w:t>
      </w:r>
    </w:p>
    <w:p w14:paraId="6DA774F2" w14:textId="182101AC" w:rsidR="009C373F" w:rsidRPr="003E5DA6" w:rsidRDefault="009C373F" w:rsidP="003E5DA6">
      <w:pPr>
        <w:rPr>
          <w:lang w:val="en-AU"/>
        </w:rPr>
      </w:pPr>
      <w:r w:rsidRPr="00140D3F">
        <w:rPr>
          <w:lang w:val="en-AU"/>
        </w:rPr>
        <w:t>Monitoring treatment rates helps us to understand the rate at which people are receiving treatment from a mental health professional, helping people to feel supported in the</w:t>
      </w:r>
      <w:r w:rsidR="00B827BD">
        <w:rPr>
          <w:lang w:val="en-AU"/>
        </w:rPr>
        <w:t>ir</w:t>
      </w:r>
      <w:r w:rsidRPr="00140D3F">
        <w:rPr>
          <w:lang w:val="en-AU"/>
        </w:rPr>
        <w:t xml:space="preserve"> recovery journey, across different care settings. </w:t>
      </w:r>
    </w:p>
    <w:p w14:paraId="4C3E583B" w14:textId="77777777" w:rsidR="009C373F" w:rsidRPr="00BE0A2B" w:rsidRDefault="009C373F" w:rsidP="003E5DA6">
      <w:pPr>
        <w:pStyle w:val="NormalBeforeBullet"/>
        <w:rPr>
          <w:rFonts w:eastAsiaTheme="minorEastAsia"/>
        </w:rPr>
      </w:pPr>
      <w:r w:rsidRPr="00BE0A2B">
        <w:rPr>
          <w:rFonts w:eastAsiaTheme="minorEastAsia"/>
        </w:rPr>
        <w:t xml:space="preserve">Nationally, between 2013-14 and 2023-24: </w:t>
      </w:r>
    </w:p>
    <w:p w14:paraId="0ECBB411" w14:textId="77777777" w:rsidR="009C373F" w:rsidRPr="00BE0A2B" w:rsidRDefault="009C373F" w:rsidP="003E5DA6">
      <w:pPr>
        <w:pStyle w:val="ListBullet"/>
        <w:rPr>
          <w:rFonts w:eastAsiaTheme="minorEastAsia"/>
        </w:rPr>
      </w:pPr>
      <w:r w:rsidRPr="00BE0A2B">
        <w:rPr>
          <w:rFonts w:eastAsiaTheme="minorEastAsia"/>
        </w:rPr>
        <w:t xml:space="preserve">Between 1.8% and 2.0% of the population accessed public specialised mental health services (hospital, community or residential services). </w:t>
      </w:r>
    </w:p>
    <w:p w14:paraId="37C7A17B" w14:textId="77777777" w:rsidR="009C373F" w:rsidRPr="00BE0A2B" w:rsidRDefault="009C373F" w:rsidP="003E5DA6">
      <w:pPr>
        <w:pStyle w:val="ListBullet"/>
        <w:rPr>
          <w:rFonts w:eastAsiaTheme="minorEastAsia"/>
        </w:rPr>
      </w:pPr>
      <w:r w:rsidRPr="00BE0A2B">
        <w:rPr>
          <w:rFonts w:eastAsiaTheme="minorEastAsia"/>
        </w:rPr>
        <w:t>Between 0.1% and 0.2% accessed private psychiatric hospitals</w:t>
      </w:r>
      <w:r>
        <w:rPr>
          <w:rFonts w:eastAsiaTheme="minorEastAsia"/>
        </w:rPr>
        <w:t xml:space="preserve">. </w:t>
      </w:r>
    </w:p>
    <w:p w14:paraId="008AB318" w14:textId="77777777" w:rsidR="009C373F" w:rsidRPr="00BE0A2B" w:rsidRDefault="009C373F" w:rsidP="003E5DA6">
      <w:pPr>
        <w:pStyle w:val="ListBullet"/>
        <w:rPr>
          <w:rFonts w:eastAsiaTheme="minorEastAsia"/>
        </w:rPr>
      </w:pPr>
      <w:r>
        <w:rPr>
          <w:rFonts w:eastAsiaTheme="minorEastAsia"/>
        </w:rPr>
        <w:t>T</w:t>
      </w:r>
      <w:r w:rsidRPr="00BE0A2B">
        <w:rPr>
          <w:rFonts w:eastAsiaTheme="minorEastAsia"/>
        </w:rPr>
        <w:t>he rate of Medicare/DVA mental health services increased from 8.4% to 10.6% of the population</w:t>
      </w:r>
      <w:r>
        <w:rPr>
          <w:rFonts w:eastAsiaTheme="minorEastAsia"/>
        </w:rPr>
        <w:t xml:space="preserve">. </w:t>
      </w:r>
      <w:r w:rsidRPr="00BE0A2B">
        <w:rPr>
          <w:rFonts w:eastAsiaTheme="minorEastAsia"/>
        </w:rPr>
        <w:t xml:space="preserve">  </w:t>
      </w:r>
    </w:p>
    <w:p w14:paraId="3BEDCFFC" w14:textId="341CF93E" w:rsidR="009C373F" w:rsidRPr="00702ACD" w:rsidRDefault="009C373F" w:rsidP="00702ACD">
      <w:pPr>
        <w:pStyle w:val="ListBullet"/>
        <w:rPr>
          <w:rFonts w:eastAsiaTheme="minorEastAsia"/>
          <w:color w:val="auto"/>
        </w:rPr>
      </w:pPr>
      <w:r w:rsidRPr="00BE0A2B">
        <w:rPr>
          <w:rFonts w:eastAsiaTheme="minorEastAsia"/>
        </w:rPr>
        <w:t>The rate of dispensed mental health-related prescriptions on the PBS increased from 1</w:t>
      </w:r>
      <w:r>
        <w:rPr>
          <w:rFonts w:eastAsiaTheme="minorEastAsia"/>
        </w:rPr>
        <w:t>6</w:t>
      </w:r>
      <w:r w:rsidRPr="00BE0A2B">
        <w:rPr>
          <w:rFonts w:eastAsiaTheme="minorEastAsia"/>
        </w:rPr>
        <w:t>.</w:t>
      </w:r>
      <w:r>
        <w:rPr>
          <w:rFonts w:eastAsiaTheme="minorEastAsia"/>
        </w:rPr>
        <w:t>2</w:t>
      </w:r>
      <w:r w:rsidRPr="00BE0A2B">
        <w:rPr>
          <w:rFonts w:eastAsiaTheme="minorEastAsia"/>
        </w:rPr>
        <w:t xml:space="preserve">% to 18.5%. </w:t>
      </w:r>
    </w:p>
    <w:p w14:paraId="2D50C0CD" w14:textId="1F1A6F76" w:rsidR="009C373F" w:rsidRPr="00330B9A" w:rsidRDefault="00AE60B2" w:rsidP="009F46B4">
      <w:pPr>
        <w:pStyle w:val="Heading2"/>
        <w:rPr>
          <w:lang w:val="en-AU"/>
        </w:rPr>
      </w:pPr>
      <w:r>
        <w:rPr>
          <w:noProof/>
        </w:rPr>
        <w:drawing>
          <wp:inline distT="0" distB="0" distL="0" distR="0" wp14:anchorId="351C1971" wp14:editId="76A307D1">
            <wp:extent cx="387350" cy="387350"/>
            <wp:effectExtent l="0" t="0" r="6350" b="6350"/>
            <wp:docPr id="2020043408"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043408" name="Picture 100">
                      <a:extLst>
                        <a:ext uri="{C183D7F6-B498-43B3-948B-1728B52AA6E4}">
                          <adec:decorative xmlns:adec="http://schemas.microsoft.com/office/drawing/2017/decorative" val="1"/>
                        </a:ext>
                      </a:extLst>
                    </pic:cNvPr>
                    <pic:cNvPicPr/>
                  </pic:nvPicPr>
                  <pic:blipFill>
                    <a:blip r:embed="rId145">
                      <a:extLst>
                        <a:ext uri="{96DAC541-7B7A-43D3-8B79-37D633B846F1}">
                          <asvg:svgBlip xmlns:asvg="http://schemas.microsoft.com/office/drawing/2016/SVG/main" r:embed="rId146"/>
                        </a:ext>
                      </a:extLst>
                    </a:blip>
                    <a:stretch>
                      <a:fillRect/>
                    </a:stretch>
                  </pic:blipFill>
                  <pic:spPr>
                    <a:xfrm>
                      <a:off x="0" y="0"/>
                      <a:ext cx="387350" cy="387350"/>
                    </a:xfrm>
                    <a:prstGeom prst="rect">
                      <a:avLst/>
                    </a:prstGeom>
                  </pic:spPr>
                </pic:pic>
              </a:graphicData>
            </a:graphic>
          </wp:inline>
        </w:drawing>
      </w:r>
      <w:r w:rsidR="00D30755">
        <w:t xml:space="preserve"> </w:t>
      </w:r>
      <w:r w:rsidR="009C373F" w:rsidRPr="00BE0A2B">
        <w:rPr>
          <w:lang w:val="en-AU"/>
        </w:rPr>
        <w:t>Cost related delays to accessing care </w:t>
      </w:r>
      <w:r w:rsidR="009C373F" w:rsidRPr="00BE0A2B">
        <w:rPr>
          <w:rFonts w:ascii="Arial" w:hAnsi="Arial" w:cs="Arial"/>
          <w:lang w:val="en-AU"/>
        </w:rPr>
        <w:t>​</w:t>
      </w:r>
      <w:r w:rsidR="009C373F" w:rsidRPr="00BE0A2B">
        <w:rPr>
          <w:lang w:val="en-AU"/>
        </w:rPr>
        <w:t> </w:t>
      </w:r>
    </w:p>
    <w:p w14:paraId="0E01528A" w14:textId="5432B797" w:rsidR="009C373F" w:rsidRPr="008D5FFA" w:rsidRDefault="009C373F" w:rsidP="003E5DA6">
      <w:pPr>
        <w:rPr>
          <w:rFonts w:cs="Times New Roman"/>
          <w:color w:val="006031" w:themeColor="accent5" w:themeShade="BF"/>
          <w:lang w:val="en-AU"/>
        </w:rPr>
      </w:pPr>
      <w:r>
        <w:t xml:space="preserve">Monitoring </w:t>
      </w:r>
      <w:r w:rsidRPr="00BE0A2B">
        <w:t xml:space="preserve">costs and wait times is crucial to understand to what extent the mental health system is responsive to need </w:t>
      </w:r>
      <w:r>
        <w:t xml:space="preserve">and </w:t>
      </w:r>
      <w:r w:rsidRPr="00BE0A2B">
        <w:t>provid</w:t>
      </w:r>
      <w:r>
        <w:t>es</w:t>
      </w:r>
      <w:r w:rsidRPr="00BE0A2B">
        <w:t xml:space="preserve"> insights about where government investment should be directed to better support </w:t>
      </w:r>
      <w:r>
        <w:t xml:space="preserve">people to </w:t>
      </w:r>
      <w:r w:rsidRPr="00BE0A2B">
        <w:t>access care.</w:t>
      </w:r>
      <w:r w:rsidRPr="00BE0A2B">
        <w:rPr>
          <w:color w:val="006031" w:themeColor="accent5" w:themeShade="BF"/>
        </w:rPr>
        <w:t xml:space="preserve"> </w:t>
      </w:r>
      <w:r>
        <w:t xml:space="preserve">Cost-related barriers (in combination with broader barriers such as stigma, cultural appropriateness of </w:t>
      </w:r>
      <w:r w:rsidR="00D054E6">
        <w:rPr>
          <w:noProof/>
        </w:rPr>
        <mc:AlternateContent>
          <mc:Choice Requires="wps">
            <w:drawing>
              <wp:anchor distT="0" distB="0" distL="114300" distR="114300" simplePos="0" relativeHeight="251658294" behindDoc="1" locked="0" layoutInCell="1" allowOverlap="1" wp14:anchorId="5D5398CD" wp14:editId="17588BAD">
                <wp:simplePos x="0" y="0"/>
                <wp:positionH relativeFrom="page">
                  <wp:posOffset>0</wp:posOffset>
                </wp:positionH>
                <wp:positionV relativeFrom="page">
                  <wp:posOffset>11273</wp:posOffset>
                </wp:positionV>
                <wp:extent cx="7560000" cy="153909"/>
                <wp:effectExtent l="0" t="0" r="0" b="0"/>
                <wp:wrapNone/>
                <wp:docPr id="1746491910" name="Rectangle 17464919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62A4184" id="Rectangle 1746491910" o:spid="_x0000_s1026" alt="&quot;&quot;" style="position:absolute;margin-left:0;margin-top:.9pt;width:595.3pt;height:12.1pt;z-index:-2516581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" fillcolor="#008142 [3208]" stroked="f" strokeweight="1pt">
                <w10:wrap anchorx="page" anchory="page"/>
              </v:rect>
            </w:pict>
          </mc:Fallback>
        </mc:AlternateContent>
      </w:r>
      <w:r>
        <w:t>care and distance to travel) can mean p</w:t>
      </w:r>
      <w:r w:rsidRPr="00BE0A2B">
        <w:t xml:space="preserve">eople </w:t>
      </w:r>
      <w:r>
        <w:t>delay service access, do not access services at all or access</w:t>
      </w:r>
      <w:r w:rsidRPr="00BE0A2B">
        <w:t xml:space="preserve"> </w:t>
      </w:r>
      <w:r>
        <w:t xml:space="preserve">services </w:t>
      </w:r>
      <w:r w:rsidRPr="00BE0A2B">
        <w:t xml:space="preserve">that are not </w:t>
      </w:r>
      <w:r>
        <w:t xml:space="preserve">suitable to their needs. </w:t>
      </w:r>
      <w:r w:rsidRPr="00BE0A2B">
        <w:rPr>
          <w:color w:val="006031" w:themeColor="accent5" w:themeShade="BF"/>
        </w:rPr>
        <w:t xml:space="preserve"> </w:t>
      </w:r>
    </w:p>
    <w:p w14:paraId="13267B5D" w14:textId="3EAB4764" w:rsidR="009C373F" w:rsidRPr="00BE0A2B" w:rsidRDefault="009C373F" w:rsidP="003E5DA6">
      <w:r w:rsidRPr="00BE0A2B">
        <w:t>The estimated proportion of the population aged 15 years and older who indicated cost as a reason for not seeing a mental health professional (including GPs, psychiatrists, psychologists, mental health nurses, social workers, counsellors and occupational therapists) increased from 12% during 2020-2021 to 20% during 2024-2025</w:t>
      </w:r>
      <w:r>
        <w:t>.</w:t>
      </w:r>
      <w:r w:rsidR="009672A2">
        <w:rPr>
          <w:rStyle w:val="EndnoteReference"/>
        </w:rPr>
        <w:endnoteReference w:id="138"/>
      </w:r>
      <w:r>
        <w:t xml:space="preserve"> </w:t>
      </w:r>
    </w:p>
    <w:p w14:paraId="465747C5" w14:textId="77777777" w:rsidR="009C373F" w:rsidRPr="003E5DA6" w:rsidRDefault="009C373F" w:rsidP="003E5DA6">
      <w:pPr>
        <w:pStyle w:val="NormalBeforeBullet"/>
      </w:pPr>
      <w:r w:rsidRPr="003E5DA6">
        <w:t xml:space="preserve">During 2024-25: </w:t>
      </w:r>
    </w:p>
    <w:p w14:paraId="1D69381F" w14:textId="77777777" w:rsidR="009C373F" w:rsidRPr="00BE0A2B" w:rsidRDefault="009C373F" w:rsidP="003E5DA6">
      <w:pPr>
        <w:pStyle w:val="ListBullet"/>
      </w:pPr>
      <w:r w:rsidRPr="00BE0A2B">
        <w:t>The highest rate was seen for people aged 25-34 (27%) and the lowest for people aged 75 and older (5%)</w:t>
      </w:r>
      <w:r>
        <w:t xml:space="preserve">. </w:t>
      </w:r>
    </w:p>
    <w:p w14:paraId="11A35286" w14:textId="18EDFEF6" w:rsidR="009C373F" w:rsidRPr="003E5DA6" w:rsidRDefault="009C373F" w:rsidP="003E5DA6">
      <w:pPr>
        <w:pStyle w:val="ListBullet"/>
        <w:rPr>
          <w:color w:val="auto"/>
        </w:rPr>
      </w:pPr>
      <w:r w:rsidRPr="00BE0A2B">
        <w:t>Females had a higher rate (23%) compared with males (15%)</w:t>
      </w:r>
      <w:r>
        <w:t xml:space="preserve">. </w:t>
      </w:r>
    </w:p>
    <w:p w14:paraId="7139BA21" w14:textId="40DEE11A" w:rsidR="009C373F" w:rsidRPr="00574410" w:rsidRDefault="009C373F" w:rsidP="00574410">
      <w:r w:rsidRPr="000D7ADB">
        <w:t>Data throughout the accessibility theme highlights that access can be impacted by a person’s social and economic circumstances and where they live. The following section present</w:t>
      </w:r>
      <w:r>
        <w:t>s</w:t>
      </w:r>
      <w:r w:rsidRPr="000D7ADB">
        <w:t xml:space="preserve"> a more detailed view of these socio-economic and geographical impacts drawing together available data.</w:t>
      </w:r>
    </w:p>
    <w:p w14:paraId="18AA204A" w14:textId="60468664" w:rsidR="00CF0A38" w:rsidRDefault="00CF0A38">
      <w:pPr>
        <w:suppressAutoHyphens w:val="0"/>
        <w:autoSpaceDE/>
        <w:autoSpaceDN/>
        <w:adjustRightInd/>
        <w:spacing w:after="0" w:line="240" w:lineRule="auto"/>
        <w:textAlignment w:val="auto"/>
        <w:rPr>
          <w:rFonts w:eastAsiaTheme="majorEastAsia" w:cstheme="majorBidi"/>
          <w:sz w:val="24"/>
          <w:szCs w:val="26"/>
          <w:lang w:eastAsia="en-AU"/>
        </w:rPr>
      </w:pPr>
      <w:r>
        <w:br w:type="page"/>
      </w:r>
    </w:p>
    <w:p w14:paraId="4EA66B2A" w14:textId="25C2868A" w:rsidR="009C373F" w:rsidRDefault="00CF0A38" w:rsidP="009F46B4">
      <w:pPr>
        <w:pStyle w:val="Heading2"/>
      </w:pPr>
      <w:r w:rsidRPr="007A1964">
        <w:rPr>
          <w:rStyle w:val="FollowedHyperlink"/>
          <w:noProof/>
        </w:rPr>
        <w:lastRenderedPageBreak/>
        <mc:AlternateContent>
          <mc:Choice Requires="wps">
            <w:drawing>
              <wp:anchor distT="0" distB="0" distL="114300" distR="114300" simplePos="0" relativeHeight="251658315" behindDoc="1" locked="0" layoutInCell="1" allowOverlap="1" wp14:anchorId="30078287" wp14:editId="1BAD5CF8">
                <wp:simplePos x="0" y="0"/>
                <wp:positionH relativeFrom="page">
                  <wp:posOffset>691763</wp:posOffset>
                </wp:positionH>
                <wp:positionV relativeFrom="page">
                  <wp:posOffset>834887</wp:posOffset>
                </wp:positionV>
                <wp:extent cx="6147435" cy="8309113"/>
                <wp:effectExtent l="0" t="0" r="12065" b="9525"/>
                <wp:wrapNone/>
                <wp:docPr id="438386504" name="Rectangle 4383865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8309113"/>
                        </a:xfrm>
                        <a:prstGeom prst="rect">
                          <a:avLst/>
                        </a:prstGeom>
                        <a:solidFill>
                          <a:srgbClr val="F9F9E5">
                            <a:alpha val="50196"/>
                          </a:srgbClr>
                        </a:solidFill>
                        <a:ln w="1270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7AE90CC" id="Rectangle 438386504" o:spid="_x0000_s1026" alt="&quot;&quot;" style="position:absolute;margin-left:54.45pt;margin-top:65.75pt;width:484.05pt;height:654.25pt;z-index:-2516581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" fillcolor="#f9f9e5" strokecolor="#008142 [3208]" strokeweight="1pt">
                <v:fill opacity="32896f"/>
                <w10:wrap anchorx="page" anchory="page"/>
              </v:rect>
            </w:pict>
          </mc:Fallback>
        </mc:AlternateContent>
      </w:r>
      <w:r w:rsidR="009C373F">
        <w:t xml:space="preserve">Box 7 – Social, economic and geographic circumstances impact mental </w:t>
      </w:r>
      <w:r w:rsidR="001E49C9">
        <w:br/>
      </w:r>
      <w:r w:rsidR="009C373F">
        <w:t xml:space="preserve">health care use </w:t>
      </w:r>
    </w:p>
    <w:p w14:paraId="3BDE3CBC" w14:textId="4FD6CA27" w:rsidR="009C373F" w:rsidRDefault="009C373F" w:rsidP="00B51663">
      <w:pPr>
        <w:rPr>
          <w:color w:val="auto"/>
          <w:lang w:val="en-AU" w:eastAsia="en-AU"/>
        </w:rPr>
      </w:pPr>
      <w:r>
        <w:rPr>
          <w:lang w:val="en-AU" w:eastAsia="en-AU"/>
        </w:rPr>
        <w:t>Mental health outcomes and access to care are influenced by both where people live and their socioeconomic circumstances. Monitoring service use across these factors helps identify disparities and inform more equitable service delivery.</w:t>
      </w:r>
    </w:p>
    <w:p w14:paraId="698944A8" w14:textId="526F4FB0" w:rsidR="009C373F" w:rsidRDefault="009C373F" w:rsidP="00B51663">
      <w:pPr>
        <w:rPr>
          <w:color w:val="auto"/>
          <w:lang w:val="en-AU" w:eastAsia="en-AU"/>
        </w:rPr>
      </w:pPr>
      <w:r>
        <w:rPr>
          <w:lang w:val="en-AU" w:eastAsia="en-AU"/>
        </w:rPr>
        <w:t>Remoteness affects access through factors such as service availability, distance to care, workforce shortages and local service capacity.</w:t>
      </w:r>
      <w:r>
        <w:rPr>
          <w:vertAlign w:val="superscript"/>
          <w:lang w:val="en-AU" w:eastAsia="en-AU"/>
        </w:rPr>
        <w:endnoteReference w:id="139"/>
      </w:r>
      <w:r>
        <w:rPr>
          <w:lang w:val="en-AU" w:eastAsia="en-AU"/>
        </w:rPr>
        <w:t xml:space="preserve"> In regional and remote communities, GPs are often the first, and sometimes only, provider of mental health care due to limited availability of specialised services.</w:t>
      </w:r>
      <w:r>
        <w:rPr>
          <w:rStyle w:val="EndnoteReference"/>
          <w:rFonts w:ascii="Aptos" w:eastAsia="Times New Roman" w:hAnsi="Aptos" w:cs="Arial"/>
          <w:sz w:val="22"/>
          <w:lang w:val="en-AU" w:eastAsia="en-AU"/>
        </w:rPr>
        <w:endnoteReference w:id="140"/>
      </w:r>
      <w:r>
        <w:rPr>
          <w:lang w:val="en-AU" w:eastAsia="en-AU"/>
        </w:rPr>
        <w:t xml:space="preserve"> Conversely, living closer to community mental health care clinics was a factor associated with higher access to those face-to-face services.</w:t>
      </w:r>
      <w:r>
        <w:rPr>
          <w:vertAlign w:val="superscript"/>
          <w:lang w:val="en-AU" w:eastAsia="en-AU"/>
        </w:rPr>
        <w:endnoteReference w:id="141"/>
      </w:r>
      <w:r>
        <w:rPr>
          <w:lang w:val="en-AU" w:eastAsia="en-AU"/>
        </w:rPr>
        <w:t xml:space="preserve"> Compared with people living in Major cities, those in Remote and Very remote areas are less likely to use Medicare-subsidised mental health services, but more likely to use specialised public mental health services and present to emergency departments for mental health-related care.</w:t>
      </w:r>
    </w:p>
    <w:p w14:paraId="1246505A" w14:textId="18F18F19" w:rsidR="009C373F" w:rsidRDefault="009C373F" w:rsidP="00B51663">
      <w:pPr>
        <w:rPr>
          <w:color w:val="auto"/>
          <w:lang w:val="en-AU" w:eastAsia="en-AU"/>
        </w:rPr>
      </w:pPr>
      <w:r>
        <w:rPr>
          <w:lang w:val="en-AU" w:eastAsia="en-AU"/>
        </w:rPr>
        <w:t>Socioeconomic status influences access to the resources, opportunities and support networks that support mental health and wellbeing. People living in areas of greater disadvantage are more likely to delay seeking care due to cost and use Medicare-subsidised mental health services at lower rates. Findings from the Better Access evaluation also indicate</w:t>
      </w:r>
      <w:r w:rsidR="001B2091">
        <w:rPr>
          <w:lang w:val="en-AU" w:eastAsia="en-AU"/>
        </w:rPr>
        <w:t>d</w:t>
      </w:r>
      <w:r>
        <w:rPr>
          <w:lang w:val="en-AU" w:eastAsia="en-AU"/>
        </w:rPr>
        <w:t xml:space="preserve"> affordability as a barrier impacting use of subsidised mental health services, with people </w:t>
      </w:r>
      <w:r>
        <w:rPr>
          <w:lang w:eastAsia="en-AU"/>
        </w:rPr>
        <w:t xml:space="preserve">on low incomes less likely to receive treatment following their mental health </w:t>
      </w:r>
      <w:proofErr w:type="gramStart"/>
      <w:r>
        <w:rPr>
          <w:lang w:eastAsia="en-AU"/>
        </w:rPr>
        <w:t>plan</w:t>
      </w:r>
      <w:r w:rsidR="001B2091">
        <w:rPr>
          <w:lang w:eastAsia="en-AU"/>
        </w:rPr>
        <w:t>, and</w:t>
      </w:r>
      <w:proofErr w:type="gramEnd"/>
      <w:r>
        <w:rPr>
          <w:lang w:val="en-AU" w:eastAsia="en-AU"/>
        </w:rPr>
        <w:t xml:space="preserve"> </w:t>
      </w:r>
      <w:r>
        <w:rPr>
          <w:lang w:eastAsia="en-AU"/>
        </w:rPr>
        <w:t>waited longer for their first treatment session</w:t>
      </w:r>
      <w:r>
        <w:rPr>
          <w:lang w:val="en-AU" w:eastAsia="en-AU"/>
        </w:rPr>
        <w:t>.</w:t>
      </w:r>
      <w:r>
        <w:rPr>
          <w:rStyle w:val="EndnoteReference"/>
          <w:rFonts w:ascii="Aptos" w:eastAsia="Times New Roman" w:hAnsi="Aptos" w:cs="Arial"/>
          <w:sz w:val="22"/>
          <w:lang w:eastAsia="en-AU"/>
        </w:rPr>
        <w:endnoteReference w:id="142"/>
      </w:r>
      <w:r>
        <w:rPr>
          <w:lang w:val="en-AU" w:eastAsia="en-AU"/>
        </w:rPr>
        <w:t xml:space="preserve"> </w:t>
      </w:r>
    </w:p>
    <w:p w14:paraId="2E854844" w14:textId="7F1716FA" w:rsidR="009C373F" w:rsidRPr="006E3E45" w:rsidRDefault="00BE7D2D" w:rsidP="00B51663">
      <w:pPr>
        <w:rPr>
          <w:color w:val="auto"/>
          <w:lang w:val="en-AU" w:eastAsia="en-AU"/>
        </w:rPr>
      </w:pPr>
      <w:r>
        <w:rPr>
          <w:lang w:val="en-AU" w:eastAsia="en-AU"/>
        </w:rPr>
        <w:t>T</w:t>
      </w:r>
      <w:r w:rsidR="009C373F">
        <w:rPr>
          <w:lang w:val="en-AU" w:eastAsia="en-AU"/>
        </w:rPr>
        <w:t xml:space="preserve">hese </w:t>
      </w:r>
      <w:r w:rsidR="009C373F" w:rsidRPr="006E3E45">
        <w:rPr>
          <w:lang w:val="en-AU" w:eastAsia="en-AU"/>
        </w:rPr>
        <w:t>findings suggest that geographic barriers, service availability and affordability can limit access to timely mental health care</w:t>
      </w:r>
      <w:r w:rsidR="00FD39E9">
        <w:rPr>
          <w:lang w:val="en-AU" w:eastAsia="en-AU"/>
        </w:rPr>
        <w:t xml:space="preserve">. While data clearly indicates that people living in areas of most socio-economic disadvantage were more likely to indicate cost as a reason for not seeing a mental health professional than people </w:t>
      </w:r>
      <w:r w:rsidR="00046C65">
        <w:rPr>
          <w:lang w:val="en-AU" w:eastAsia="en-AU"/>
        </w:rPr>
        <w:t>living in areas of least disadvantage, disparities across other service types are more nuanced and varied. Remoteness and socio-economic status do not fully reflect</w:t>
      </w:r>
      <w:r w:rsidR="005A0EBE">
        <w:rPr>
          <w:lang w:val="en-AU" w:eastAsia="en-AU"/>
        </w:rPr>
        <w:t xml:space="preserve"> individual experiences or levels of need</w:t>
      </w:r>
      <w:r w:rsidR="001B2091">
        <w:rPr>
          <w:lang w:val="en-AU" w:eastAsia="en-AU"/>
        </w:rPr>
        <w:t>.</w:t>
      </w:r>
      <w:r w:rsidR="009C373F" w:rsidRPr="006E3E45">
        <w:rPr>
          <w:lang w:val="en-AU" w:eastAsia="en-AU"/>
        </w:rPr>
        <w:t xml:space="preserve"> Many regional and remote communities also benefit from strengths such as strong community connections and local support networks.</w:t>
      </w:r>
      <w:r w:rsidR="009C373F" w:rsidRPr="006E3E45">
        <w:rPr>
          <w:vertAlign w:val="superscript"/>
          <w:lang w:val="en-AU" w:eastAsia="en-AU"/>
        </w:rPr>
        <w:t xml:space="preserve"> </w:t>
      </w:r>
      <w:r w:rsidR="009C373F" w:rsidRPr="006E3E45">
        <w:rPr>
          <w:vertAlign w:val="superscript"/>
          <w:lang w:val="en-AU" w:eastAsia="en-AU"/>
        </w:rPr>
        <w:endnoteReference w:id="143"/>
      </w:r>
      <w:r w:rsidR="009C373F" w:rsidRPr="006E3E45">
        <w:rPr>
          <w:lang w:val="en-AU" w:eastAsia="en-AU"/>
        </w:rPr>
        <w:t>  The data therefore provide a broad overview of patterns in service use and access rather than a complete picture of lived experience.</w:t>
      </w:r>
    </w:p>
    <w:p w14:paraId="7F5D179C" w14:textId="77870D1C" w:rsidR="009C373F" w:rsidRPr="006E3E45" w:rsidRDefault="009C373F" w:rsidP="00B51663">
      <w:pPr>
        <w:pStyle w:val="Heading3"/>
        <w:rPr>
          <w:rFonts w:cs="Segoe UI"/>
          <w:lang w:val="en-AU" w:eastAsia="en-AU"/>
        </w:rPr>
      </w:pPr>
      <w:r w:rsidRPr="006E3E45">
        <w:rPr>
          <w:lang w:val="en-AU" w:eastAsia="en-AU"/>
        </w:rPr>
        <w:t>Cost-related delays to seeing a mental health professional</w:t>
      </w:r>
    </w:p>
    <w:p w14:paraId="315FB25C" w14:textId="1D5BB909" w:rsidR="009C373F" w:rsidRPr="00B51663" w:rsidRDefault="00D054E6" w:rsidP="00B51663">
      <w:pPr>
        <w:pStyle w:val="ListBullet"/>
      </w:pPr>
      <w:r w:rsidRPr="00B51663">
        <w:rPr>
          <w:noProof/>
        </w:rPr>
        <mc:AlternateContent>
          <mc:Choice Requires="wps">
            <w:drawing>
              <wp:anchor distT="0" distB="0" distL="114300" distR="114300" simplePos="0" relativeHeight="251658295" behindDoc="1" locked="0" layoutInCell="1" allowOverlap="1" wp14:anchorId="756C6B58" wp14:editId="5BC225EB">
                <wp:simplePos x="0" y="0"/>
                <wp:positionH relativeFrom="page">
                  <wp:posOffset>182</wp:posOffset>
                </wp:positionH>
                <wp:positionV relativeFrom="page">
                  <wp:posOffset>9525</wp:posOffset>
                </wp:positionV>
                <wp:extent cx="7560000" cy="153909"/>
                <wp:effectExtent l="0" t="0" r="0" b="0"/>
                <wp:wrapNone/>
                <wp:docPr id="2088469351" name="Rectangle 20884693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843FED1" id="Rectangle 2088469351" o:spid="_x0000_s1026" alt="&quot;&quot;" style="position:absolute;margin-left:0;margin-top:.75pt;width:595.3pt;height:12.1pt;z-index:-2516581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" fillcolor="#008142 [3208]" stroked="f" strokeweight="1pt">
                <w10:wrap anchorx="page" anchory="page"/>
              </v:rect>
            </w:pict>
          </mc:Fallback>
        </mc:AlternateContent>
      </w:r>
      <w:r w:rsidR="009C373F" w:rsidRPr="00B51663">
        <w:t>In 2024-25, more than 1 in 5 people living in Major cities </w:t>
      </w:r>
      <w:r w:rsidR="00F04EF2">
        <w:t xml:space="preserve">(21%) </w:t>
      </w:r>
      <w:r w:rsidR="009C373F" w:rsidRPr="00B51663">
        <w:t>indicated cost as a reason for not seeing a mental health professional, compared with 13% of people living in Outer regional and Remote areas. </w:t>
      </w:r>
    </w:p>
    <w:p w14:paraId="1EE4E7A3" w14:textId="0A066BAC" w:rsidR="009C373F" w:rsidRPr="00B51663" w:rsidRDefault="009C373F" w:rsidP="00B51663">
      <w:pPr>
        <w:pStyle w:val="ListBullet"/>
      </w:pPr>
      <w:r w:rsidRPr="00B51663">
        <w:t>In 2024-2025, almost 1 in 4 people (23%) living in the most disadvantaged SEIFA quintile indicated cost as a reason for not seeing a mental health professional, compared with 16% of people living in the least disadvantaged quintile.</w:t>
      </w:r>
    </w:p>
    <w:p w14:paraId="4E971D39" w14:textId="77777777" w:rsidR="009C373F" w:rsidRPr="00B51663" w:rsidRDefault="009C373F" w:rsidP="00B51663">
      <w:pPr>
        <w:pStyle w:val="Heading3"/>
      </w:pPr>
      <w:r w:rsidRPr="00B51663">
        <w:t>Mental health-related emergency department presentations </w:t>
      </w:r>
    </w:p>
    <w:p w14:paraId="1648F8B7" w14:textId="0CCCEA61" w:rsidR="009C373F" w:rsidRPr="00B51663" w:rsidRDefault="009C373F" w:rsidP="00B51663">
      <w:pPr>
        <w:pStyle w:val="ListBullet"/>
      </w:pPr>
      <w:r w:rsidRPr="00B51663">
        <w:t>In 2024-25, people living in Remote/Very remote areas had the highest rate of mental health-related emergency department presentations (253 per 10,000</w:t>
      </w:r>
      <w:r w:rsidR="00BF0FE4">
        <w:t xml:space="preserve"> </w:t>
      </w:r>
      <w:r w:rsidR="00BB7351">
        <w:t>people</w:t>
      </w:r>
      <w:r w:rsidRPr="00B51663">
        <w:t xml:space="preserve">). </w:t>
      </w:r>
    </w:p>
    <w:p w14:paraId="087A3244" w14:textId="2C48308E" w:rsidR="009C373F" w:rsidRPr="00B51663" w:rsidRDefault="009C373F" w:rsidP="00B51663">
      <w:pPr>
        <w:pStyle w:val="ListBullet"/>
      </w:pPr>
      <w:r w:rsidRPr="00B51663">
        <w:t>In contrast, people living in Major cities had the lowest rate (98 per 10,000 p</w:t>
      </w:r>
      <w:r w:rsidR="00BB7351">
        <w:t>eople</w:t>
      </w:r>
      <w:r w:rsidRPr="00B51663">
        <w:t>). </w:t>
      </w:r>
    </w:p>
    <w:p w14:paraId="04FDED8D" w14:textId="7A1336D9" w:rsidR="004A6E39" w:rsidRDefault="009C373F" w:rsidP="00B51663">
      <w:pPr>
        <w:pStyle w:val="ListBullet"/>
      </w:pPr>
      <w:r w:rsidRPr="00B51663">
        <w:t>In 2024-25, people living in the most disadvantaged SEIFA quintile had the highest rates of mental health-related Emergency Department presentations (155 per 10,000 p</w:t>
      </w:r>
      <w:r w:rsidR="00BB7351">
        <w:t>eople</w:t>
      </w:r>
      <w:r w:rsidRPr="00B51663">
        <w:t>), while people living in the least disadvantaged quintile had the lowest (72 per 10,000 p</w:t>
      </w:r>
      <w:r w:rsidR="00BB7351">
        <w:t>eople</w:t>
      </w:r>
      <w:r w:rsidRPr="00B51663">
        <w:t>).</w:t>
      </w:r>
    </w:p>
    <w:p w14:paraId="00C9F254" w14:textId="77777777" w:rsidR="00B90A79" w:rsidRDefault="00B90A79" w:rsidP="00F61BCF">
      <w:pPr>
        <w:pStyle w:val="ListBullet"/>
        <w:numPr>
          <w:ilvl w:val="0"/>
          <w:numId w:val="0"/>
        </w:numPr>
        <w:ind w:left="170" w:hanging="170"/>
      </w:pPr>
    </w:p>
    <w:p w14:paraId="777D13F0" w14:textId="66DFCE37" w:rsidR="00B90A79" w:rsidRDefault="00B90A79" w:rsidP="004E5D44">
      <w:pPr>
        <w:pStyle w:val="ListBullet"/>
        <w:numPr>
          <w:ilvl w:val="0"/>
          <w:numId w:val="0"/>
        </w:numPr>
        <w:ind w:left="170" w:hanging="170"/>
      </w:pPr>
      <w:r>
        <w:rPr>
          <w:noProof/>
        </w:rPr>
        <w:drawing>
          <wp:inline distT="0" distB="0" distL="0" distR="0" wp14:anchorId="32F70E6A" wp14:editId="5096D148">
            <wp:extent cx="2894275" cy="820972"/>
            <wp:effectExtent l="0" t="0" r="0" b="0"/>
            <wp:docPr id="84962409" name="Picture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2409" name="Picture 204">
                      <a:extLst>
                        <a:ext uri="{C183D7F6-B498-43B3-948B-1728B52AA6E4}">
                          <adec:decorative xmlns:adec="http://schemas.microsoft.com/office/drawing/2017/decorative" val="1"/>
                        </a:ext>
                      </a:extLst>
                    </pic:cNvPr>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023435" cy="857609"/>
                    </a:xfrm>
                    <a:prstGeom prst="rect">
                      <a:avLst/>
                    </a:prstGeom>
                  </pic:spPr>
                </pic:pic>
              </a:graphicData>
            </a:graphic>
          </wp:inline>
        </w:drawing>
      </w:r>
    </w:p>
    <w:p w14:paraId="6900CD46" w14:textId="77777777" w:rsidR="004A6E39" w:rsidRDefault="004A6E39">
      <w:pPr>
        <w:suppressAutoHyphens w:val="0"/>
        <w:autoSpaceDE/>
        <w:autoSpaceDN/>
        <w:adjustRightInd/>
        <w:spacing w:after="0" w:line="240" w:lineRule="auto"/>
        <w:textAlignment w:val="auto"/>
        <w:rPr>
          <w:rFonts w:eastAsia="Times New Roman" w:cs="Segoe UI"/>
          <w:szCs w:val="18"/>
          <w:lang w:val="en-AU" w:eastAsia="en-AU"/>
        </w:rPr>
      </w:pPr>
      <w:r>
        <w:br w:type="page"/>
      </w:r>
    </w:p>
    <w:p w14:paraId="1C8EEBFA" w14:textId="4E2C225C" w:rsidR="009C373F" w:rsidRPr="00B51663" w:rsidRDefault="00F61BCF" w:rsidP="0047456A">
      <w:pPr>
        <w:pStyle w:val="Heading3"/>
      </w:pPr>
      <w:r w:rsidRPr="007A1964">
        <w:rPr>
          <w:rStyle w:val="FollowedHyperlink"/>
          <w:b w:val="0"/>
          <w:noProof/>
        </w:rPr>
        <w:lastRenderedPageBreak/>
        <mc:AlternateContent>
          <mc:Choice Requires="wps">
            <w:drawing>
              <wp:anchor distT="0" distB="0" distL="114300" distR="114300" simplePos="0" relativeHeight="251722894" behindDoc="1" locked="0" layoutInCell="1" allowOverlap="1" wp14:anchorId="79F643A3" wp14:editId="35BAC6AE">
                <wp:simplePos x="0" y="0"/>
                <wp:positionH relativeFrom="page">
                  <wp:posOffset>744842</wp:posOffset>
                </wp:positionH>
                <wp:positionV relativeFrom="margin">
                  <wp:posOffset>-95436</wp:posOffset>
                </wp:positionV>
                <wp:extent cx="6147435" cy="9131889"/>
                <wp:effectExtent l="0" t="0" r="12065" b="12700"/>
                <wp:wrapNone/>
                <wp:docPr id="1386394208" name="Rectangle 13863942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9131889"/>
                        </a:xfrm>
                        <a:prstGeom prst="rect">
                          <a:avLst/>
                        </a:prstGeom>
                        <a:solidFill>
                          <a:srgbClr val="F9F9E5">
                            <a:alpha val="50196"/>
                          </a:srgbClr>
                        </a:solidFill>
                        <a:ln w="1270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C171F31" id="Rectangle 1386394208" o:spid="_x0000_s1026" alt="&quot;&quot;" style="position:absolute;margin-left:58.65pt;margin-top:-7.5pt;width:484.05pt;height:719.05pt;z-index:-25159358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" fillcolor="#f9f9e5" strokecolor="#008142 [3208]" strokeweight="1pt">
                <v:fill opacity="32896f"/>
                <w10:wrap anchorx="page" anchory="margin"/>
              </v:rect>
            </w:pict>
          </mc:Fallback>
        </mc:AlternateContent>
      </w:r>
      <w:r w:rsidR="009C373F" w:rsidRPr="00B51663">
        <w:t>Community mental health service use </w:t>
      </w:r>
    </w:p>
    <w:p w14:paraId="31FFA0AD" w14:textId="072520F4" w:rsidR="009C373F" w:rsidRPr="00B51663" w:rsidRDefault="009C373F" w:rsidP="00B51663">
      <w:pPr>
        <w:pStyle w:val="ListBullet"/>
      </w:pPr>
      <w:r w:rsidRPr="00B51663">
        <w:t>In 2023-24, people living in Remote areas had the highest rate of community mental health care contacts (419 per 1,000 p</w:t>
      </w:r>
      <w:r w:rsidR="009043ED">
        <w:t>eople</w:t>
      </w:r>
      <w:r w:rsidRPr="00B51663">
        <w:t>), while people living in Major cities had the lowest rate (333 per 1,000 p</w:t>
      </w:r>
      <w:r w:rsidR="009043ED">
        <w:t>eople</w:t>
      </w:r>
      <w:r w:rsidRPr="00B51663">
        <w:t>). </w:t>
      </w:r>
    </w:p>
    <w:p w14:paraId="11598370" w14:textId="3451BFD6" w:rsidR="009C373F" w:rsidRPr="00B51663" w:rsidRDefault="009C373F" w:rsidP="00B51663">
      <w:pPr>
        <w:pStyle w:val="ListBullet"/>
      </w:pPr>
      <w:r w:rsidRPr="00B51663">
        <w:t>In 2023-24, people living in the most disadvantaged SEIFA quintile had the highest rate of community mental health care contacts (462 per 1,000 p</w:t>
      </w:r>
      <w:r w:rsidR="009043ED">
        <w:t>eople</w:t>
      </w:r>
      <w:r w:rsidRPr="00B51663">
        <w:t>), while people living in the least disadvantaged quintile had the lowest (267 per 1,000 p</w:t>
      </w:r>
      <w:r w:rsidR="009043ED">
        <w:t>eople</w:t>
      </w:r>
      <w:r w:rsidRPr="00B51663">
        <w:t>).</w:t>
      </w:r>
    </w:p>
    <w:p w14:paraId="32140959" w14:textId="5C1692FD" w:rsidR="009C373F" w:rsidRPr="00B51663" w:rsidRDefault="009C373F" w:rsidP="00B51663">
      <w:pPr>
        <w:pStyle w:val="Heading3"/>
      </w:pPr>
      <w:r w:rsidRPr="00B51663">
        <w:t>Residential mental health service use  </w:t>
      </w:r>
    </w:p>
    <w:p w14:paraId="45B774DF" w14:textId="2D891379" w:rsidR="009C373F" w:rsidRPr="00634996" w:rsidRDefault="009C373F" w:rsidP="00634996">
      <w:pPr>
        <w:pStyle w:val="ListBullet"/>
      </w:pPr>
      <w:r w:rsidRPr="00634996">
        <w:t>In 2023-24, people living in Inner regional areas had the highest rate of residential mental health care episodes (5 per 10,000 p</w:t>
      </w:r>
      <w:r w:rsidR="009043ED">
        <w:t>eople</w:t>
      </w:r>
      <w:r w:rsidRPr="00634996">
        <w:t>), while people living in Major cities had the lowest (3 per 10,000 p</w:t>
      </w:r>
      <w:r w:rsidR="009043ED">
        <w:t>eople</w:t>
      </w:r>
      <w:r w:rsidRPr="00634996">
        <w:t>). </w:t>
      </w:r>
    </w:p>
    <w:p w14:paraId="131B60DC" w14:textId="7DC73B0B" w:rsidR="009C373F" w:rsidRPr="00634996" w:rsidRDefault="009C373F" w:rsidP="00634996">
      <w:pPr>
        <w:pStyle w:val="ListBullet"/>
      </w:pPr>
      <w:r w:rsidRPr="00634996">
        <w:t>In 2023-24, people living in the most disadvantaged SEIFA quintile had the highest rate of residential mental health care episodes (5 per 10,000 p</w:t>
      </w:r>
      <w:r w:rsidR="009043ED">
        <w:t>eople</w:t>
      </w:r>
      <w:r w:rsidRPr="00634996">
        <w:t>), while people living in the least disadvantaged quintile had the lowest (2 per 10,000 p</w:t>
      </w:r>
      <w:r w:rsidR="009043ED">
        <w:t>eople</w:t>
      </w:r>
      <w:r w:rsidRPr="00634996">
        <w:t>). </w:t>
      </w:r>
    </w:p>
    <w:p w14:paraId="1C5FA4A7" w14:textId="4DFB3086" w:rsidR="009C373F" w:rsidRPr="00B51663" w:rsidRDefault="009C373F" w:rsidP="00B51663">
      <w:pPr>
        <w:pStyle w:val="Heading3"/>
      </w:pPr>
      <w:r w:rsidRPr="00B51663">
        <w:t>Medicare service use </w:t>
      </w:r>
    </w:p>
    <w:p w14:paraId="1C3C4E25" w14:textId="5B6FBBDD" w:rsidR="009C373F" w:rsidRPr="00B51663" w:rsidRDefault="009C373F" w:rsidP="00B51663">
      <w:pPr>
        <w:pStyle w:val="ListBullet"/>
      </w:pPr>
      <w:r w:rsidRPr="00B51663">
        <w:t>In 2024-25, people living in Major cities had the highest rate of Medicare mental health-related service use (507 per 1,000 p</w:t>
      </w:r>
      <w:r w:rsidR="009043ED">
        <w:t>eople</w:t>
      </w:r>
      <w:r w:rsidRPr="00B51663">
        <w:t>), while the lowest rate was seen for people living in Remote/Very remote areas (156 per 1,000 p</w:t>
      </w:r>
      <w:r w:rsidR="009043ED">
        <w:t>eople</w:t>
      </w:r>
      <w:r w:rsidRPr="00B51663">
        <w:t>).</w:t>
      </w:r>
    </w:p>
    <w:p w14:paraId="0C5D96C5" w14:textId="67254567" w:rsidR="004E5D44" w:rsidRDefault="009C373F" w:rsidP="00B51663">
      <w:pPr>
        <w:pStyle w:val="ListBullet"/>
      </w:pPr>
      <w:r w:rsidRPr="00B51663">
        <w:t>In 2024-25, people living in the least disadvantaged SEIFA quintile had the highest rate of Medicare mental health-related service use (710 per 1,000 p</w:t>
      </w:r>
      <w:r w:rsidR="009043ED">
        <w:t>eople</w:t>
      </w:r>
      <w:r w:rsidRPr="00B51663">
        <w:t xml:space="preserve">), while people living in the most disadvantaged </w:t>
      </w:r>
      <w:r w:rsidR="00AF3241">
        <w:t xml:space="preserve">SEIFA quintile </w:t>
      </w:r>
      <w:r w:rsidRPr="00B51663">
        <w:t>had the lowest rate (300 per 1,000 p</w:t>
      </w:r>
      <w:r w:rsidR="009043ED">
        <w:t>eople</w:t>
      </w:r>
      <w:r w:rsidRPr="00B51663">
        <w:t>).</w:t>
      </w:r>
      <w:r w:rsidR="004E5D44">
        <w:br/>
      </w:r>
      <w:r w:rsidRPr="00B51663">
        <w:t xml:space="preserve"> </w:t>
      </w:r>
    </w:p>
    <w:p w14:paraId="0D7A38EE" w14:textId="74BDB68B" w:rsidR="009C373F" w:rsidRDefault="004E5D44" w:rsidP="004E5D44">
      <w:pPr>
        <w:pStyle w:val="ListBullet"/>
        <w:numPr>
          <w:ilvl w:val="0"/>
          <w:numId w:val="0"/>
        </w:numPr>
      </w:pPr>
      <w:r>
        <w:rPr>
          <w:noProof/>
        </w:rPr>
        <w:drawing>
          <wp:inline distT="0" distB="0" distL="0" distR="0" wp14:anchorId="2D10FACB" wp14:editId="791F7754">
            <wp:extent cx="3100482" cy="879464"/>
            <wp:effectExtent l="0" t="0" r="0" b="0"/>
            <wp:docPr id="2092042317" name="Pictur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42317" name="Picture 200">
                      <a:extLst>
                        <a:ext uri="{C183D7F6-B498-43B3-948B-1728B52AA6E4}">
                          <adec:decorative xmlns:adec="http://schemas.microsoft.com/office/drawing/2017/decorative" val="1"/>
                        </a:ext>
                      </a:extLst>
                    </pic:cNvPr>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3191852" cy="905381"/>
                    </a:xfrm>
                    <a:prstGeom prst="rect">
                      <a:avLst/>
                    </a:prstGeom>
                  </pic:spPr>
                </pic:pic>
              </a:graphicData>
            </a:graphic>
          </wp:inline>
        </w:drawing>
      </w:r>
      <w:r w:rsidR="009C373F" w:rsidRPr="00B51663">
        <w:t xml:space="preserve"> </w:t>
      </w:r>
    </w:p>
    <w:p w14:paraId="24E6AA53" w14:textId="4A39CA4E" w:rsidR="009C373F" w:rsidRPr="00B51663" w:rsidRDefault="009C373F" w:rsidP="00B51663">
      <w:pPr>
        <w:pStyle w:val="Heading3"/>
      </w:pPr>
      <w:r w:rsidRPr="00B51663">
        <w:t>Geographic spread of the Mental Health workforce:</w:t>
      </w:r>
    </w:p>
    <w:p w14:paraId="4020FDE8" w14:textId="77777777" w:rsidR="009C373F" w:rsidRDefault="009C373F" w:rsidP="004E5D44">
      <w:pPr>
        <w:spacing w:after="0"/>
        <w:rPr>
          <w:rFonts w:cs="Segoe UI"/>
          <w:color w:val="auto"/>
          <w:lang w:val="en-AU" w:eastAsia="en-AU"/>
        </w:rPr>
      </w:pPr>
      <w:r>
        <w:rPr>
          <w:lang w:val="en-AU" w:eastAsia="en-AU"/>
        </w:rPr>
        <w:t>During 2024: </w:t>
      </w:r>
    </w:p>
    <w:p w14:paraId="4CB97942" w14:textId="73168CAB" w:rsidR="009C373F" w:rsidRPr="00B51663" w:rsidRDefault="009C373F" w:rsidP="00B51663">
      <w:pPr>
        <w:pStyle w:val="ListBullet"/>
      </w:pPr>
      <w:r w:rsidRPr="00B51663">
        <w:t xml:space="preserve">86% of psychiatrists, 83% of psychologists, 78% of mental health nurses, 81% of mental health occupational therapists and 70% of accredited mental health social workers lived in Major cities. </w:t>
      </w:r>
    </w:p>
    <w:p w14:paraId="026DB9DD" w14:textId="0147FEEA" w:rsidR="009C373F" w:rsidRPr="00B51663" w:rsidRDefault="00D054E6" w:rsidP="00B51663">
      <w:pPr>
        <w:pStyle w:val="ListBullet"/>
      </w:pPr>
      <w:r w:rsidRPr="00B51663">
        <w:rPr>
          <w:noProof/>
        </w:rPr>
        <mc:AlternateContent>
          <mc:Choice Requires="wps">
            <w:drawing>
              <wp:anchor distT="0" distB="0" distL="114300" distR="114300" simplePos="0" relativeHeight="251658296" behindDoc="1" locked="0" layoutInCell="1" allowOverlap="1" wp14:anchorId="131BBB8D" wp14:editId="6E81237B">
                <wp:simplePos x="0" y="0"/>
                <wp:positionH relativeFrom="page">
                  <wp:posOffset>0</wp:posOffset>
                </wp:positionH>
                <wp:positionV relativeFrom="page">
                  <wp:posOffset>10141</wp:posOffset>
                </wp:positionV>
                <wp:extent cx="7560000" cy="153909"/>
                <wp:effectExtent l="0" t="0" r="0" b="0"/>
                <wp:wrapNone/>
                <wp:docPr id="732845219" name="Rectangle 732845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2396E46" id="Rectangle 732845219" o:spid="_x0000_s1026" alt="&quot;&quot;" style="position:absolute;margin-left:0;margin-top:.8pt;width:595.3pt;height:12.1pt;z-index:-251658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" fillcolor="#008142 [3208]" stroked="f" strokeweight="1pt">
                <w10:wrap anchorx="page" anchory="page"/>
              </v:rect>
            </w:pict>
          </mc:Fallback>
        </mc:AlternateContent>
      </w:r>
      <w:r w:rsidR="009C373F" w:rsidRPr="00B51663">
        <w:t>The full-time equivalent (FTE) rate for psychiatrists was highest for Major cities (18 per 100,000 p</w:t>
      </w:r>
      <w:r w:rsidR="00781765">
        <w:t>eople</w:t>
      </w:r>
      <w:r w:rsidR="009C373F" w:rsidRPr="00B51663">
        <w:t>) and lowest for Very remote areas (2 per 100,000 p</w:t>
      </w:r>
      <w:r w:rsidR="00781765">
        <w:t>eople</w:t>
      </w:r>
      <w:r w:rsidR="009C373F" w:rsidRPr="00B51663">
        <w:t>).</w:t>
      </w:r>
    </w:p>
    <w:p w14:paraId="46800171" w14:textId="3C5BEBB2" w:rsidR="009C373F" w:rsidRPr="00B51663" w:rsidRDefault="009C373F" w:rsidP="00B51663">
      <w:pPr>
        <w:pStyle w:val="ListBullet"/>
      </w:pPr>
      <w:r w:rsidRPr="00B51663">
        <w:t>The FTE rate for psychologists was highest for Major cities (130 per 100,000 p</w:t>
      </w:r>
      <w:r w:rsidR="00781765">
        <w:t>eople</w:t>
      </w:r>
      <w:r w:rsidRPr="00B51663">
        <w:t>) and lowest for Very remote areas (28 per 100,000 p</w:t>
      </w:r>
      <w:r w:rsidR="00781765">
        <w:t>eople</w:t>
      </w:r>
      <w:r w:rsidRPr="00B51663">
        <w:t>). </w:t>
      </w:r>
    </w:p>
    <w:p w14:paraId="37C421B2" w14:textId="6AA5E792" w:rsidR="009C373F" w:rsidRPr="00B51663" w:rsidRDefault="009C373F" w:rsidP="00B51663">
      <w:pPr>
        <w:pStyle w:val="ListBullet"/>
      </w:pPr>
      <w:r w:rsidRPr="00B51663">
        <w:t>The FTE rate for mental health nurses was highest for Major cities (107 per 100,000 p</w:t>
      </w:r>
      <w:r w:rsidR="00781765">
        <w:t>eople</w:t>
      </w:r>
      <w:r w:rsidRPr="00B51663">
        <w:t>) and lowest for Very remote areas (40 per 100,000 p</w:t>
      </w:r>
      <w:r w:rsidR="00781765">
        <w:t>eople</w:t>
      </w:r>
      <w:r w:rsidRPr="00B51663">
        <w:t>).</w:t>
      </w:r>
    </w:p>
    <w:p w14:paraId="7A4D8BBE" w14:textId="0D39AD65" w:rsidR="009C373F" w:rsidRPr="00B51663" w:rsidRDefault="009C373F" w:rsidP="00B51663">
      <w:pPr>
        <w:pStyle w:val="ListBullet"/>
      </w:pPr>
      <w:r w:rsidRPr="00B51663">
        <w:t>The FTE rate for mental health occupational therapists was highest for Major cities (12 per 100,000 p</w:t>
      </w:r>
      <w:r w:rsidR="00781765">
        <w:t>eople</w:t>
      </w:r>
      <w:r w:rsidRPr="00B51663">
        <w:t>) and lowest for Very remote areas (2 per 100,000 p</w:t>
      </w:r>
      <w:r w:rsidR="00781765">
        <w:t>eople</w:t>
      </w:r>
      <w:r w:rsidRPr="00B51663">
        <w:t>)</w:t>
      </w:r>
      <w:r w:rsidR="00471A25">
        <w:t>.</w:t>
      </w:r>
    </w:p>
    <w:p w14:paraId="1B478A22" w14:textId="51D5C059" w:rsidR="009C373F" w:rsidRPr="00B51663" w:rsidRDefault="009C373F" w:rsidP="00B51663">
      <w:pPr>
        <w:pStyle w:val="ListBullet"/>
      </w:pPr>
      <w:r w:rsidRPr="00B51663">
        <w:t xml:space="preserve">The number of </w:t>
      </w:r>
      <w:r w:rsidR="00F04EF2">
        <w:t>accredited</w:t>
      </w:r>
      <w:r w:rsidRPr="00B51663">
        <w:t> mental health social workers was highest for Major cities (12 per 100,000 p</w:t>
      </w:r>
      <w:r w:rsidR="00781765">
        <w:t>eople</w:t>
      </w:r>
      <w:r w:rsidRPr="00B51663">
        <w:t>) and lowest for Very remote areas (2 per 100,000 p</w:t>
      </w:r>
      <w:r w:rsidR="00781765">
        <w:t>eople</w:t>
      </w:r>
      <w:r w:rsidRPr="00B51663">
        <w:t>). </w:t>
      </w:r>
    </w:p>
    <w:p w14:paraId="228B0B6D" w14:textId="34D633AC" w:rsidR="009C373F" w:rsidRDefault="009C373F" w:rsidP="00B51663">
      <w:pPr>
        <w:pStyle w:val="Heading3"/>
        <w:rPr>
          <w:lang w:val="en-AU" w:eastAsia="en-AU"/>
        </w:rPr>
      </w:pPr>
      <w:r>
        <w:rPr>
          <w:lang w:val="en-AU" w:eastAsia="en-AU"/>
        </w:rPr>
        <w:t>Understanding this data</w:t>
      </w:r>
    </w:p>
    <w:p w14:paraId="0E830E51" w14:textId="669189E3" w:rsidR="009C373F" w:rsidRDefault="009C373F" w:rsidP="009C373F">
      <w:r w:rsidRPr="00FA73D0">
        <w:t>Data sources in this section classify remoteness areas according to the Australian Statistical Geography Standard (ASGS) Remoteness Area. Due to different data sources being used, some report Remote and Very remote areas grouped together, whilst others report on them separately. For more information on the ASGS Remoteness Area classification, please see</w:t>
      </w:r>
      <w:r w:rsidR="003D6A44">
        <w:t xml:space="preserve"> </w:t>
      </w:r>
      <w:hyperlink r:id="rId152" w:history="1">
        <w:r w:rsidR="003D6A44">
          <w:rPr>
            <w:rStyle w:val="Hyperlink"/>
          </w:rPr>
          <w:t>https://www.abs.gov.au/statistics/standards/australian-statistical-geography-standard-asgs/latest-release</w:t>
        </w:r>
      </w:hyperlink>
      <w:r w:rsidR="003D6A44">
        <w:t xml:space="preserve">. </w:t>
      </w:r>
      <w:r w:rsidRPr="00FA73D0">
        <w:t>The data above explores socioeconomic status considering Socio-Economic Indexes for Areas (SEIFA) which is a product developed by the ABS that ranks areas in Australia according to relative socio-economic advantage and disadvantage. SE</w:t>
      </w:r>
      <w:r w:rsidR="005428DC">
        <w:t>I</w:t>
      </w:r>
      <w:r w:rsidRPr="00FA73D0">
        <w:t>FA indexes are based on information from the five-yearly Census. For more information on SE</w:t>
      </w:r>
      <w:r w:rsidR="005428DC">
        <w:t>I</w:t>
      </w:r>
      <w:r w:rsidRPr="00FA73D0">
        <w:t xml:space="preserve">FA, please see </w:t>
      </w:r>
      <w:hyperlink r:id="rId153" w:history="1">
        <w:r w:rsidR="003D6A44">
          <w:rPr>
            <w:rStyle w:val="Hyperlink"/>
          </w:rPr>
          <w:t>https://www.abs.gov.au/statistics/people/people-and-communities/socio-economic-indexes-areas-seifa-australia/latest-release</w:t>
        </w:r>
      </w:hyperlink>
    </w:p>
    <w:p w14:paraId="2C1A3F96" w14:textId="6CFF8EC2" w:rsidR="009C373F" w:rsidRPr="001E6317" w:rsidRDefault="00D41DE4" w:rsidP="004E5D44">
      <w:pPr>
        <w:pStyle w:val="Heading2"/>
        <w:rPr>
          <w:b/>
          <w:sz w:val="22"/>
        </w:rPr>
      </w:pPr>
      <w:r w:rsidRPr="004E5D44">
        <w:rPr>
          <w:color w:val="5C626C"/>
          <w:lang w:val="en-AU"/>
        </w:rPr>
        <w:lastRenderedPageBreak/>
        <w:t>Theme</w:t>
      </w:r>
      <w:r>
        <w:rPr>
          <w:noProof/>
        </w:rPr>
        <w:t xml:space="preserve"> </w:t>
      </w:r>
      <w:r>
        <w:rPr>
          <w:noProof/>
        </w:rPr>
        <w:drawing>
          <wp:inline distT="0" distB="0" distL="0" distR="0" wp14:anchorId="5BC43435" wp14:editId="5DA69524">
            <wp:extent cx="234095" cy="331470"/>
            <wp:effectExtent l="0" t="0" r="0" b="0"/>
            <wp:docPr id="858681696"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81696" name="Graphic 189">
                      <a:extLst>
                        <a:ext uri="{C183D7F6-B498-43B3-948B-1728B52AA6E4}">
                          <adec:decorative xmlns:adec="http://schemas.microsoft.com/office/drawing/2017/decorative" val="1"/>
                        </a:ext>
                      </a:extLst>
                    </pic:cNvPr>
                    <pic:cNvPicPr/>
                  </pic:nvPicPr>
                  <pic:blipFill rotWithShape="1">
                    <a:blip r:embed="rId137">
                      <a:extLst>
                        <a:ext uri="{96DAC541-7B7A-43D3-8B79-37D633B846F1}">
                          <asvg:svgBlip xmlns:asvg="http://schemas.microsoft.com/office/drawing/2016/SVG/main" r:embed="rId138"/>
                        </a:ext>
                      </a:extLst>
                    </a:blip>
                    <a:srcRect l="25327" t="12625" r="24153" b="15841"/>
                    <a:stretch>
                      <a:fillRect/>
                    </a:stretch>
                  </pic:blipFill>
                  <pic:spPr bwMode="auto">
                    <a:xfrm>
                      <a:off x="0" y="0"/>
                      <a:ext cx="237395" cy="336143"/>
                    </a:xfrm>
                    <a:prstGeom prst="rect">
                      <a:avLst/>
                    </a:prstGeom>
                    <a:ln>
                      <a:noFill/>
                    </a:ln>
                    <a:extLst>
                      <a:ext uri="{53640926-AAD7-44D8-BBD7-CCE9431645EC}">
                        <a14:shadowObscured xmlns:a14="http://schemas.microsoft.com/office/drawing/2010/main"/>
                      </a:ext>
                    </a:extLst>
                  </pic:spPr>
                </pic:pic>
              </a:graphicData>
            </a:graphic>
          </wp:inline>
        </w:drawing>
      </w:r>
      <w:r>
        <w:rPr>
          <w:color w:val="C00000"/>
          <w:lang w:val="en-AU"/>
        </w:rPr>
        <w:t xml:space="preserve"> </w:t>
      </w:r>
      <w:r w:rsidR="009C373F" w:rsidRPr="004E5D44">
        <w:rPr>
          <w:color w:val="008142" w:themeColor="accent5"/>
        </w:rPr>
        <w:t>Accessibility – Indicators with identified data gaps</w:t>
      </w:r>
      <w:r w:rsidR="009C373F" w:rsidRPr="004E5D44">
        <w:rPr>
          <w:color w:val="008142" w:themeColor="accent5"/>
          <w:lang w:val="en-AU"/>
        </w:rPr>
        <w:t xml:space="preserve"> </w:t>
      </w:r>
    </w:p>
    <w:p w14:paraId="06062A39" w14:textId="6CEBE140" w:rsidR="009C373F" w:rsidRPr="00C6294D" w:rsidRDefault="009C373F" w:rsidP="00C6294D">
      <w:proofErr w:type="gramStart"/>
      <w:r w:rsidRPr="00C6294D">
        <w:t>A number of</w:t>
      </w:r>
      <w:proofErr w:type="gramEnd"/>
      <w:r w:rsidRPr="00C6294D">
        <w:t xml:space="preserve"> indicators in this theme do not have robust, reliable national data sets on which to assess performance over time. </w:t>
      </w:r>
    </w:p>
    <w:p w14:paraId="358E802F" w14:textId="700E2A67" w:rsidR="009C373F" w:rsidRDefault="000D0E51" w:rsidP="009C373F">
      <w:pPr>
        <w:suppressAutoHyphens w:val="0"/>
        <w:autoSpaceDE/>
        <w:autoSpaceDN/>
        <w:adjustRightInd/>
        <w:spacing w:after="0" w:line="259" w:lineRule="auto"/>
        <w:textAlignment w:val="auto"/>
        <w:rPr>
          <w:rFonts w:ascii="Aptos" w:hAnsi="Aptos"/>
          <w:sz w:val="22"/>
        </w:rPr>
      </w:pPr>
      <w:r w:rsidRPr="007A1964">
        <w:rPr>
          <w:rStyle w:val="FollowedHyperlink"/>
          <w:noProof/>
        </w:rPr>
        <mc:AlternateContent>
          <mc:Choice Requires="wps">
            <w:drawing>
              <wp:anchor distT="0" distB="0" distL="114300" distR="114300" simplePos="0" relativeHeight="251658317" behindDoc="1" locked="0" layoutInCell="1" allowOverlap="1" wp14:anchorId="033F4F4B" wp14:editId="7B9E621C">
                <wp:simplePos x="0" y="0"/>
                <wp:positionH relativeFrom="page">
                  <wp:posOffset>718820</wp:posOffset>
                </wp:positionH>
                <wp:positionV relativeFrom="page">
                  <wp:posOffset>1910522</wp:posOffset>
                </wp:positionV>
                <wp:extent cx="6147435" cy="3573031"/>
                <wp:effectExtent l="0" t="0" r="12065" b="8890"/>
                <wp:wrapNone/>
                <wp:docPr id="653306945" name="Rectangle 6533069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3573031"/>
                        </a:xfrm>
                        <a:prstGeom prst="rect">
                          <a:avLst/>
                        </a:prstGeom>
                        <a:solidFill>
                          <a:srgbClr val="F9F9E5">
                            <a:alpha val="50196"/>
                          </a:srgbClr>
                        </a:solidFill>
                        <a:ln w="1270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BFBA475" id="Rectangle 653306945" o:spid="_x0000_s1026" alt="&quot;&quot;" style="position:absolute;margin-left:56.6pt;margin-top:150.45pt;width:484.05pt;height:281.35pt;z-index:-25165816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" fillcolor="#f9f9e5" strokecolor="#008142 [3208]" strokeweight="1pt">
                <v:fill opacity="32896f"/>
                <w10:wrap anchorx="page" anchory="page"/>
              </v:rect>
            </w:pict>
          </mc:Fallback>
        </mc:AlternateContent>
      </w:r>
    </w:p>
    <w:p w14:paraId="36D85CBF" w14:textId="0D11C181" w:rsidR="009C373F" w:rsidRPr="006C106E" w:rsidRDefault="009C373F" w:rsidP="009F46B4">
      <w:pPr>
        <w:pStyle w:val="Heading2"/>
        <w:rPr>
          <w:lang w:val="en-AU"/>
        </w:rPr>
      </w:pPr>
      <w:r w:rsidRPr="006C106E">
        <w:rPr>
          <w:lang w:val="en-AU"/>
        </w:rPr>
        <w:t xml:space="preserve">Box 8 </w:t>
      </w:r>
      <w:r>
        <w:rPr>
          <w:lang w:val="en-AU"/>
        </w:rPr>
        <w:t xml:space="preserve">- </w:t>
      </w:r>
      <w:r w:rsidRPr="006C106E">
        <w:rPr>
          <w:lang w:val="en-AU"/>
        </w:rPr>
        <w:t>What do we mean by data gap?</w:t>
      </w:r>
      <w:r w:rsidR="00154F0E">
        <w:rPr>
          <w:lang w:val="en-AU"/>
        </w:rPr>
        <w:t xml:space="preserve"> </w:t>
      </w:r>
      <w:r w:rsidR="003146E3">
        <w:rPr>
          <w:noProof/>
        </w:rPr>
        <w:drawing>
          <wp:inline distT="0" distB="0" distL="0" distR="0" wp14:anchorId="44E6B75B" wp14:editId="7A702F68">
            <wp:extent cx="232117" cy="232117"/>
            <wp:effectExtent l="0" t="0" r="0" b="0"/>
            <wp:docPr id="1856308058" name="Graphic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08058" name="Graphic 182">
                      <a:extLst>
                        <a:ext uri="{C183D7F6-B498-43B3-948B-1728B52AA6E4}">
                          <adec:decorative xmlns:adec="http://schemas.microsoft.com/office/drawing/2017/decorative" val="1"/>
                        </a:ext>
                      </a:extLst>
                    </pic:cNvPr>
                    <pic:cNvPicPr/>
                  </pic:nvPicPr>
                  <pic:blipFill>
                    <a:blip r:embed="rId154">
                      <a:extLst>
                        <a:ext uri="{96DAC541-7B7A-43D3-8B79-37D633B846F1}">
                          <asvg:svgBlip xmlns:asvg="http://schemas.microsoft.com/office/drawing/2016/SVG/main" r:embed="rId155"/>
                        </a:ext>
                      </a:extLst>
                    </a:blip>
                    <a:stretch>
                      <a:fillRect/>
                    </a:stretch>
                  </pic:blipFill>
                  <pic:spPr>
                    <a:xfrm>
                      <a:off x="0" y="0"/>
                      <a:ext cx="247691" cy="247691"/>
                    </a:xfrm>
                    <a:prstGeom prst="rect">
                      <a:avLst/>
                    </a:prstGeom>
                  </pic:spPr>
                </pic:pic>
              </a:graphicData>
            </a:graphic>
          </wp:inline>
        </w:drawing>
      </w:r>
    </w:p>
    <w:p w14:paraId="256AE4C7" w14:textId="10410741" w:rsidR="009C373F" w:rsidRPr="007A2B6E" w:rsidRDefault="009C373F" w:rsidP="000D0E51">
      <w:pPr>
        <w:rPr>
          <w:lang w:val="en-AU"/>
        </w:rPr>
      </w:pPr>
      <w:r w:rsidRPr="007A2B6E">
        <w:rPr>
          <w:lang w:val="en-AU"/>
        </w:rPr>
        <w:t xml:space="preserve">The </w:t>
      </w:r>
      <w:r>
        <w:rPr>
          <w:lang w:val="en-AU"/>
        </w:rPr>
        <w:t>C</w:t>
      </w:r>
      <w:r w:rsidRPr="007A2B6E">
        <w:rPr>
          <w:lang w:val="en-AU"/>
        </w:rPr>
        <w:t>ommission</w:t>
      </w:r>
      <w:r>
        <w:rPr>
          <w:lang w:val="en-AU"/>
        </w:rPr>
        <w:t xml:space="preserve"> draws on</w:t>
      </w:r>
      <w:r w:rsidDel="004F2F33">
        <w:rPr>
          <w:lang w:val="en-AU"/>
        </w:rPr>
        <w:t xml:space="preserve"> </w:t>
      </w:r>
      <w:r w:rsidRPr="007A2B6E">
        <w:rPr>
          <w:lang w:val="en-AU"/>
        </w:rPr>
        <w:t xml:space="preserve">high quality, nationally </w:t>
      </w:r>
      <w:r>
        <w:rPr>
          <w:lang w:val="en-AU"/>
        </w:rPr>
        <w:t>available</w:t>
      </w:r>
      <w:r w:rsidRPr="007A2B6E">
        <w:rPr>
          <w:lang w:val="en-AU"/>
        </w:rPr>
        <w:t xml:space="preserve">, </w:t>
      </w:r>
      <w:r>
        <w:rPr>
          <w:lang w:val="en-AU"/>
        </w:rPr>
        <w:t>and reliable</w:t>
      </w:r>
      <w:r w:rsidRPr="007A2B6E">
        <w:rPr>
          <w:lang w:val="en-AU"/>
        </w:rPr>
        <w:t xml:space="preserve"> datasets to monitor system performance over time. </w:t>
      </w:r>
      <w:r>
        <w:rPr>
          <w:lang w:val="en-AU"/>
        </w:rPr>
        <w:t xml:space="preserve">In the context of the Commission’s monitoring and reporting work, data gaps are areas where there is not enough national data to understand and track how aspects of the mental health system are performing. Data gaps can also occur when data is collected too infrequently. For example, representative survey data undertaken at irregular intervals, such as national estimates of mental health prevalence, limits the ability to monitor changes and trends over time, as highlighted </w:t>
      </w:r>
      <w:r w:rsidDel="004F2F33">
        <w:rPr>
          <w:lang w:val="en-AU"/>
        </w:rPr>
        <w:t xml:space="preserve">in </w:t>
      </w:r>
      <w:r w:rsidR="00F04EF2">
        <w:rPr>
          <w:lang w:val="en-AU"/>
        </w:rPr>
        <w:t>D</w:t>
      </w:r>
      <w:r>
        <w:rPr>
          <w:lang w:val="en-AU"/>
        </w:rPr>
        <w:t xml:space="preserve">omain 1. </w:t>
      </w:r>
    </w:p>
    <w:p w14:paraId="275D2485" w14:textId="1F3D32F6" w:rsidR="009C373F" w:rsidRPr="007A2B6E" w:rsidRDefault="009C373F" w:rsidP="000D0E51">
      <w:pPr>
        <w:rPr>
          <w:lang w:val="en-AU"/>
        </w:rPr>
      </w:pPr>
      <w:r w:rsidRPr="007A2B6E">
        <w:rPr>
          <w:lang w:val="en-AU"/>
        </w:rPr>
        <w:t>We</w:t>
      </w:r>
      <w:r>
        <w:rPr>
          <w:lang w:val="en-AU"/>
        </w:rPr>
        <w:t xml:space="preserve"> recognise that jurisdiction-specific, local and emerging data sources can provide valuable insights into local contexts. Where appropriate, we </w:t>
      </w:r>
      <w:r w:rsidR="00A53DD6">
        <w:rPr>
          <w:lang w:val="en-AU"/>
        </w:rPr>
        <w:t xml:space="preserve">may </w:t>
      </w:r>
      <w:r>
        <w:rPr>
          <w:lang w:val="en-AU"/>
        </w:rPr>
        <w:t xml:space="preserve">draw on these sources when national data is not available. </w:t>
      </w:r>
    </w:p>
    <w:p w14:paraId="3B4EBCD6" w14:textId="1FBA85C6" w:rsidR="009C373F" w:rsidRPr="007A2B6E" w:rsidRDefault="009C373F" w:rsidP="000D0E51">
      <w:pPr>
        <w:pStyle w:val="Heading3"/>
        <w:rPr>
          <w:lang w:val="en-AU"/>
        </w:rPr>
      </w:pPr>
      <w:r w:rsidRPr="007A2B6E">
        <w:rPr>
          <w:lang w:val="en-AU"/>
        </w:rPr>
        <w:t xml:space="preserve">Should every data gap be filled? </w:t>
      </w:r>
    </w:p>
    <w:p w14:paraId="1A2809FC" w14:textId="75CC4532" w:rsidR="009C373F" w:rsidRPr="007A2B6E" w:rsidRDefault="009C373F" w:rsidP="000D0E51">
      <w:pPr>
        <w:rPr>
          <w:lang w:val="en-AU"/>
        </w:rPr>
      </w:pPr>
      <w:r>
        <w:rPr>
          <w:lang w:val="en-AU"/>
        </w:rPr>
        <w:t xml:space="preserve">Not all data gaps can be addressed immediately. Developing </w:t>
      </w:r>
      <w:proofErr w:type="gramStart"/>
      <w:r>
        <w:rPr>
          <w:lang w:val="en-AU"/>
        </w:rPr>
        <w:t>high</w:t>
      </w:r>
      <w:r w:rsidRPr="007A2B6E">
        <w:rPr>
          <w:lang w:val="en-AU"/>
        </w:rPr>
        <w:t xml:space="preserve"> quality</w:t>
      </w:r>
      <w:proofErr w:type="gramEnd"/>
      <w:r w:rsidRPr="007A2B6E">
        <w:rPr>
          <w:lang w:val="en-AU"/>
        </w:rPr>
        <w:t xml:space="preserve"> data </w:t>
      </w:r>
      <w:r>
        <w:rPr>
          <w:lang w:val="en-AU"/>
        </w:rPr>
        <w:t xml:space="preserve">can </w:t>
      </w:r>
      <w:r w:rsidRPr="007A2B6E">
        <w:rPr>
          <w:lang w:val="en-AU"/>
        </w:rPr>
        <w:t>take time</w:t>
      </w:r>
      <w:r>
        <w:rPr>
          <w:lang w:val="en-AU"/>
        </w:rPr>
        <w:t xml:space="preserve"> and resources, and if not well co-ordinated, can increase reporting demands on service providers. Given that national data requires substantial time and resources, the Commission’s Report Card focuses on making the most impactful use of available data, while identifying data gaps that need addressing over time.   </w:t>
      </w:r>
      <w:r w:rsidR="00D054E6">
        <w:rPr>
          <w:noProof/>
        </w:rPr>
        <mc:AlternateContent>
          <mc:Choice Requires="wps">
            <w:drawing>
              <wp:anchor distT="0" distB="0" distL="114300" distR="114300" simplePos="0" relativeHeight="251658297" behindDoc="1" locked="0" layoutInCell="1" allowOverlap="1" wp14:anchorId="1DD93E41" wp14:editId="322F13C3">
                <wp:simplePos x="0" y="0"/>
                <wp:positionH relativeFrom="page">
                  <wp:posOffset>-446</wp:posOffset>
                </wp:positionH>
                <wp:positionV relativeFrom="page">
                  <wp:posOffset>8877</wp:posOffset>
                </wp:positionV>
                <wp:extent cx="7560000" cy="153909"/>
                <wp:effectExtent l="0" t="0" r="0" b="0"/>
                <wp:wrapNone/>
                <wp:docPr id="1939413492" name="Rectangle 19394134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9A3DB62" id="Rectangle 1939413492" o:spid="_x0000_s1026" alt="&quot;&quot;" style="position:absolute;margin-left:-.05pt;margin-top:.7pt;width:595.3pt;height:12.1pt;z-index:-2516581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" fillcolor="#008142 [3208]" stroked="f" strokeweight="1pt">
                <w10:wrap anchorx="page" anchory="page"/>
              </v:rect>
            </w:pict>
          </mc:Fallback>
        </mc:AlternateContent>
      </w:r>
    </w:p>
    <w:p w14:paraId="0946225E" w14:textId="77777777" w:rsidR="00CD5767" w:rsidRDefault="009C373F" w:rsidP="00677E2C">
      <w:r>
        <w:rPr>
          <w:lang w:val="en-AU"/>
        </w:rPr>
        <w:t>The</w:t>
      </w:r>
      <w:r w:rsidRPr="007A2B6E">
        <w:rPr>
          <w:lang w:val="en-AU"/>
        </w:rPr>
        <w:t xml:space="preserve"> </w:t>
      </w:r>
      <w:r>
        <w:rPr>
          <w:lang w:val="en-AU"/>
        </w:rPr>
        <w:t>C</w:t>
      </w:r>
      <w:r w:rsidRPr="007A2B6E">
        <w:rPr>
          <w:lang w:val="en-AU"/>
        </w:rPr>
        <w:t xml:space="preserve">ommission is working closely with data custodians to identify </w:t>
      </w:r>
      <w:r>
        <w:rPr>
          <w:lang w:val="en-AU"/>
        </w:rPr>
        <w:t xml:space="preserve">further analysis </w:t>
      </w:r>
      <w:r w:rsidRPr="007A2B6E">
        <w:rPr>
          <w:lang w:val="en-AU"/>
        </w:rPr>
        <w:t>opportunities</w:t>
      </w:r>
      <w:r>
        <w:rPr>
          <w:lang w:val="en-AU"/>
        </w:rPr>
        <w:t xml:space="preserve"> using available data sets, as well as new</w:t>
      </w:r>
      <w:r w:rsidDel="000204A5">
        <w:rPr>
          <w:lang w:val="en-AU"/>
        </w:rPr>
        <w:t xml:space="preserve"> </w:t>
      </w:r>
      <w:r w:rsidRPr="007A2B6E">
        <w:rPr>
          <w:lang w:val="en-AU"/>
        </w:rPr>
        <w:t>or emerging sources</w:t>
      </w:r>
      <w:r>
        <w:rPr>
          <w:lang w:val="en-AU"/>
        </w:rPr>
        <w:t xml:space="preserve">. This work is being undertaken alongside efforts to incorporate qualitative insights where available and appropriate. </w:t>
      </w:r>
    </w:p>
    <w:p w14:paraId="67AA656E" w14:textId="77777777" w:rsidR="00CD5767" w:rsidRDefault="00CD5767" w:rsidP="00677E2C">
      <w:r>
        <w:br/>
      </w:r>
    </w:p>
    <w:p w14:paraId="524D4797" w14:textId="5DF6FF3B" w:rsidR="009C373F" w:rsidRPr="00677E2C" w:rsidRDefault="009C373F" w:rsidP="00677E2C">
      <w:pPr>
        <w:rPr>
          <w:lang w:val="en-AU"/>
        </w:rPr>
      </w:pPr>
      <w:r w:rsidRPr="006D2BE2">
        <w:t>The indicators with data gaps for the Accessibility theme are explored below.</w:t>
      </w:r>
    </w:p>
    <w:tbl>
      <w:tblPr>
        <w:tblStyle w:val="TableGrid"/>
        <w:tblpPr w:leftFromText="180" w:rightFromText="180" w:vertAnchor="text" w:horzAnchor="margin" w:tblpY="103"/>
        <w:tblW w:w="0" w:type="auto"/>
        <w:tblLook w:val="04A0" w:firstRow="1" w:lastRow="0" w:firstColumn="1" w:lastColumn="0" w:noHBand="0" w:noVBand="1"/>
      </w:tblPr>
      <w:tblGrid>
        <w:gridCol w:w="2694"/>
        <w:gridCol w:w="6322"/>
      </w:tblGrid>
      <w:tr w:rsidR="009C373F" w14:paraId="652BB58F" w14:textId="77777777" w:rsidTr="009C5D35">
        <w:trPr>
          <w:trHeight w:val="341"/>
        </w:trPr>
        <w:tc>
          <w:tcPr>
            <w:tcW w:w="2694" w:type="dxa"/>
          </w:tcPr>
          <w:p w14:paraId="79C03AD4" w14:textId="77777777" w:rsidR="009C373F" w:rsidRPr="00DE3039" w:rsidRDefault="009C373F" w:rsidP="005D3877">
            <w:pPr>
              <w:pStyle w:val="Heading3"/>
              <w:rPr>
                <w:color w:val="008142" w:themeColor="accent5"/>
              </w:rPr>
            </w:pPr>
            <w:r w:rsidRPr="00DE3039">
              <w:rPr>
                <w:color w:val="008142" w:themeColor="accent5"/>
              </w:rPr>
              <w:t xml:space="preserve">Indicators  </w:t>
            </w:r>
          </w:p>
        </w:tc>
        <w:tc>
          <w:tcPr>
            <w:tcW w:w="6322" w:type="dxa"/>
          </w:tcPr>
          <w:p w14:paraId="5E9DC216" w14:textId="7136D6A2" w:rsidR="009C373F" w:rsidRPr="00DE3039" w:rsidRDefault="003146E3" w:rsidP="005D3877">
            <w:pPr>
              <w:pStyle w:val="Heading3"/>
              <w:rPr>
                <w:color w:val="008142" w:themeColor="accent5"/>
              </w:rPr>
            </w:pPr>
            <w:r w:rsidRPr="00DE3039">
              <w:rPr>
                <w:color w:val="008142" w:themeColor="accent5"/>
              </w:rPr>
              <w:t>Why these indicators matter despite limited data</w:t>
            </w:r>
            <w:r>
              <w:rPr>
                <w:color w:val="008142" w:themeColor="accent5"/>
              </w:rPr>
              <w:t xml:space="preserve"> </w:t>
            </w:r>
            <w:r>
              <w:rPr>
                <w:noProof/>
              </w:rPr>
              <w:drawing>
                <wp:inline distT="0" distB="0" distL="0" distR="0" wp14:anchorId="3867F177" wp14:editId="056506BA">
                  <wp:extent cx="232117" cy="232117"/>
                  <wp:effectExtent l="0" t="0" r="0" b="0"/>
                  <wp:docPr id="1508858672" name="Graphic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58672" name="Graphic 182">
                            <a:extLst>
                              <a:ext uri="{C183D7F6-B498-43B3-948B-1728B52AA6E4}">
                                <adec:decorative xmlns:adec="http://schemas.microsoft.com/office/drawing/2017/decorative" val="1"/>
                              </a:ext>
                            </a:extLst>
                          </pic:cNvPr>
                          <pic:cNvPicPr/>
                        </pic:nvPicPr>
                        <pic:blipFill>
                          <a:blip r:embed="rId154">
                            <a:extLst>
                              <a:ext uri="{96DAC541-7B7A-43D3-8B79-37D633B846F1}">
                                <asvg:svgBlip xmlns:asvg="http://schemas.microsoft.com/office/drawing/2016/SVG/main" r:embed="rId155"/>
                              </a:ext>
                            </a:extLst>
                          </a:blip>
                          <a:stretch>
                            <a:fillRect/>
                          </a:stretch>
                        </pic:blipFill>
                        <pic:spPr>
                          <a:xfrm>
                            <a:off x="0" y="0"/>
                            <a:ext cx="247691" cy="247691"/>
                          </a:xfrm>
                          <a:prstGeom prst="rect">
                            <a:avLst/>
                          </a:prstGeom>
                        </pic:spPr>
                      </pic:pic>
                    </a:graphicData>
                  </a:graphic>
                </wp:inline>
              </w:drawing>
            </w:r>
          </w:p>
        </w:tc>
      </w:tr>
      <w:tr w:rsidR="009C373F" w14:paraId="59E79D90" w14:textId="77777777" w:rsidTr="009C5D35">
        <w:trPr>
          <w:trHeight w:val="1495"/>
        </w:trPr>
        <w:tc>
          <w:tcPr>
            <w:tcW w:w="2694" w:type="dxa"/>
          </w:tcPr>
          <w:p w14:paraId="58E11A8C" w14:textId="77777777" w:rsidR="009C373F" w:rsidRPr="00DE3039" w:rsidRDefault="009C373F" w:rsidP="004E5D44">
            <w:pPr>
              <w:pStyle w:val="Heading3"/>
              <w:spacing w:before="0"/>
              <w:rPr>
                <w:b w:val="0"/>
                <w:bCs/>
              </w:rPr>
            </w:pPr>
            <w:r w:rsidRPr="00DE3039">
              <w:rPr>
                <w:b w:val="0"/>
                <w:bCs/>
              </w:rPr>
              <w:t xml:space="preserve">Access to non-government mental health services </w:t>
            </w:r>
          </w:p>
        </w:tc>
        <w:tc>
          <w:tcPr>
            <w:tcW w:w="6322" w:type="dxa"/>
          </w:tcPr>
          <w:p w14:paraId="4EC44067" w14:textId="77777777" w:rsidR="009C373F" w:rsidRPr="008D5FFA" w:rsidRDefault="009C373F" w:rsidP="00E20DDC">
            <w:pPr>
              <w:rPr>
                <w:highlight w:val="yellow"/>
                <w:lang w:val="en-AU"/>
              </w:rPr>
            </w:pPr>
            <w:r>
              <w:rPr>
                <w:lang w:val="en-AU"/>
              </w:rPr>
              <w:t>N</w:t>
            </w:r>
            <w:r w:rsidRPr="008D5FFA">
              <w:rPr>
                <w:lang w:val="en-AU"/>
              </w:rPr>
              <w:t xml:space="preserve">on-government mental health </w:t>
            </w:r>
            <w:r>
              <w:rPr>
                <w:lang w:val="en-AU"/>
              </w:rPr>
              <w:t>services are a</w:t>
            </w:r>
            <w:r w:rsidRPr="008D5FFA">
              <w:rPr>
                <w:lang w:val="en-AU"/>
              </w:rPr>
              <w:t xml:space="preserve"> </w:t>
            </w:r>
            <w:r>
              <w:rPr>
                <w:lang w:val="en-AU"/>
              </w:rPr>
              <w:t>substantial, but not well measured,</w:t>
            </w:r>
            <w:r w:rsidRPr="008D5FFA">
              <w:rPr>
                <w:lang w:val="en-AU"/>
              </w:rPr>
              <w:t xml:space="preserve"> </w:t>
            </w:r>
            <w:r>
              <w:rPr>
                <w:lang w:val="en-AU"/>
              </w:rPr>
              <w:t xml:space="preserve">component of </w:t>
            </w:r>
            <w:r w:rsidRPr="008D5FFA">
              <w:rPr>
                <w:lang w:val="en-AU"/>
              </w:rPr>
              <w:t>the mental health service system</w:t>
            </w:r>
            <w:r>
              <w:rPr>
                <w:lang w:val="en-AU"/>
              </w:rPr>
              <w:t>.</w:t>
            </w:r>
            <w:r w:rsidRPr="008D5FFA">
              <w:rPr>
                <w:lang w:val="en-AU"/>
              </w:rPr>
              <w:t xml:space="preserve"> Without integrating national data and insights across sectors we cannot fully understand how </w:t>
            </w:r>
            <w:r w:rsidRPr="00742A2D">
              <w:rPr>
                <w:lang w:val="en-AU"/>
              </w:rPr>
              <w:t xml:space="preserve">people are accessing the mental health system, and with what effect. Refer </w:t>
            </w:r>
            <w:r w:rsidRPr="00C30456">
              <w:rPr>
                <w:b/>
                <w:bCs/>
                <w:lang w:val="en-AU"/>
              </w:rPr>
              <w:t>Box 9</w:t>
            </w:r>
            <w:r w:rsidRPr="00742A2D">
              <w:rPr>
                <w:lang w:val="en-AU"/>
              </w:rPr>
              <w:t xml:space="preserve"> for what the Commission is doing to progress work in this important area.</w:t>
            </w:r>
          </w:p>
        </w:tc>
      </w:tr>
      <w:tr w:rsidR="009C373F" w14:paraId="321D60D7" w14:textId="77777777" w:rsidTr="009C5D35">
        <w:tc>
          <w:tcPr>
            <w:tcW w:w="2694" w:type="dxa"/>
          </w:tcPr>
          <w:p w14:paraId="2594779A" w14:textId="0BD414C5" w:rsidR="009C373F" w:rsidRPr="00DE3039" w:rsidRDefault="009C373F" w:rsidP="004E5D44">
            <w:pPr>
              <w:pStyle w:val="Heading3"/>
              <w:spacing w:before="0"/>
              <w:rPr>
                <w:b w:val="0"/>
                <w:bCs/>
              </w:rPr>
            </w:pPr>
            <w:r w:rsidRPr="00DE3039">
              <w:rPr>
                <w:b w:val="0"/>
                <w:bCs/>
              </w:rPr>
              <w:t xml:space="preserve">Services received that </w:t>
            </w:r>
            <w:r w:rsidR="005057D7">
              <w:rPr>
                <w:b w:val="0"/>
                <w:bCs/>
              </w:rPr>
              <w:br/>
            </w:r>
            <w:r w:rsidRPr="00DE3039">
              <w:rPr>
                <w:b w:val="0"/>
                <w:bCs/>
              </w:rPr>
              <w:t>did not meet needs</w:t>
            </w:r>
          </w:p>
        </w:tc>
        <w:tc>
          <w:tcPr>
            <w:tcW w:w="6322" w:type="dxa"/>
          </w:tcPr>
          <w:p w14:paraId="4BBD2410" w14:textId="77777777" w:rsidR="009C373F" w:rsidRPr="008D5FFA" w:rsidRDefault="009C373F" w:rsidP="00E20DDC">
            <w:r>
              <w:t xml:space="preserve">The extent to which services meet consumers’ needs and preferences is a critical dimension to understanding access but is not well understood from the data available.  </w:t>
            </w:r>
          </w:p>
        </w:tc>
      </w:tr>
      <w:tr w:rsidR="009C373F" w14:paraId="4536798C" w14:textId="77777777" w:rsidTr="009C5D35">
        <w:trPr>
          <w:trHeight w:val="1280"/>
        </w:trPr>
        <w:tc>
          <w:tcPr>
            <w:tcW w:w="2694" w:type="dxa"/>
          </w:tcPr>
          <w:p w14:paraId="2C18E894" w14:textId="7B85CC79" w:rsidR="009C373F" w:rsidRPr="00DE3039" w:rsidRDefault="009C373F" w:rsidP="004E5D44">
            <w:pPr>
              <w:pStyle w:val="Heading3"/>
              <w:spacing w:before="0"/>
              <w:rPr>
                <w:b w:val="0"/>
                <w:bCs/>
              </w:rPr>
            </w:pPr>
            <w:r w:rsidRPr="00DE3039">
              <w:rPr>
                <w:b w:val="0"/>
                <w:bCs/>
              </w:rPr>
              <w:t xml:space="preserve">Unmet need for </w:t>
            </w:r>
            <w:r w:rsidR="005057D7">
              <w:rPr>
                <w:b w:val="0"/>
                <w:bCs/>
              </w:rPr>
              <w:br/>
            </w:r>
            <w:r w:rsidRPr="00DE3039">
              <w:rPr>
                <w:b w:val="0"/>
                <w:bCs/>
              </w:rPr>
              <w:t>mental health care</w:t>
            </w:r>
          </w:p>
        </w:tc>
        <w:tc>
          <w:tcPr>
            <w:tcW w:w="6322" w:type="dxa"/>
          </w:tcPr>
          <w:p w14:paraId="529F52C0" w14:textId="77777777" w:rsidR="009C373F" w:rsidRPr="008D5FFA" w:rsidRDefault="009C373F" w:rsidP="00E20DDC">
            <w:pPr>
              <w:rPr>
                <w:rFonts w:eastAsiaTheme="minorEastAsia"/>
                <w:color w:val="171717" w:themeColor="background2" w:themeShade="1A"/>
                <w:highlight w:val="yellow"/>
              </w:rPr>
            </w:pPr>
            <w:r w:rsidRPr="00603F1B">
              <w:rPr>
                <w:lang w:val="en-AU"/>
              </w:rPr>
              <w:t xml:space="preserve">There is a clear distinction between actual access and unmet need which cannot be understood from the </w:t>
            </w:r>
            <w:r w:rsidRPr="001B5805">
              <w:rPr>
                <w:lang w:val="en-AU"/>
              </w:rPr>
              <w:t>available data.</w:t>
            </w:r>
            <w:r w:rsidRPr="008D5FFA">
              <w:rPr>
                <w:lang w:val="en-AU"/>
              </w:rPr>
              <w:t xml:space="preserve"> There is currently no long term, ongoing data source </w:t>
            </w:r>
            <w:r>
              <w:rPr>
                <w:lang w:val="en-AU"/>
              </w:rPr>
              <w:t xml:space="preserve">to measure unmet need, </w:t>
            </w:r>
            <w:r w:rsidRPr="008D5FFA">
              <w:rPr>
                <w:lang w:val="en-AU"/>
              </w:rPr>
              <w:t xml:space="preserve">moving beyond measures of service activity and use to better understand who is not accessing care. </w:t>
            </w:r>
          </w:p>
        </w:tc>
      </w:tr>
      <w:tr w:rsidR="009C373F" w14:paraId="0CAEFEBE" w14:textId="77777777" w:rsidTr="009C5D35">
        <w:trPr>
          <w:trHeight w:val="1229"/>
        </w:trPr>
        <w:tc>
          <w:tcPr>
            <w:tcW w:w="2694" w:type="dxa"/>
          </w:tcPr>
          <w:p w14:paraId="55E1DBFB" w14:textId="77777777" w:rsidR="009C373F" w:rsidRPr="00DE3039" w:rsidRDefault="009C373F" w:rsidP="004E5D44">
            <w:pPr>
              <w:pStyle w:val="Heading3"/>
              <w:spacing w:before="0"/>
              <w:rPr>
                <w:b w:val="0"/>
                <w:bCs/>
              </w:rPr>
            </w:pPr>
            <w:r w:rsidRPr="00DE3039">
              <w:rPr>
                <w:b w:val="0"/>
                <w:bCs/>
              </w:rPr>
              <w:lastRenderedPageBreak/>
              <w:t xml:space="preserve">Wait times following referral </w:t>
            </w:r>
          </w:p>
        </w:tc>
        <w:tc>
          <w:tcPr>
            <w:tcW w:w="6322" w:type="dxa"/>
          </w:tcPr>
          <w:p w14:paraId="54C10A25" w14:textId="77777777" w:rsidR="009C373F" w:rsidRPr="008D5FFA" w:rsidRDefault="009C373F" w:rsidP="00E20DDC">
            <w:r w:rsidRPr="007D10ED">
              <w:t xml:space="preserve">Extensive wait times </w:t>
            </w:r>
            <w:r>
              <w:t>f</w:t>
            </w:r>
            <w:r w:rsidRPr="008D5FFA">
              <w:t>ollowing referral</w:t>
            </w:r>
            <w:r w:rsidRPr="007874CE">
              <w:t xml:space="preserve"> </w:t>
            </w:r>
            <w:r w:rsidRPr="007D10ED">
              <w:t>can be a barrier</w:t>
            </w:r>
            <w:r>
              <w:t xml:space="preserve"> to care and </w:t>
            </w:r>
            <w:r w:rsidRPr="007D10ED">
              <w:t>contribute to worsening outcomes if people cannot access the care they need, when they need it.</w:t>
            </w:r>
            <w:r>
              <w:t xml:space="preserve"> However, national data on wait times across service types is limited, making it difficult to identify opportunities for improvement. </w:t>
            </w:r>
          </w:p>
        </w:tc>
      </w:tr>
      <w:tr w:rsidR="009C373F" w14:paraId="3BA4E8E4" w14:textId="77777777" w:rsidTr="009C5D35">
        <w:tc>
          <w:tcPr>
            <w:tcW w:w="2694" w:type="dxa"/>
          </w:tcPr>
          <w:p w14:paraId="306F7593" w14:textId="77777777" w:rsidR="009C373F" w:rsidRPr="00DE3039" w:rsidRDefault="009C373F" w:rsidP="004E5D44">
            <w:pPr>
              <w:pStyle w:val="Heading3"/>
              <w:spacing w:before="0"/>
              <w:rPr>
                <w:b w:val="0"/>
                <w:bCs/>
              </w:rPr>
            </w:pPr>
            <w:r w:rsidRPr="00DE3039">
              <w:rPr>
                <w:b w:val="0"/>
                <w:bCs/>
              </w:rPr>
              <w:t xml:space="preserve">Capability and capacity of families, carers and kin to effectively support people experiencing mental health challenges </w:t>
            </w:r>
          </w:p>
        </w:tc>
        <w:tc>
          <w:tcPr>
            <w:tcW w:w="6322" w:type="dxa"/>
          </w:tcPr>
          <w:p w14:paraId="3EFE44DF" w14:textId="77777777" w:rsidR="009C373F" w:rsidRPr="008D5FFA" w:rsidRDefault="009C373F" w:rsidP="00E20DDC">
            <w:r>
              <w:t>Mental health challenges can have broader impacts on families, carers and kin, including effects on wellbeing, financial security and relationships. However, these broader impacts are not consistently measured in the data, which can limit opportunities to design appropriate supports.</w:t>
            </w:r>
          </w:p>
        </w:tc>
      </w:tr>
      <w:tr w:rsidR="009C373F" w14:paraId="77FFACAA" w14:textId="77777777" w:rsidTr="009C5D35">
        <w:trPr>
          <w:trHeight w:val="880"/>
        </w:trPr>
        <w:tc>
          <w:tcPr>
            <w:tcW w:w="2694" w:type="dxa"/>
          </w:tcPr>
          <w:p w14:paraId="4087506A" w14:textId="18BF6D4E" w:rsidR="009C373F" w:rsidRPr="00DE3039" w:rsidRDefault="009C373F" w:rsidP="004E5D44">
            <w:pPr>
              <w:pStyle w:val="Heading3"/>
              <w:spacing w:before="0"/>
              <w:rPr>
                <w:b w:val="0"/>
                <w:bCs/>
              </w:rPr>
            </w:pPr>
            <w:r w:rsidRPr="00DE3039">
              <w:rPr>
                <w:b w:val="0"/>
                <w:bCs/>
              </w:rPr>
              <w:t>Knowledge and awareness of how to navigate to relevant mental health care</w:t>
            </w:r>
          </w:p>
        </w:tc>
        <w:tc>
          <w:tcPr>
            <w:tcW w:w="6322" w:type="dxa"/>
          </w:tcPr>
          <w:p w14:paraId="2224C754" w14:textId="77777777" w:rsidR="009C373F" w:rsidRPr="008D5FFA" w:rsidRDefault="009C373F" w:rsidP="00E20DDC">
            <w:r>
              <w:t xml:space="preserve">The </w:t>
            </w:r>
            <w:r w:rsidRPr="008D5FFA">
              <w:t xml:space="preserve">range of mental health services across funding systems and </w:t>
            </w:r>
            <w:r>
              <w:t xml:space="preserve">breadth of </w:t>
            </w:r>
            <w:r w:rsidRPr="008D5FFA">
              <w:t xml:space="preserve">models of care </w:t>
            </w:r>
            <w:r>
              <w:t xml:space="preserve">can make it hard for consumers and those supporting them to identify the right services for them, and whether they are available locally. Knowledge about the services available, their suitability, and how to access them, is a critical enabler of a functioning mental health system, but not easily measurable. </w:t>
            </w:r>
          </w:p>
        </w:tc>
      </w:tr>
      <w:tr w:rsidR="009C373F" w14:paraId="221E94A3" w14:textId="77777777" w:rsidTr="009C5D35">
        <w:trPr>
          <w:trHeight w:val="686"/>
        </w:trPr>
        <w:tc>
          <w:tcPr>
            <w:tcW w:w="2694" w:type="dxa"/>
          </w:tcPr>
          <w:p w14:paraId="268FFD15" w14:textId="77777777" w:rsidR="009C373F" w:rsidRPr="00DE3039" w:rsidRDefault="009C373F" w:rsidP="004E5D44">
            <w:pPr>
              <w:pStyle w:val="Heading3"/>
              <w:spacing w:before="0"/>
              <w:rPr>
                <w:b w:val="0"/>
                <w:bCs/>
              </w:rPr>
            </w:pPr>
            <w:r w:rsidRPr="00DE3039">
              <w:rPr>
                <w:b w:val="0"/>
                <w:bCs/>
              </w:rPr>
              <w:t xml:space="preserve">Mental health literacy </w:t>
            </w:r>
          </w:p>
        </w:tc>
        <w:tc>
          <w:tcPr>
            <w:tcW w:w="6322" w:type="dxa"/>
          </w:tcPr>
          <w:p w14:paraId="7CECC3C0" w14:textId="77777777" w:rsidR="009C373F" w:rsidRPr="008D5FFA" w:rsidRDefault="009C373F" w:rsidP="00E20DDC">
            <w:r>
              <w:t xml:space="preserve">Improved mental health literacy can influence seeking support earlier; however recent national data on mental health literacy is limited. The last National Health Survey: Health Literacy was undertaken in 2018. </w:t>
            </w:r>
          </w:p>
        </w:tc>
      </w:tr>
      <w:tr w:rsidR="009C373F" w14:paraId="4A6A25DC" w14:textId="77777777" w:rsidTr="009C5D35">
        <w:trPr>
          <w:trHeight w:val="1323"/>
        </w:trPr>
        <w:tc>
          <w:tcPr>
            <w:tcW w:w="2694" w:type="dxa"/>
          </w:tcPr>
          <w:p w14:paraId="0A38FCAC" w14:textId="77777777" w:rsidR="009C373F" w:rsidRPr="00DE3039" w:rsidRDefault="009C373F" w:rsidP="004E5D44">
            <w:pPr>
              <w:pStyle w:val="Heading3"/>
              <w:spacing w:before="0"/>
              <w:rPr>
                <w:b w:val="0"/>
                <w:bCs/>
              </w:rPr>
            </w:pPr>
            <w:r w:rsidRPr="00DE3039">
              <w:rPr>
                <w:b w:val="0"/>
                <w:bCs/>
              </w:rPr>
              <w:t>Proportion of people who report receiving effective support to navigate between multiple mental health providers</w:t>
            </w:r>
          </w:p>
        </w:tc>
        <w:tc>
          <w:tcPr>
            <w:tcW w:w="6322" w:type="dxa"/>
          </w:tcPr>
          <w:p w14:paraId="47420297" w14:textId="0BF91567" w:rsidR="009C373F" w:rsidRPr="008D5FFA" w:rsidRDefault="009C373F" w:rsidP="00E20DDC">
            <w:r w:rsidRPr="00063682">
              <w:t>A person’s journey through care can often involve navigating between more than one mental health provider and moving between services</w:t>
            </w:r>
            <w:r>
              <w:t xml:space="preserve"> and models of care</w:t>
            </w:r>
            <w:r w:rsidRPr="00063682">
              <w:t xml:space="preserve">. Although effective support to navigate between services is crucial, this is not </w:t>
            </w:r>
            <w:r>
              <w:t xml:space="preserve">currently </w:t>
            </w:r>
            <w:r w:rsidRPr="00063682">
              <w:t xml:space="preserve">easily understood or measurable. </w:t>
            </w:r>
          </w:p>
        </w:tc>
      </w:tr>
      <w:tr w:rsidR="009C373F" w14:paraId="7D1B4AED" w14:textId="77777777" w:rsidTr="009C5D35">
        <w:trPr>
          <w:trHeight w:val="614"/>
        </w:trPr>
        <w:tc>
          <w:tcPr>
            <w:tcW w:w="2694" w:type="dxa"/>
          </w:tcPr>
          <w:p w14:paraId="653B3BF1" w14:textId="6011B7D2" w:rsidR="009C373F" w:rsidRPr="00DE3039" w:rsidRDefault="009C373F" w:rsidP="004E5D44">
            <w:pPr>
              <w:pStyle w:val="Heading3"/>
              <w:spacing w:before="0"/>
              <w:rPr>
                <w:b w:val="0"/>
                <w:bCs/>
              </w:rPr>
            </w:pPr>
            <w:r w:rsidRPr="00DE3039">
              <w:rPr>
                <w:b w:val="0"/>
                <w:bCs/>
              </w:rPr>
              <w:t>Experience of stigma in mental health services</w:t>
            </w:r>
          </w:p>
        </w:tc>
        <w:tc>
          <w:tcPr>
            <w:tcW w:w="6322" w:type="dxa"/>
          </w:tcPr>
          <w:p w14:paraId="2C777048" w14:textId="77777777" w:rsidR="009C373F" w:rsidRPr="008D5FFA" w:rsidRDefault="009C373F" w:rsidP="00E20DDC">
            <w:r>
              <w:t xml:space="preserve">Past and/or anticipated experiences of stigma are a barrier to accessing support from mental health services. A key emerging data source on Stigma is the </w:t>
            </w:r>
            <w:r w:rsidRPr="007D3A57">
              <w:t xml:space="preserve">2026 National </w:t>
            </w:r>
            <w:r w:rsidRPr="002765BF">
              <w:t xml:space="preserve">Stigma and Discrimination Report Card (refer </w:t>
            </w:r>
            <w:r w:rsidRPr="00C30456">
              <w:rPr>
                <w:b/>
                <w:bCs/>
              </w:rPr>
              <w:t>Box 5</w:t>
            </w:r>
            <w:r w:rsidRPr="002765BF">
              <w:t>) and may support enhanced reporting on this indicator in Report Card 2026.</w:t>
            </w:r>
            <w:r>
              <w:t xml:space="preserve"> </w:t>
            </w:r>
          </w:p>
        </w:tc>
      </w:tr>
    </w:tbl>
    <w:p w14:paraId="1B165EF6" w14:textId="0865EB5F" w:rsidR="009C373F" w:rsidRDefault="00D054E6" w:rsidP="009C373F">
      <w:pPr>
        <w:suppressAutoHyphens w:val="0"/>
        <w:autoSpaceDE/>
        <w:autoSpaceDN/>
        <w:adjustRightInd/>
        <w:spacing w:after="0" w:line="240" w:lineRule="auto"/>
        <w:contextualSpacing/>
        <w:textAlignment w:val="auto"/>
        <w:rPr>
          <w:rFonts w:ascii="Aptos" w:hAnsi="Aptos"/>
          <w:sz w:val="22"/>
        </w:rPr>
      </w:pPr>
      <w:r>
        <w:rPr>
          <w:noProof/>
        </w:rPr>
        <mc:AlternateContent>
          <mc:Choice Requires="wps">
            <w:drawing>
              <wp:anchor distT="0" distB="0" distL="114300" distR="114300" simplePos="0" relativeHeight="251658298" behindDoc="1" locked="0" layoutInCell="1" allowOverlap="1" wp14:anchorId="09106850" wp14:editId="20A65E51">
                <wp:simplePos x="0" y="0"/>
                <wp:positionH relativeFrom="page">
                  <wp:posOffset>-9179</wp:posOffset>
                </wp:positionH>
                <wp:positionV relativeFrom="page">
                  <wp:posOffset>5822</wp:posOffset>
                </wp:positionV>
                <wp:extent cx="7560000" cy="153909"/>
                <wp:effectExtent l="0" t="0" r="0" b="0"/>
                <wp:wrapNone/>
                <wp:docPr id="1077297807" name="Rectangle 10772978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42F1201" id="Rectangle 1077297807" o:spid="_x0000_s1026" alt="&quot;&quot;" style="position:absolute;margin-left:-.7pt;margin-top:.45pt;width:595.3pt;height:12.1pt;z-index:-2516581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" fillcolor="#008142 [3208]" stroked="f" strokeweight="1pt">
                <w10:wrap anchorx="page" anchory="page"/>
              </v:rect>
            </w:pict>
          </mc:Fallback>
        </mc:AlternateContent>
      </w:r>
    </w:p>
    <w:p w14:paraId="41730EEB" w14:textId="5FD50414" w:rsidR="009C373F" w:rsidRDefault="009C373F" w:rsidP="00E20DDC">
      <w:pPr>
        <w:rPr>
          <w:rFonts w:eastAsiaTheme="majorEastAsia" w:cstheme="majorBidi"/>
          <w:b/>
          <w:bCs/>
          <w:color w:val="008143"/>
          <w:highlight w:val="yellow"/>
          <w:lang w:val="en-AU" w:eastAsia="en-AU"/>
        </w:rPr>
      </w:pPr>
      <w:r>
        <w:t xml:space="preserve">The Commission continues to </w:t>
      </w:r>
      <w:r w:rsidRPr="00074489">
        <w:t xml:space="preserve">build understanding </w:t>
      </w:r>
      <w:r>
        <w:t>of these indicators over</w:t>
      </w:r>
      <w:r w:rsidR="00771612">
        <w:t xml:space="preserve"> </w:t>
      </w:r>
      <w:r>
        <w:t>time, including through working with the Australian Institute of Health and Welfare (AIHW) on scoping options for improved data reporting.</w:t>
      </w:r>
    </w:p>
    <w:p w14:paraId="2BE63850" w14:textId="0A0A5D71" w:rsidR="00D50842" w:rsidRDefault="009C373F" w:rsidP="004E5D44">
      <w:r>
        <w:rPr>
          <w:lang w:val="en-AU"/>
        </w:rPr>
        <w:t xml:space="preserve">The following section explores recent work undertaken to better understand available data for non-governmental mental health services. </w:t>
      </w:r>
    </w:p>
    <w:p w14:paraId="5DFF1ECC" w14:textId="77777777" w:rsidR="00CD5767" w:rsidRDefault="00CD5767">
      <w:pPr>
        <w:suppressAutoHyphens w:val="0"/>
        <w:autoSpaceDE/>
        <w:autoSpaceDN/>
        <w:adjustRightInd/>
        <w:spacing w:after="0" w:line="240" w:lineRule="auto"/>
        <w:textAlignment w:val="auto"/>
        <w:rPr>
          <w:rFonts w:eastAsiaTheme="majorEastAsia" w:cstheme="majorBidi"/>
          <w:color w:val="171717" w:themeColor="background2" w:themeShade="1A"/>
          <w:sz w:val="24"/>
          <w:szCs w:val="26"/>
          <w:lang w:eastAsia="en-AU"/>
        </w:rPr>
      </w:pPr>
      <w:r>
        <w:br w:type="page"/>
      </w:r>
    </w:p>
    <w:p w14:paraId="62A0AC9A" w14:textId="5E3ED9A9" w:rsidR="009C373F" w:rsidRPr="003661B8" w:rsidRDefault="00CD5767" w:rsidP="009F46B4">
      <w:pPr>
        <w:pStyle w:val="Heading2"/>
      </w:pPr>
      <w:r w:rsidRPr="007A1964">
        <w:rPr>
          <w:rStyle w:val="FollowedHyperlink"/>
          <w:noProof/>
        </w:rPr>
        <w:lastRenderedPageBreak/>
        <mc:AlternateContent>
          <mc:Choice Requires="wps">
            <w:drawing>
              <wp:anchor distT="0" distB="0" distL="114300" distR="114300" simplePos="0" relativeHeight="251658318" behindDoc="1" locked="0" layoutInCell="1" allowOverlap="1" wp14:anchorId="572B39E1" wp14:editId="55C85221">
                <wp:simplePos x="0" y="0"/>
                <wp:positionH relativeFrom="page">
                  <wp:posOffset>719847</wp:posOffset>
                </wp:positionH>
                <wp:positionV relativeFrom="page">
                  <wp:posOffset>836579</wp:posOffset>
                </wp:positionV>
                <wp:extent cx="6215975" cy="8015591"/>
                <wp:effectExtent l="0" t="0" r="7620" b="11430"/>
                <wp:wrapNone/>
                <wp:docPr id="2086220881" name="Rectangle 20862208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15975" cy="8015591"/>
                        </a:xfrm>
                        <a:prstGeom prst="rect">
                          <a:avLst/>
                        </a:prstGeom>
                        <a:solidFill>
                          <a:srgbClr val="F9F9E5">
                            <a:alpha val="50196"/>
                          </a:srgbClr>
                        </a:solidFill>
                        <a:ln w="1270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798DE9C" id="Rectangle 2086220881" o:spid="_x0000_s1026" alt="&quot;&quot;" style="position:absolute;margin-left:56.7pt;margin-top:65.85pt;width:489.45pt;height:631.15pt;z-index:-2516581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" fillcolor="#f9f9e5" strokecolor="#008142 [3208]" strokeweight="1pt">
                <v:fill opacity="32896f"/>
                <w10:wrap anchorx="page" anchory="page"/>
              </v:rect>
            </w:pict>
          </mc:Fallback>
        </mc:AlternateContent>
      </w:r>
      <w:r w:rsidR="009C373F" w:rsidRPr="003661B8">
        <w:t>Box 9</w:t>
      </w:r>
      <w:r w:rsidR="009C373F">
        <w:t xml:space="preserve"> -</w:t>
      </w:r>
      <w:r w:rsidR="009C373F" w:rsidRPr="003661B8">
        <w:t xml:space="preserve"> Work underway to better understand and address data gaps - </w:t>
      </w:r>
      <w:r w:rsidR="003E508D">
        <w:br/>
      </w:r>
      <w:r w:rsidR="009C373F" w:rsidRPr="003661B8">
        <w:t>Access to non-government mental health services</w:t>
      </w:r>
    </w:p>
    <w:p w14:paraId="490A70D4" w14:textId="1277FCA9" w:rsidR="009C373F" w:rsidRPr="00BE5FF4" w:rsidRDefault="009C373F" w:rsidP="0026726D">
      <w:pPr>
        <w:rPr>
          <w:lang w:val="en-AU"/>
        </w:rPr>
      </w:pPr>
      <w:r w:rsidRPr="008109BB">
        <w:rPr>
          <w:lang w:val="en-AU"/>
        </w:rPr>
        <w:t xml:space="preserve">Current understanding of Australia’s mental health system is largely based on public hospital and specialist community mental health data, with limited national data available on </w:t>
      </w:r>
      <w:r>
        <w:rPr>
          <w:lang w:val="en-AU"/>
        </w:rPr>
        <w:t>Non-Government Organisation (</w:t>
      </w:r>
      <w:r w:rsidRPr="2021CCDB">
        <w:rPr>
          <w:lang w:val="en-AU"/>
        </w:rPr>
        <w:t>NGO</w:t>
      </w:r>
      <w:r>
        <w:rPr>
          <w:lang w:val="en-AU"/>
        </w:rPr>
        <w:t xml:space="preserve">) </w:t>
      </w:r>
      <w:r w:rsidRPr="008109BB">
        <w:rPr>
          <w:lang w:val="en-AU"/>
        </w:rPr>
        <w:t xml:space="preserve">delivered services. </w:t>
      </w:r>
      <w:r w:rsidRPr="00BE5FF4">
        <w:rPr>
          <w:lang w:val="en-AU"/>
        </w:rPr>
        <w:t xml:space="preserve">Given the range and scope of mental health programs delivered by </w:t>
      </w:r>
      <w:r>
        <w:rPr>
          <w:lang w:val="en-AU"/>
        </w:rPr>
        <w:t xml:space="preserve">NGOs </w:t>
      </w:r>
      <w:r w:rsidRPr="00BE5FF4">
        <w:rPr>
          <w:lang w:val="en-AU"/>
        </w:rPr>
        <w:t xml:space="preserve">in Australia, the need for a holistic understanding of the sector cannot be understated. </w:t>
      </w:r>
    </w:p>
    <w:p w14:paraId="30974989" w14:textId="62250FA0" w:rsidR="009C373F" w:rsidRDefault="009C373F" w:rsidP="0026726D">
      <w:pPr>
        <w:rPr>
          <w:lang w:val="en-AU"/>
        </w:rPr>
      </w:pPr>
      <w:r w:rsidRPr="00BE0A2B">
        <w:rPr>
          <w:lang w:val="en-AU"/>
        </w:rPr>
        <w:t xml:space="preserve">To progress this, the Commission partnered with Mental Health Australia (MHA) to explore opportunities for representing NGO services in the National Report Card. As the national, independent peak body for the mental health sector, MHA’s insights and findings have </w:t>
      </w:r>
      <w:r>
        <w:rPr>
          <w:lang w:val="en-AU"/>
        </w:rPr>
        <w:t>helped strengthen the Commission’s understanding of system performance to</w:t>
      </w:r>
      <w:r w:rsidRPr="00BE0A2B">
        <w:rPr>
          <w:lang w:val="en-AU"/>
        </w:rPr>
        <w:t xml:space="preserve"> build on through future Report Cards</w:t>
      </w:r>
      <w:r>
        <w:rPr>
          <w:lang w:val="en-AU"/>
        </w:rPr>
        <w:t>.</w:t>
      </w:r>
    </w:p>
    <w:p w14:paraId="36ECE26A" w14:textId="77777777" w:rsidR="009C373F" w:rsidRPr="007F0644" w:rsidRDefault="009C373F" w:rsidP="0026726D">
      <w:pPr>
        <w:rPr>
          <w:lang w:val="en-AU"/>
        </w:rPr>
      </w:pPr>
      <w:r w:rsidRPr="000C08DB">
        <w:rPr>
          <w:lang w:val="en-AU"/>
        </w:rPr>
        <w:t>Between September 2025 and March 2026, MHA consulted NGO</w:t>
      </w:r>
      <w:r>
        <w:rPr>
          <w:lang w:val="en-AU"/>
        </w:rPr>
        <w:t xml:space="preserve"> services</w:t>
      </w:r>
      <w:r w:rsidRPr="000C08DB">
        <w:rPr>
          <w:lang w:val="en-AU"/>
        </w:rPr>
        <w:t xml:space="preserve"> and data custodians through targeted engagement, </w:t>
      </w:r>
      <w:r>
        <w:rPr>
          <w:lang w:val="en-AU"/>
        </w:rPr>
        <w:t>a desktop scan</w:t>
      </w:r>
      <w:r w:rsidRPr="000C08DB">
        <w:rPr>
          <w:lang w:val="en-AU"/>
        </w:rPr>
        <w:t xml:space="preserve"> and a sector-wide online consultation</w:t>
      </w:r>
      <w:r>
        <w:rPr>
          <w:lang w:val="en-AU"/>
        </w:rPr>
        <w:t xml:space="preserve"> and presented their </w:t>
      </w:r>
      <w:r w:rsidRPr="00BE5FF4">
        <w:rPr>
          <w:lang w:val="en-AU"/>
        </w:rPr>
        <w:t xml:space="preserve">findings and recommendations for the Commission's consideration. </w:t>
      </w:r>
    </w:p>
    <w:p w14:paraId="38B6C796" w14:textId="3D3104D0" w:rsidR="009C373F" w:rsidRPr="00680635" w:rsidRDefault="009C373F" w:rsidP="0026726D">
      <w:pPr>
        <w:pStyle w:val="Heading3"/>
        <w:rPr>
          <w:lang w:eastAsia="en-AU"/>
        </w:rPr>
      </w:pPr>
      <w:r w:rsidRPr="00680635">
        <w:rPr>
          <w:lang w:eastAsia="en-AU"/>
        </w:rPr>
        <w:t>Defining and understanding the non-government mental health sector </w:t>
      </w:r>
    </w:p>
    <w:p w14:paraId="57139F7B" w14:textId="6B808E53" w:rsidR="009C373F" w:rsidRDefault="009C373F" w:rsidP="0026726D">
      <w:pPr>
        <w:rPr>
          <w:lang w:val="en-AU"/>
        </w:rPr>
      </w:pPr>
      <w:r w:rsidRPr="009F4F9E">
        <w:rPr>
          <w:lang w:val="en-AU"/>
        </w:rPr>
        <w:t xml:space="preserve">MHA’s work found there is no </w:t>
      </w:r>
      <w:r>
        <w:rPr>
          <w:lang w:val="en-AU"/>
        </w:rPr>
        <w:t>nationally</w:t>
      </w:r>
      <w:r w:rsidRPr="009F4F9E">
        <w:rPr>
          <w:lang w:val="en-AU"/>
        </w:rPr>
        <w:t xml:space="preserve"> agreed definition of </w:t>
      </w:r>
      <w:r>
        <w:rPr>
          <w:lang w:val="en-AU"/>
        </w:rPr>
        <w:t>NGO</w:t>
      </w:r>
      <w:r w:rsidRPr="009F4F9E">
        <w:rPr>
          <w:lang w:val="en-AU"/>
        </w:rPr>
        <w:t xml:space="preserve"> mental health services, reflecting the sector’s diversity. Broadly, these services are delivered by not-for-profit and for-profit organisations that receive </w:t>
      </w:r>
      <w:r>
        <w:rPr>
          <w:lang w:val="en-AU"/>
        </w:rPr>
        <w:t xml:space="preserve">Commonwealth or state or territory </w:t>
      </w:r>
      <w:r w:rsidRPr="009F4F9E">
        <w:rPr>
          <w:lang w:val="en-AU"/>
        </w:rPr>
        <w:t>government funding to support mental health and wellbeing. This includes Community Managed Organisations (CMOs), which provide a wide range of recovery-oriented supports in community and residential settings</w:t>
      </w:r>
      <w:r w:rsidRPr="00680635">
        <w:rPr>
          <w:lang w:val="en-AU"/>
        </w:rPr>
        <w:t>.</w:t>
      </w:r>
      <w:r w:rsidRPr="00680635">
        <w:rPr>
          <w:rStyle w:val="EndnoteReference"/>
          <w:sz w:val="20"/>
          <w:szCs w:val="20"/>
        </w:rPr>
        <w:endnoteReference w:id="144"/>
      </w:r>
      <w:r w:rsidRPr="00680635">
        <w:rPr>
          <w:rStyle w:val="EndnoteReference"/>
          <w:sz w:val="20"/>
          <w:szCs w:val="20"/>
        </w:rPr>
        <w:t xml:space="preserve"> </w:t>
      </w:r>
      <w:r w:rsidRPr="00F546B3">
        <w:rPr>
          <w:lang w:val="en-AU"/>
        </w:rPr>
        <w:t xml:space="preserve">Not-for-profit organisations deliver </w:t>
      </w:r>
      <w:r w:rsidRPr="00680635">
        <w:rPr>
          <w:lang w:val="en-AU"/>
        </w:rPr>
        <w:t>a broad range of mental health supports, spanning prevention and early intervention through to services for people with complex needs. Mental health services are also provided by registered charities.</w:t>
      </w:r>
    </w:p>
    <w:p w14:paraId="26DA114B" w14:textId="0F555BB4" w:rsidR="009C373F" w:rsidRPr="00BE5FF4" w:rsidRDefault="009C373F" w:rsidP="0026726D">
      <w:pPr>
        <w:rPr>
          <w:lang w:val="en-AU"/>
        </w:rPr>
      </w:pPr>
      <w:r w:rsidRPr="00497F2A">
        <w:rPr>
          <w:lang w:val="en-AU"/>
        </w:rPr>
        <w:t>Many mental health organisations are funded through a mix of government funding, fee-for-service arrangements, donations, partnerships, philanthropy and private</w:t>
      </w:r>
      <w:r>
        <w:rPr>
          <w:lang w:val="en-AU"/>
        </w:rPr>
        <w:t xml:space="preserve"> </w:t>
      </w:r>
      <w:r w:rsidRPr="00BE5FF4">
        <w:rPr>
          <w:lang w:val="en-AU"/>
        </w:rPr>
        <w:t xml:space="preserve">insurers. </w:t>
      </w:r>
      <w:r>
        <w:rPr>
          <w:lang w:val="en-AU"/>
        </w:rPr>
        <w:t>S</w:t>
      </w:r>
      <w:r w:rsidRPr="00BE5FF4">
        <w:rPr>
          <w:lang w:val="en-AU"/>
        </w:rPr>
        <w:t xml:space="preserve">ole traders </w:t>
      </w:r>
      <w:r>
        <w:rPr>
          <w:lang w:val="en-AU"/>
        </w:rPr>
        <w:t>also play a key role in service delivery, yet</w:t>
      </w:r>
      <w:r w:rsidRPr="00BE5FF4">
        <w:rPr>
          <w:lang w:val="en-AU"/>
        </w:rPr>
        <w:t xml:space="preserve"> their services are not easily reportable at a national level</w:t>
      </w:r>
      <w:r>
        <w:rPr>
          <w:lang w:val="en-AU"/>
        </w:rPr>
        <w:t xml:space="preserve">. This can include </w:t>
      </w:r>
      <w:r w:rsidRPr="00BE5FF4">
        <w:rPr>
          <w:lang w:val="en-AU"/>
        </w:rPr>
        <w:t xml:space="preserve">MBS-subsidised mental health services, </w:t>
      </w:r>
      <w:r>
        <w:rPr>
          <w:lang w:val="en-AU"/>
        </w:rPr>
        <w:t>alongside</w:t>
      </w:r>
      <w:r w:rsidRPr="00BE5FF4">
        <w:rPr>
          <w:lang w:val="en-AU"/>
        </w:rPr>
        <w:t xml:space="preserve"> </w:t>
      </w:r>
      <w:r w:rsidRPr="007140DC">
        <w:rPr>
          <w:lang w:val="en-AU"/>
        </w:rPr>
        <w:t>supports delivered through the NDIS</w:t>
      </w:r>
      <w:r w:rsidRPr="00BE5FF4">
        <w:rPr>
          <w:lang w:val="en-AU"/>
        </w:rPr>
        <w:t>. </w:t>
      </w:r>
    </w:p>
    <w:p w14:paraId="16D63B65" w14:textId="670B9F81" w:rsidR="009C373F" w:rsidRPr="00E94788" w:rsidRDefault="009C373F" w:rsidP="0026726D">
      <w:pPr>
        <w:rPr>
          <w:lang w:val="en-AU"/>
        </w:rPr>
      </w:pPr>
      <w:r w:rsidRPr="00E94788">
        <w:rPr>
          <w:lang w:val="en-AU"/>
        </w:rPr>
        <w:t>Recognising the breadth and complexity of the sector, MHA developed a nuanced definition of NGO mental health services as:</w:t>
      </w:r>
    </w:p>
    <w:p w14:paraId="36D644D5" w14:textId="71F4BCB1" w:rsidR="009C373F" w:rsidRPr="005D3877" w:rsidRDefault="00164CEB" w:rsidP="0026726D">
      <w:pPr>
        <w:rPr>
          <w:i/>
          <w:iCs/>
          <w:lang w:val="en-AU"/>
        </w:rPr>
      </w:pPr>
      <w:r>
        <w:rPr>
          <w:noProof/>
        </w:rPr>
        <mc:AlternateContent>
          <mc:Choice Requires="wps">
            <w:drawing>
              <wp:anchor distT="0" distB="0" distL="114300" distR="114300" simplePos="0" relativeHeight="251658299" behindDoc="1" locked="0" layoutInCell="1" allowOverlap="1" wp14:anchorId="7AAA457D" wp14:editId="63DE0AB6">
                <wp:simplePos x="0" y="0"/>
                <wp:positionH relativeFrom="page">
                  <wp:posOffset>-9223</wp:posOffset>
                </wp:positionH>
                <wp:positionV relativeFrom="page">
                  <wp:posOffset>4614</wp:posOffset>
                </wp:positionV>
                <wp:extent cx="7560000" cy="153909"/>
                <wp:effectExtent l="0" t="0" r="0" b="0"/>
                <wp:wrapNone/>
                <wp:docPr id="16398506" name="Rectangle 163985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1449639" id="Rectangle 16398506" o:spid="_x0000_s1026" alt="&quot;&quot;" style="position:absolute;margin-left:-.75pt;margin-top:.35pt;width:595.3pt;height:12.1pt;z-index:-25165818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" fillcolor="#008142 [3208]" stroked="f" strokeweight="1pt">
                <w10:wrap anchorx="page" anchory="page"/>
              </v:rect>
            </w:pict>
          </mc:Fallback>
        </mc:AlternateContent>
      </w:r>
      <w:r w:rsidR="009C373F" w:rsidRPr="00BE5FF4">
        <w:rPr>
          <w:i/>
          <w:iCs/>
          <w:lang w:val="en-AU"/>
        </w:rPr>
        <w:t>“…services delivered by private organisations (both not-for profit and for-profit) primarily intended to promote mental wellbeing, prevent mental ill-health and/or support people experiencing mental health challenges and their family, carers and kin. We note that it is often valuable to further differentiate between for-profit and not-for profit organisations.” </w:t>
      </w:r>
    </w:p>
    <w:p w14:paraId="178527DC" w14:textId="1145D147" w:rsidR="009C373F" w:rsidRPr="005D3877" w:rsidRDefault="009C373F" w:rsidP="0026726D">
      <w:pPr>
        <w:rPr>
          <w:lang w:val="en-AU"/>
        </w:rPr>
      </w:pPr>
      <w:r w:rsidRPr="00BE5FF4">
        <w:rPr>
          <w:lang w:val="en-AU"/>
        </w:rPr>
        <w:t xml:space="preserve">MHA’s definition was tested with stakeholders and adopted by the Commission as a working definition in this year’s Report Card. </w:t>
      </w:r>
      <w:r>
        <w:rPr>
          <w:lang w:val="en-AU"/>
        </w:rPr>
        <w:t>It</w:t>
      </w:r>
      <w:r w:rsidRPr="00BE5FF4">
        <w:rPr>
          <w:lang w:val="en-AU"/>
        </w:rPr>
        <w:t xml:space="preserve"> capture</w:t>
      </w:r>
      <w:r>
        <w:rPr>
          <w:lang w:val="en-AU"/>
        </w:rPr>
        <w:t>s</w:t>
      </w:r>
      <w:r w:rsidRPr="00BE5FF4">
        <w:rPr>
          <w:lang w:val="en-AU"/>
        </w:rPr>
        <w:t xml:space="preserve"> a broader range of generalist social service and disability organisations delivering mental health and psychosocial supports.</w:t>
      </w:r>
    </w:p>
    <w:p w14:paraId="6A56D439" w14:textId="3C033E8B" w:rsidR="009C373F" w:rsidRPr="00680635" w:rsidRDefault="009C373F" w:rsidP="00B56410">
      <w:pPr>
        <w:pStyle w:val="Heading3"/>
        <w:rPr>
          <w:lang w:eastAsia="en-AU"/>
        </w:rPr>
      </w:pPr>
      <w:r w:rsidRPr="00680635">
        <w:rPr>
          <w:lang w:eastAsia="en-AU"/>
        </w:rPr>
        <w:t xml:space="preserve">Reporting on mental health services delivered by NGOs </w:t>
      </w:r>
    </w:p>
    <w:p w14:paraId="666C3221" w14:textId="2C5C35E8" w:rsidR="00B56410" w:rsidRDefault="009C373F" w:rsidP="00007D3D">
      <w:pPr>
        <w:rPr>
          <w:lang w:val="en-AU"/>
        </w:rPr>
      </w:pPr>
      <w:r w:rsidRPr="009E6EC7">
        <w:t xml:space="preserve">MHA identified significant challenges in NGO mental health data collection and reporting. Data is largely driven by funding requirements, with limited national coordination and a strong focus on service activity rather than consumer outcomes and experiences. Workforce and resource constraints, alongside data collection across multiple sectors, further complicate reporting. While some NGOs collect additional data to support service improvement and understanding of consumer experience, this is generally not widely available or comparable across services. In addition, there is a need to better understand consumer experiences and outcomes across their full-service journey, rather than relying on measures taken </w:t>
      </w:r>
      <w:r>
        <w:t>primarily</w:t>
      </w:r>
      <w:r w:rsidRPr="009E6EC7">
        <w:t xml:space="preserve"> at entry and exit points.</w:t>
      </w:r>
      <w:r w:rsidRPr="009E6EC7" w:rsidDel="00947918">
        <w:rPr>
          <w:lang w:val="en-AU"/>
        </w:rPr>
        <w:t xml:space="preserve"> </w:t>
      </w:r>
    </w:p>
    <w:p w14:paraId="688CCF75" w14:textId="77777777" w:rsidR="00B56410" w:rsidRDefault="00B56410">
      <w:pPr>
        <w:suppressAutoHyphens w:val="0"/>
        <w:autoSpaceDE/>
        <w:autoSpaceDN/>
        <w:adjustRightInd/>
        <w:spacing w:after="0" w:line="240" w:lineRule="auto"/>
        <w:textAlignment w:val="auto"/>
        <w:rPr>
          <w:lang w:val="en-AU"/>
        </w:rPr>
      </w:pPr>
      <w:r>
        <w:rPr>
          <w:lang w:val="en-AU"/>
        </w:rPr>
        <w:br w:type="page"/>
      </w:r>
    </w:p>
    <w:p w14:paraId="44FCABEB" w14:textId="3C6FCE8C" w:rsidR="009C373F" w:rsidRPr="00680635" w:rsidRDefault="00D35A12" w:rsidP="00007D3D">
      <w:pPr>
        <w:rPr>
          <w:lang w:val="en-AU"/>
        </w:rPr>
      </w:pPr>
      <w:r w:rsidRPr="007A1964">
        <w:rPr>
          <w:rStyle w:val="FollowedHyperlink"/>
          <w:noProof/>
        </w:rPr>
        <w:lastRenderedPageBreak/>
        <mc:AlternateContent>
          <mc:Choice Requires="wps">
            <w:drawing>
              <wp:anchor distT="0" distB="0" distL="114300" distR="114300" simplePos="0" relativeHeight="251658341" behindDoc="1" locked="0" layoutInCell="1" allowOverlap="1" wp14:anchorId="3CC088DF" wp14:editId="4C8A1BF5">
                <wp:simplePos x="0" y="0"/>
                <wp:positionH relativeFrom="page">
                  <wp:posOffset>715617</wp:posOffset>
                </wp:positionH>
                <wp:positionV relativeFrom="page">
                  <wp:posOffset>1065475</wp:posOffset>
                </wp:positionV>
                <wp:extent cx="6215380" cy="4166483"/>
                <wp:effectExtent l="0" t="0" r="7620" b="12065"/>
                <wp:wrapNone/>
                <wp:docPr id="1190010135" name="Rectangle 11900101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15380" cy="4166483"/>
                        </a:xfrm>
                        <a:prstGeom prst="rect">
                          <a:avLst/>
                        </a:prstGeom>
                        <a:solidFill>
                          <a:srgbClr val="F9F9E5">
                            <a:alpha val="50196"/>
                          </a:srgbClr>
                        </a:solidFill>
                        <a:ln w="1270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E8F26" id="Rectangle 1190010135" o:spid="_x0000_s1026" alt="&quot;&quot;" style="position:absolute;margin-left:56.35pt;margin-top:83.9pt;width:489.4pt;height:328.05pt;z-index:-2516581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" fillcolor="#f9f9e5" strokecolor="#008142 [3208]" strokeweight="1pt">
                <v:fill opacity="32896f"/>
                <w10:wrap anchorx="page" anchory="page"/>
              </v:rect>
            </w:pict>
          </mc:Fallback>
        </mc:AlternateContent>
      </w:r>
      <w:r w:rsidR="007A3D91" w:rsidRPr="004A3613">
        <w:rPr>
          <w:noProof/>
          <w:color w:val="008142" w:themeColor="accent5"/>
        </w:rPr>
        <mc:AlternateContent>
          <mc:Choice Requires="wps">
            <w:drawing>
              <wp:anchor distT="0" distB="0" distL="114300" distR="114300" simplePos="0" relativeHeight="251658354" behindDoc="1" locked="0" layoutInCell="1" allowOverlap="1" wp14:anchorId="41EC8B72" wp14:editId="5D112CDA">
                <wp:simplePos x="0" y="0"/>
                <wp:positionH relativeFrom="page">
                  <wp:posOffset>19455</wp:posOffset>
                </wp:positionH>
                <wp:positionV relativeFrom="page">
                  <wp:posOffset>7444</wp:posOffset>
                </wp:positionV>
                <wp:extent cx="7560000" cy="153909"/>
                <wp:effectExtent l="0" t="0" r="0" b="0"/>
                <wp:wrapNone/>
                <wp:docPr id="346058868" name="Rectangle 3460588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F5123D3" id="Rectangle 346058868" o:spid="_x0000_s1026" alt="&quot;&quot;" style="position:absolute;margin-left:1.55pt;margin-top:.6pt;width:595.3pt;height:12.1pt;z-index:-2516581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" fillcolor="#008142 [3208]" stroked="f" strokeweight="1pt">
                <w10:wrap anchorx="page" anchory="page"/>
              </v:rect>
            </w:pict>
          </mc:Fallback>
        </mc:AlternateContent>
      </w:r>
    </w:p>
    <w:p w14:paraId="5FCC05B6" w14:textId="528B7387" w:rsidR="009C373F" w:rsidRPr="005D3877" w:rsidRDefault="009C373F" w:rsidP="00D50842">
      <w:pPr>
        <w:pStyle w:val="Heading3"/>
      </w:pPr>
      <w:r w:rsidRPr="005D3877">
        <w:t>How can we use evidence and insights for improved reporting? </w:t>
      </w:r>
    </w:p>
    <w:p w14:paraId="3103FC46" w14:textId="77777777" w:rsidR="009C373F" w:rsidRPr="00BE5FF4" w:rsidRDefault="009C373F" w:rsidP="00007D3D">
      <w:pPr>
        <w:rPr>
          <w:lang w:val="en-AU"/>
        </w:rPr>
      </w:pPr>
      <w:r w:rsidRPr="00BE5FF4">
        <w:rPr>
          <w:lang w:val="en-AU"/>
        </w:rPr>
        <w:t xml:space="preserve">Despite this challenging environment for NGOs to deliver consistent data and outcomes measures, MHA’s work identified examples of NGO data collections that represent components of service activity and some consumer outcomes. Where possible, MHA’s recommendations </w:t>
      </w:r>
      <w:r>
        <w:rPr>
          <w:lang w:val="en-AU"/>
        </w:rPr>
        <w:t>are being</w:t>
      </w:r>
      <w:r w:rsidRPr="00BE5FF4">
        <w:rPr>
          <w:lang w:val="en-AU"/>
        </w:rPr>
        <w:t xml:space="preserve"> </w:t>
      </w:r>
      <w:r>
        <w:rPr>
          <w:lang w:val="en-AU"/>
        </w:rPr>
        <w:t>incorporated into</w:t>
      </w:r>
      <w:r w:rsidRPr="00BE5FF4">
        <w:rPr>
          <w:lang w:val="en-AU"/>
        </w:rPr>
        <w:t xml:space="preserve"> this Report Card</w:t>
      </w:r>
      <w:r>
        <w:rPr>
          <w:lang w:val="en-AU"/>
        </w:rPr>
        <w:t xml:space="preserve"> or being considered for future Report Cards. This includes</w:t>
      </w:r>
      <w:r w:rsidRPr="00BE5FF4">
        <w:rPr>
          <w:lang w:val="en-AU"/>
        </w:rPr>
        <w:t>:</w:t>
      </w:r>
    </w:p>
    <w:p w14:paraId="562513BA" w14:textId="24CCF719" w:rsidR="009C373F" w:rsidRPr="00BE5FF4" w:rsidRDefault="009C373F" w:rsidP="000273BE">
      <w:pPr>
        <w:pStyle w:val="ListBullet"/>
        <w:rPr>
          <w:rFonts w:eastAsiaTheme="minorEastAsia"/>
        </w:rPr>
      </w:pPr>
      <w:r w:rsidRPr="00BE5FF4">
        <w:rPr>
          <w:rFonts w:eastAsiaTheme="minorEastAsia"/>
        </w:rPr>
        <w:t>Including data about eheadspace and headspace services (noting that</w:t>
      </w:r>
      <w:r w:rsidR="00007D3D">
        <w:t xml:space="preserve"> </w:t>
      </w:r>
      <w:r w:rsidRPr="00BE5FF4">
        <w:rPr>
          <w:rFonts w:eastAsiaTheme="minorEastAsia"/>
        </w:rPr>
        <w:t xml:space="preserve">this inclusion in the Report Card reflects data availability, rather than encompassing the full spectrum of service activity by other organisations in the NGO sector). </w:t>
      </w:r>
    </w:p>
    <w:p w14:paraId="6772A701" w14:textId="77777777" w:rsidR="009C373F" w:rsidRPr="00BE5FF4" w:rsidRDefault="009C373F" w:rsidP="000273BE">
      <w:pPr>
        <w:pStyle w:val="ListBullet"/>
        <w:rPr>
          <w:rFonts w:eastAsiaTheme="minorEastAsia"/>
        </w:rPr>
      </w:pPr>
      <w:r>
        <w:rPr>
          <w:rFonts w:eastAsiaTheme="minorEastAsia"/>
        </w:rPr>
        <w:t>Including d</w:t>
      </w:r>
      <w:r w:rsidRPr="00BE5FF4">
        <w:rPr>
          <w:rFonts w:eastAsiaTheme="minorEastAsia"/>
        </w:rPr>
        <w:t>ata about NDIS participants with psychosocial disability</w:t>
      </w:r>
      <w:r>
        <w:rPr>
          <w:rFonts w:eastAsiaTheme="minorEastAsia"/>
        </w:rPr>
        <w:t>.</w:t>
      </w:r>
      <w:r w:rsidRPr="00BE5FF4">
        <w:rPr>
          <w:rFonts w:eastAsiaTheme="minorEastAsia"/>
        </w:rPr>
        <w:t xml:space="preserve"> </w:t>
      </w:r>
    </w:p>
    <w:p w14:paraId="347DADE7" w14:textId="77777777" w:rsidR="009C373F" w:rsidRDefault="009C373F" w:rsidP="000273BE">
      <w:pPr>
        <w:pStyle w:val="ListBullet"/>
        <w:rPr>
          <w:rFonts w:eastAsiaTheme="minorEastAsia"/>
        </w:rPr>
      </w:pPr>
      <w:r w:rsidRPr="00BE5FF4">
        <w:rPr>
          <w:rFonts w:eastAsiaTheme="minorEastAsia"/>
        </w:rPr>
        <w:t xml:space="preserve">Ongoing work to address the gap in visibility of primary mental health and suicide prevention services. </w:t>
      </w:r>
    </w:p>
    <w:p w14:paraId="548536E8" w14:textId="4AAF7A49" w:rsidR="009C373F" w:rsidRDefault="009C373F" w:rsidP="000273BE">
      <w:pPr>
        <w:pStyle w:val="ListBullet"/>
        <w:rPr>
          <w:rFonts w:eastAsiaTheme="minorEastAsia"/>
        </w:rPr>
      </w:pPr>
      <w:r>
        <w:rPr>
          <w:rFonts w:eastAsiaTheme="minorEastAsia"/>
        </w:rPr>
        <w:t>C</w:t>
      </w:r>
      <w:r w:rsidRPr="00BE5FF4">
        <w:rPr>
          <w:rFonts w:eastAsiaTheme="minorEastAsia"/>
        </w:rPr>
        <w:t xml:space="preserve">ontinuing work with data custodians about feasibility of including data in the short and longer term. </w:t>
      </w:r>
      <w:r>
        <w:rPr>
          <w:rFonts w:eastAsiaTheme="minorEastAsia"/>
        </w:rPr>
        <w:t xml:space="preserve">This includes </w:t>
      </w:r>
      <w:r w:rsidRPr="00BE5FF4">
        <w:rPr>
          <w:rFonts w:eastAsiaTheme="minorEastAsia"/>
        </w:rPr>
        <w:t>MHA’s recommendation to include the Primary Mental Health Care Minimum Data Set (PMHC-MDS</w:t>
      </w:r>
      <w:r>
        <w:rPr>
          <w:rFonts w:eastAsiaTheme="minorEastAsia"/>
        </w:rPr>
        <w:t>)</w:t>
      </w:r>
      <w:r w:rsidRPr="00BE5FF4" w:rsidDel="00145873">
        <w:rPr>
          <w:rFonts w:eastAsiaTheme="minorEastAsia"/>
        </w:rPr>
        <w:t xml:space="preserve"> </w:t>
      </w:r>
      <w:r w:rsidRPr="00BE5FF4">
        <w:rPr>
          <w:rFonts w:eastAsiaTheme="minorEastAsia"/>
        </w:rPr>
        <w:t>as a key data source in the Report Card</w:t>
      </w:r>
      <w:r>
        <w:rPr>
          <w:rFonts w:eastAsiaTheme="minorEastAsia"/>
        </w:rPr>
        <w:t xml:space="preserve">. The PMHC-MDS </w:t>
      </w:r>
      <w:r w:rsidRPr="00BE5FF4">
        <w:rPr>
          <w:rFonts w:eastAsiaTheme="minorEastAsia"/>
        </w:rPr>
        <w:t xml:space="preserve">is the main collection measuring the activity and impact of mental health services commissioned by Primary Health Networks (PHNs). </w:t>
      </w:r>
    </w:p>
    <w:p w14:paraId="0CF97AEB" w14:textId="028A266E" w:rsidR="009C373F" w:rsidRPr="005D3877" w:rsidRDefault="009C373F" w:rsidP="00007D3D">
      <w:r w:rsidRPr="00326AE9">
        <w:t>The Commission’s approach will be guided by the need for national reporting to appropriately consider differences in local community contexts, funding, and workforce pressures, in consultation with data custodians.</w:t>
      </w:r>
    </w:p>
    <w:p w14:paraId="00C50548" w14:textId="77777777" w:rsidR="009D4202" w:rsidRPr="00F746C0" w:rsidRDefault="009C373F" w:rsidP="009D4202">
      <w:r w:rsidRPr="00BE5FF4">
        <w:t>Finally, the Commission supports MHA’s recommendation that expertise from people with lived experience of mental health challenges, their family, carers and kin should inform improvements in data collection and reporting</w:t>
      </w:r>
      <w:r>
        <w:t xml:space="preserve">. </w:t>
      </w:r>
      <w:r w:rsidRPr="00BE5FF4">
        <w:t>The Commission thanks MHA and their members for contributing invaluable insights and expertise to support future monitoring and reporting over time. For a full copy of MHA’s findings and recommendations, please refer to MHA’s fu</w:t>
      </w:r>
      <w:r w:rsidRPr="009D4202">
        <w:t xml:space="preserve">ll </w:t>
      </w:r>
      <w:r w:rsidRPr="007140DC">
        <w:t xml:space="preserve">report </w:t>
      </w:r>
      <w:hyperlink r:id="rId156" w:history="1">
        <w:r w:rsidR="009D4202" w:rsidRPr="007140DC">
          <w:rPr>
            <w:rStyle w:val="Hyperlink"/>
            <w:u w:val="none"/>
          </w:rPr>
          <w:t>https://www.mentalhealthaustralia.org.au/articles/research-projects/increasing-ngo-data-national-report-card-report/</w:t>
        </w:r>
      </w:hyperlink>
    </w:p>
    <w:p w14:paraId="7F270CC6" w14:textId="63B11647" w:rsidR="009C373F" w:rsidRPr="00BE0A2B" w:rsidRDefault="009C373F" w:rsidP="009C373F">
      <w:pPr>
        <w:suppressAutoHyphens w:val="0"/>
        <w:autoSpaceDE/>
        <w:autoSpaceDN/>
        <w:adjustRightInd/>
        <w:spacing w:after="0" w:line="240" w:lineRule="auto"/>
        <w:textAlignment w:val="auto"/>
        <w:rPr>
          <w:rFonts w:ascii="Aptos" w:eastAsiaTheme="majorEastAsia" w:hAnsi="Aptos" w:cstheme="majorBidi"/>
          <w:b/>
          <w:bCs/>
          <w:color w:val="008143"/>
          <w:sz w:val="22"/>
          <w:lang w:val="en-AU" w:eastAsia="en-AU"/>
        </w:rPr>
      </w:pPr>
    </w:p>
    <w:p w14:paraId="75F62B02" w14:textId="1BB09F00" w:rsidR="004D5138" w:rsidRDefault="005715B5">
      <w:pPr>
        <w:suppressAutoHyphens w:val="0"/>
        <w:autoSpaceDE/>
        <w:autoSpaceDN/>
        <w:adjustRightInd/>
        <w:spacing w:after="0" w:line="240" w:lineRule="auto"/>
        <w:textAlignment w:val="auto"/>
        <w:rPr>
          <w:rFonts w:eastAsiaTheme="majorEastAsia" w:cstheme="majorBidi"/>
          <w:color w:val="008143"/>
          <w:sz w:val="24"/>
          <w:szCs w:val="26"/>
          <w:lang w:eastAsia="en-AU"/>
        </w:rPr>
      </w:pPr>
      <w:r>
        <w:rPr>
          <w:rFonts w:eastAsiaTheme="majorEastAsia" w:cstheme="majorBidi"/>
          <w:noProof/>
          <w:sz w:val="24"/>
          <w:szCs w:val="26"/>
          <w:lang w:val="en-AU" w:eastAsia="en-AU"/>
        </w:rPr>
        <w:drawing>
          <wp:anchor distT="0" distB="0" distL="114300" distR="114300" simplePos="0" relativeHeight="251658359" behindDoc="1" locked="0" layoutInCell="1" allowOverlap="1" wp14:anchorId="7CC05B7F" wp14:editId="35E3E7EF">
            <wp:simplePos x="0" y="0"/>
            <wp:positionH relativeFrom="column">
              <wp:posOffset>-919480</wp:posOffset>
            </wp:positionH>
            <wp:positionV relativeFrom="paragraph">
              <wp:posOffset>793042</wp:posOffset>
            </wp:positionV>
            <wp:extent cx="7557770" cy="3958876"/>
            <wp:effectExtent l="0" t="0" r="0" b="3810"/>
            <wp:wrapNone/>
            <wp:docPr id="435824265" name="Pictur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824265" name="Picture 102">
                      <a:extLst>
                        <a:ext uri="{C183D7F6-B498-43B3-948B-1728B52AA6E4}">
                          <adec:decorative xmlns:adec="http://schemas.microsoft.com/office/drawing/2017/decorative" val="1"/>
                        </a:ext>
                      </a:extLst>
                    </pic:cNvPr>
                    <pic:cNvPicPr/>
                  </pic:nvPicPr>
                  <pic:blipFill rotWithShape="1">
                    <a:blip r:embed="rId157" cstate="print">
                      <a:extLst>
                        <a:ext uri="{28A0092B-C50C-407E-A947-70E740481C1C}">
                          <a14:useLocalDpi xmlns:a14="http://schemas.microsoft.com/office/drawing/2010/main" val="0"/>
                        </a:ext>
                      </a:extLst>
                    </a:blip>
                    <a:srcRect t="17099" b="4318"/>
                    <a:stretch>
                      <a:fillRect/>
                    </a:stretch>
                  </pic:blipFill>
                  <pic:spPr bwMode="auto">
                    <a:xfrm>
                      <a:off x="0" y="0"/>
                      <a:ext cx="7557770" cy="39588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5138">
        <w:br w:type="page"/>
      </w:r>
    </w:p>
    <w:p w14:paraId="182205E3" w14:textId="559A852E" w:rsidR="009C373F" w:rsidRPr="004E5D44" w:rsidRDefault="00D23ABD" w:rsidP="00ED0431">
      <w:pPr>
        <w:pStyle w:val="Heading2"/>
        <w:rPr>
          <w:color w:val="008142" w:themeColor="accent5"/>
        </w:rPr>
      </w:pPr>
      <w:r w:rsidRPr="009D015F">
        <w:rPr>
          <w:color w:val="5C626C"/>
          <w:lang w:val="en-AU"/>
        </w:rPr>
        <w:lastRenderedPageBreak/>
        <w:t>Theme</w:t>
      </w:r>
      <w:r>
        <w:rPr>
          <w:noProof/>
        </w:rPr>
        <w:t xml:space="preserve"> </w:t>
      </w:r>
      <w:r>
        <w:rPr>
          <w:noProof/>
        </w:rPr>
        <w:drawing>
          <wp:inline distT="0" distB="0" distL="0" distR="0" wp14:anchorId="2F12C932" wp14:editId="08FA3A34">
            <wp:extent cx="234095" cy="331470"/>
            <wp:effectExtent l="0" t="0" r="0" b="0"/>
            <wp:docPr id="1413795595"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95595" name="Graphic 189">
                      <a:extLst>
                        <a:ext uri="{C183D7F6-B498-43B3-948B-1728B52AA6E4}">
                          <adec:decorative xmlns:adec="http://schemas.microsoft.com/office/drawing/2017/decorative" val="1"/>
                        </a:ext>
                      </a:extLst>
                    </pic:cNvPr>
                    <pic:cNvPicPr/>
                  </pic:nvPicPr>
                  <pic:blipFill rotWithShape="1">
                    <a:blip r:embed="rId137">
                      <a:extLst>
                        <a:ext uri="{96DAC541-7B7A-43D3-8B79-37D633B846F1}">
                          <asvg:svgBlip xmlns:asvg="http://schemas.microsoft.com/office/drawing/2016/SVG/main" r:embed="rId138"/>
                        </a:ext>
                      </a:extLst>
                    </a:blip>
                    <a:srcRect l="25327" t="12625" r="24153" b="15841"/>
                    <a:stretch>
                      <a:fillRect/>
                    </a:stretch>
                  </pic:blipFill>
                  <pic:spPr bwMode="auto">
                    <a:xfrm>
                      <a:off x="0" y="0"/>
                      <a:ext cx="237395" cy="336143"/>
                    </a:xfrm>
                    <a:prstGeom prst="rect">
                      <a:avLst/>
                    </a:prstGeom>
                    <a:ln>
                      <a:noFill/>
                    </a:ln>
                    <a:extLst>
                      <a:ext uri="{53640926-AAD7-44D8-BBD7-CCE9431645EC}">
                        <a14:shadowObscured xmlns:a14="http://schemas.microsoft.com/office/drawing/2010/main"/>
                      </a:ext>
                    </a:extLst>
                  </pic:spPr>
                </pic:pic>
              </a:graphicData>
            </a:graphic>
          </wp:inline>
        </w:drawing>
      </w:r>
      <w:r>
        <w:rPr>
          <w:color w:val="C00000"/>
          <w:lang w:val="en-AU"/>
        </w:rPr>
        <w:t xml:space="preserve"> </w:t>
      </w:r>
      <w:r w:rsidR="00164CEB" w:rsidRPr="004E5D44">
        <w:rPr>
          <w:noProof/>
          <w:color w:val="008142" w:themeColor="accent5"/>
        </w:rPr>
        <mc:AlternateContent>
          <mc:Choice Requires="wps">
            <w:drawing>
              <wp:anchor distT="0" distB="0" distL="114300" distR="114300" simplePos="0" relativeHeight="251658300" behindDoc="1" locked="0" layoutInCell="1" allowOverlap="1" wp14:anchorId="52ADD870" wp14:editId="7A1528A4">
                <wp:simplePos x="0" y="0"/>
                <wp:positionH relativeFrom="page">
                  <wp:posOffset>9054</wp:posOffset>
                </wp:positionH>
                <wp:positionV relativeFrom="page">
                  <wp:posOffset>10380</wp:posOffset>
                </wp:positionV>
                <wp:extent cx="7560000" cy="153909"/>
                <wp:effectExtent l="0" t="0" r="0" b="0"/>
                <wp:wrapNone/>
                <wp:docPr id="938042829" name="Rectangle 9380428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9117E21" id="Rectangle 938042829" o:spid="_x0000_s1026" alt="&quot;&quot;" style="position:absolute;margin-left:.7pt;margin-top:.8pt;width:595.3pt;height:12.1pt;z-index:-2516581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" fillcolor="#008142 [3208]" stroked="f" strokeweight="1pt">
                <w10:wrap anchorx="page" anchory="page"/>
              </v:rect>
            </w:pict>
          </mc:Fallback>
        </mc:AlternateContent>
      </w:r>
      <w:r w:rsidR="009C373F" w:rsidRPr="004E5D44">
        <w:rPr>
          <w:color w:val="008142" w:themeColor="accent5"/>
        </w:rPr>
        <w:t>Continuity and integration of care</w:t>
      </w:r>
    </w:p>
    <w:p w14:paraId="6C4895FA" w14:textId="682D218D" w:rsidR="009C373F" w:rsidRPr="000A26FA" w:rsidRDefault="009C373F" w:rsidP="004E5D44">
      <w:r w:rsidRPr="000A26FA">
        <w:t>To understand this theme, we consider the following guiding questions:</w:t>
      </w:r>
    </w:p>
    <w:p w14:paraId="017B8043" w14:textId="4212BA55" w:rsidR="000A26FA" w:rsidRPr="000A26FA" w:rsidRDefault="0010288E" w:rsidP="000A26FA">
      <w:pPr>
        <w:pStyle w:val="GuidingQuestion"/>
      </w:pPr>
      <w:r>
        <w:rPr>
          <w:noProof/>
        </w:rPr>
        <w:drawing>
          <wp:inline distT="0" distB="0" distL="0" distR="0" wp14:anchorId="07E1F646" wp14:editId="20F91C72">
            <wp:extent cx="369631" cy="260916"/>
            <wp:effectExtent l="0" t="0" r="0" b="6350"/>
            <wp:docPr id="1835786243"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86243" name="Graphic 189">
                      <a:extLst>
                        <a:ext uri="{C183D7F6-B498-43B3-948B-1728B52AA6E4}">
                          <adec:decorative xmlns:adec="http://schemas.microsoft.com/office/drawing/2017/decorative" val="1"/>
                        </a:ext>
                      </a:extLst>
                    </pic:cNvPr>
                    <pic:cNvPicPr/>
                  </pic:nvPicPr>
                  <pic:blipFill>
                    <a:blip r:embed="rId127">
                      <a:extLst>
                        <a:ext uri="{96DAC541-7B7A-43D3-8B79-37D633B846F1}">
                          <asvg:svgBlip xmlns:asvg="http://schemas.microsoft.com/office/drawing/2016/SVG/main" r:embed="rId128"/>
                        </a:ext>
                      </a:extLst>
                    </a:blip>
                    <a:stretch>
                      <a:fillRect/>
                    </a:stretch>
                  </pic:blipFill>
                  <pic:spPr>
                    <a:xfrm>
                      <a:off x="0" y="0"/>
                      <a:ext cx="369631" cy="260916"/>
                    </a:xfrm>
                    <a:prstGeom prst="rect">
                      <a:avLst/>
                    </a:prstGeom>
                  </pic:spPr>
                </pic:pic>
              </a:graphicData>
            </a:graphic>
          </wp:inline>
        </w:drawing>
      </w:r>
      <w:r>
        <w:br/>
      </w:r>
      <w:r w:rsidR="009C373F" w:rsidRPr="000A26FA">
        <w:t>To what extent do consumers, carers, family and kin experience </w:t>
      </w:r>
      <w:r>
        <w:br/>
      </w:r>
      <w:r w:rsidR="009C373F" w:rsidRPr="000A26FA">
        <w:t>supported, connected navigation across all parts of their care journey? </w:t>
      </w:r>
    </w:p>
    <w:p w14:paraId="3C8CF813" w14:textId="6B418480" w:rsidR="009C373F" w:rsidRPr="001A0F7E" w:rsidRDefault="009C373F" w:rsidP="004E5D44">
      <w:pPr>
        <w:pStyle w:val="GuidingQuestion"/>
      </w:pPr>
      <w:r w:rsidRPr="001A0F7E">
        <w:t xml:space="preserve">To what extent do carers, family and kin experience connected </w:t>
      </w:r>
      <w:r w:rsidR="0010288E">
        <w:br/>
      </w:r>
      <w:r w:rsidRPr="001A0F7E">
        <w:t>navigation across all parts of the care journey of the people they support?</w:t>
      </w:r>
    </w:p>
    <w:p w14:paraId="0715B398" w14:textId="4B851058" w:rsidR="009C373F" w:rsidRDefault="006214A2" w:rsidP="00F25942">
      <w:pPr>
        <w:pStyle w:val="Heading3"/>
        <w:rPr>
          <w:lang w:eastAsia="en-AU"/>
        </w:rPr>
      </w:pPr>
      <w:r>
        <w:rPr>
          <w:noProof/>
        </w:rPr>
        <w:drawing>
          <wp:anchor distT="0" distB="0" distL="114300" distR="114300" simplePos="0" relativeHeight="251817102" behindDoc="0" locked="0" layoutInCell="1" allowOverlap="1" wp14:anchorId="396ADCFC" wp14:editId="65650D5B">
            <wp:simplePos x="0" y="0"/>
            <wp:positionH relativeFrom="column">
              <wp:posOffset>5206197</wp:posOffset>
            </wp:positionH>
            <wp:positionV relativeFrom="paragraph">
              <wp:posOffset>-290</wp:posOffset>
            </wp:positionV>
            <wp:extent cx="522605" cy="332740"/>
            <wp:effectExtent l="0" t="0" r="0" b="0"/>
            <wp:wrapSquare wrapText="bothSides"/>
            <wp:docPr id="93816866"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63720" name="Picture 100">
                      <a:extLst>
                        <a:ext uri="{C183D7F6-B498-43B3-948B-1728B52AA6E4}">
                          <adec:decorative xmlns:adec="http://schemas.microsoft.com/office/drawing/2017/decorative" val="1"/>
                        </a:ext>
                      </a:extLst>
                    </pic:cNvPr>
                    <pic:cNvPicPr/>
                  </pic:nvPicPr>
                  <pic:blipFill rotWithShape="1">
                    <a:blip r:embed="rId139">
                      <a:extLst>
                        <a:ext uri="{96DAC541-7B7A-43D3-8B79-37D633B846F1}">
                          <asvg:svgBlip xmlns:asvg="http://schemas.microsoft.com/office/drawing/2016/SVG/main" r:embed="rId140"/>
                        </a:ext>
                      </a:extLst>
                    </a:blip>
                    <a:srcRect l="6567" t="11818" r="1868" b="29856"/>
                    <a:stretch>
                      <a:fillRect/>
                    </a:stretch>
                  </pic:blipFill>
                  <pic:spPr bwMode="auto">
                    <a:xfrm>
                      <a:off x="0" y="0"/>
                      <a:ext cx="522605"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373F" w:rsidRPr="00074489">
        <w:rPr>
          <w:lang w:eastAsia="en-AU"/>
        </w:rPr>
        <w:t>The Commission draws on the following indicators:</w:t>
      </w:r>
    </w:p>
    <w:p w14:paraId="506DCEAB" w14:textId="0130D6BA" w:rsidR="00F25942" w:rsidRPr="00074489" w:rsidRDefault="006214A2" w:rsidP="004D5138">
      <w:pPr>
        <w:pStyle w:val="NormalBeforeBullet"/>
        <w:rPr>
          <w:lang w:eastAsia="en-AU"/>
        </w:rPr>
      </w:pPr>
      <w:r>
        <w:rPr>
          <w:noProof/>
        </w:rPr>
        <w:drawing>
          <wp:anchor distT="0" distB="0" distL="114300" distR="114300" simplePos="0" relativeHeight="251804814" behindDoc="0" locked="0" layoutInCell="1" allowOverlap="1" wp14:anchorId="69F71DD8" wp14:editId="4A1720E5">
            <wp:simplePos x="0" y="0"/>
            <wp:positionH relativeFrom="column">
              <wp:posOffset>-42545</wp:posOffset>
            </wp:positionH>
            <wp:positionV relativeFrom="paragraph">
              <wp:posOffset>159385</wp:posOffset>
            </wp:positionV>
            <wp:extent cx="262890" cy="262890"/>
            <wp:effectExtent l="0" t="0" r="3810" b="3810"/>
            <wp:wrapSquare wrapText="bothSides"/>
            <wp:docPr id="1481445942"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445942" name="Picture 100">
                      <a:extLst>
                        <a:ext uri="{C183D7F6-B498-43B3-948B-1728B52AA6E4}">
                          <adec:decorative xmlns:adec="http://schemas.microsoft.com/office/drawing/2017/decorative" val="1"/>
                        </a:ext>
                      </a:extLst>
                    </pic:cNvPr>
                    <pic:cNvPicPr/>
                  </pic:nvPicPr>
                  <pic:blipFill>
                    <a:blip r:embed="rId158">
                      <a:extLst>
                        <a:ext uri="{96DAC541-7B7A-43D3-8B79-37D633B846F1}">
                          <asvg:svgBlip xmlns:asvg="http://schemas.microsoft.com/office/drawing/2016/SVG/main" r:embed="rId159"/>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669774A8" w14:textId="57E02D3D" w:rsidR="009C373F" w:rsidRDefault="009C373F" w:rsidP="00F25942">
      <w:pPr>
        <w:pStyle w:val="ListBullet"/>
        <w:numPr>
          <w:ilvl w:val="0"/>
          <w:numId w:val="0"/>
        </w:numPr>
        <w:ind w:left="170" w:hanging="170"/>
      </w:pPr>
      <w:r w:rsidRPr="00E20DDC">
        <w:t xml:space="preserve">Community follow-up after hospitalisation for mental health </w:t>
      </w:r>
    </w:p>
    <w:p w14:paraId="41C5FD6C" w14:textId="5EA8CDBF" w:rsidR="00F25942" w:rsidRPr="00E20DDC" w:rsidRDefault="00F25942" w:rsidP="00F25942">
      <w:pPr>
        <w:pStyle w:val="ListBullet"/>
        <w:numPr>
          <w:ilvl w:val="0"/>
          <w:numId w:val="0"/>
        </w:numPr>
      </w:pPr>
    </w:p>
    <w:p w14:paraId="75BBE0F7" w14:textId="5F906EE0" w:rsidR="004D5138" w:rsidRPr="00F25942" w:rsidRDefault="00341C7A" w:rsidP="00F25942">
      <w:pPr>
        <w:pStyle w:val="ListBullet"/>
        <w:numPr>
          <w:ilvl w:val="0"/>
          <w:numId w:val="0"/>
        </w:numPr>
        <w:ind w:left="170" w:hanging="170"/>
      </w:pPr>
      <w:r>
        <w:rPr>
          <w:noProof/>
        </w:rPr>
        <w:drawing>
          <wp:anchor distT="0" distB="0" distL="114300" distR="114300" simplePos="0" relativeHeight="251761806" behindDoc="0" locked="0" layoutInCell="1" allowOverlap="1" wp14:anchorId="19EFC99E" wp14:editId="3C17145E">
            <wp:simplePos x="0" y="0"/>
            <wp:positionH relativeFrom="column">
              <wp:posOffset>-41910</wp:posOffset>
            </wp:positionH>
            <wp:positionV relativeFrom="paragraph">
              <wp:posOffset>34290</wp:posOffset>
            </wp:positionV>
            <wp:extent cx="262890" cy="262890"/>
            <wp:effectExtent l="0" t="0" r="3810" b="3810"/>
            <wp:wrapSquare wrapText="bothSides"/>
            <wp:docPr id="992705826"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r w:rsidR="009C373F" w:rsidRPr="00E20DDC">
        <w:t>Mental health workforce satisfaction rates (e.g. mental health workers, nurses, GPs, etc.)</w:t>
      </w:r>
      <w:r w:rsidR="00B1275D">
        <w:t xml:space="preserve"> </w:t>
      </w:r>
      <w:r>
        <w:br/>
      </w:r>
      <w:r w:rsidR="00B1275D" w:rsidRPr="004E5D44">
        <w:rPr>
          <w:b/>
          <w:bCs/>
          <w:color w:val="008142" w:themeColor="accent5"/>
        </w:rPr>
        <w:t>Identified data gap</w:t>
      </w:r>
    </w:p>
    <w:p w14:paraId="18D5B1E0" w14:textId="3101552C" w:rsidR="00F25942" w:rsidRPr="004D5138" w:rsidRDefault="00341C7A" w:rsidP="00F25942">
      <w:pPr>
        <w:pStyle w:val="ListBullet"/>
        <w:numPr>
          <w:ilvl w:val="0"/>
          <w:numId w:val="0"/>
        </w:numPr>
      </w:pPr>
      <w:r>
        <w:rPr>
          <w:noProof/>
        </w:rPr>
        <w:drawing>
          <wp:anchor distT="0" distB="0" distL="114300" distR="114300" simplePos="0" relativeHeight="251763854" behindDoc="0" locked="0" layoutInCell="1" allowOverlap="1" wp14:anchorId="2755A2CB" wp14:editId="32037A87">
            <wp:simplePos x="0" y="0"/>
            <wp:positionH relativeFrom="column">
              <wp:posOffset>-41910</wp:posOffset>
            </wp:positionH>
            <wp:positionV relativeFrom="paragraph">
              <wp:posOffset>134620</wp:posOffset>
            </wp:positionV>
            <wp:extent cx="262890" cy="262890"/>
            <wp:effectExtent l="0" t="0" r="3810" b="3810"/>
            <wp:wrapSquare wrapText="bothSides"/>
            <wp:docPr id="2048747158"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077BD2A9" w14:textId="630FFC6F" w:rsidR="009C373F" w:rsidRPr="00F25942" w:rsidRDefault="009C373F" w:rsidP="00F25942">
      <w:pPr>
        <w:pStyle w:val="ListBullet"/>
        <w:numPr>
          <w:ilvl w:val="0"/>
          <w:numId w:val="0"/>
        </w:numPr>
        <w:ind w:left="170" w:hanging="170"/>
      </w:pPr>
      <w:r w:rsidRPr="00E20DDC">
        <w:t>Proportion of consumers reporting supported navigation across their care journey</w:t>
      </w:r>
      <w:r w:rsidR="00B1275D" w:rsidRPr="00B1275D">
        <w:rPr>
          <w:b/>
          <w:bCs/>
        </w:rPr>
        <w:t xml:space="preserve"> </w:t>
      </w:r>
      <w:r w:rsidR="00993EAE" w:rsidRPr="009D015F">
        <w:rPr>
          <w:b/>
          <w:bCs/>
          <w:color w:val="008142" w:themeColor="accent5"/>
        </w:rPr>
        <w:t>Identified data gap</w:t>
      </w:r>
    </w:p>
    <w:p w14:paraId="43EF82AD" w14:textId="20FFC7D3" w:rsidR="00F25942" w:rsidRPr="00E20DDC" w:rsidRDefault="00341C7A" w:rsidP="00F25942">
      <w:pPr>
        <w:pStyle w:val="ListBullet"/>
        <w:numPr>
          <w:ilvl w:val="0"/>
          <w:numId w:val="0"/>
        </w:numPr>
      </w:pPr>
      <w:r>
        <w:rPr>
          <w:noProof/>
        </w:rPr>
        <w:drawing>
          <wp:anchor distT="0" distB="0" distL="114300" distR="114300" simplePos="0" relativeHeight="251765902" behindDoc="0" locked="0" layoutInCell="1" allowOverlap="1" wp14:anchorId="1D33CF71" wp14:editId="464C6A34">
            <wp:simplePos x="0" y="0"/>
            <wp:positionH relativeFrom="column">
              <wp:posOffset>-41910</wp:posOffset>
            </wp:positionH>
            <wp:positionV relativeFrom="paragraph">
              <wp:posOffset>132080</wp:posOffset>
            </wp:positionV>
            <wp:extent cx="262890" cy="262890"/>
            <wp:effectExtent l="0" t="0" r="3810" b="3810"/>
            <wp:wrapSquare wrapText="bothSides"/>
            <wp:docPr id="332487811"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344D50CC" w14:textId="71C3A485" w:rsidR="009C373F" w:rsidRPr="00F25942" w:rsidRDefault="009C373F" w:rsidP="00F25942">
      <w:pPr>
        <w:pStyle w:val="ListBullet"/>
        <w:numPr>
          <w:ilvl w:val="0"/>
          <w:numId w:val="0"/>
        </w:numPr>
        <w:ind w:left="170" w:hanging="170"/>
      </w:pPr>
      <w:r w:rsidRPr="00E20DDC">
        <w:t>Rate of discontinuing treatment services following referral</w:t>
      </w:r>
      <w:r w:rsidR="00B1275D" w:rsidRPr="00B1275D">
        <w:rPr>
          <w:b/>
          <w:bCs/>
        </w:rPr>
        <w:t xml:space="preserve"> </w:t>
      </w:r>
      <w:r w:rsidR="00993EAE" w:rsidRPr="009D015F">
        <w:rPr>
          <w:b/>
          <w:bCs/>
          <w:color w:val="008142" w:themeColor="accent5"/>
        </w:rPr>
        <w:t>Identified data gap</w:t>
      </w:r>
      <w:r w:rsidR="00993EAE" w:rsidRPr="008560E3" w:rsidDel="00993EAE">
        <w:rPr>
          <w:b/>
          <w:bCs/>
        </w:rPr>
        <w:t xml:space="preserve"> </w:t>
      </w:r>
    </w:p>
    <w:p w14:paraId="5ED0F254" w14:textId="657A01AD" w:rsidR="00F25942" w:rsidRPr="00E20DDC" w:rsidRDefault="00341C7A" w:rsidP="00F25942">
      <w:pPr>
        <w:pStyle w:val="ListBullet"/>
        <w:numPr>
          <w:ilvl w:val="0"/>
          <w:numId w:val="0"/>
        </w:numPr>
      </w:pPr>
      <w:r>
        <w:rPr>
          <w:noProof/>
        </w:rPr>
        <w:drawing>
          <wp:anchor distT="0" distB="0" distL="114300" distR="114300" simplePos="0" relativeHeight="251767950" behindDoc="0" locked="0" layoutInCell="1" allowOverlap="1" wp14:anchorId="2BF0541E" wp14:editId="19EF53B6">
            <wp:simplePos x="0" y="0"/>
            <wp:positionH relativeFrom="column">
              <wp:posOffset>-42545</wp:posOffset>
            </wp:positionH>
            <wp:positionV relativeFrom="paragraph">
              <wp:posOffset>135255</wp:posOffset>
            </wp:positionV>
            <wp:extent cx="262890" cy="262890"/>
            <wp:effectExtent l="0" t="0" r="3810" b="3810"/>
            <wp:wrapSquare wrapText="bothSides"/>
            <wp:docPr id="139413417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15216CD1" w14:textId="231BF46F" w:rsidR="009C373F" w:rsidRPr="00F25942" w:rsidRDefault="009C373F" w:rsidP="00F25942">
      <w:pPr>
        <w:pStyle w:val="ListBullet"/>
        <w:numPr>
          <w:ilvl w:val="0"/>
          <w:numId w:val="0"/>
        </w:numPr>
        <w:ind w:left="170" w:hanging="170"/>
      </w:pPr>
      <w:r w:rsidRPr="00E20DDC">
        <w:t>Rates of standardised assessment and referrals</w:t>
      </w:r>
      <w:r w:rsidR="00B1275D" w:rsidRPr="00B1275D">
        <w:rPr>
          <w:b/>
          <w:bCs/>
        </w:rPr>
        <w:t xml:space="preserve"> </w:t>
      </w:r>
      <w:r w:rsidR="00993EAE" w:rsidRPr="009D015F">
        <w:rPr>
          <w:b/>
          <w:bCs/>
          <w:color w:val="008142" w:themeColor="accent5"/>
        </w:rPr>
        <w:t>Identified data gap</w:t>
      </w:r>
      <w:r w:rsidR="00993EAE" w:rsidRPr="008560E3" w:rsidDel="00993EAE">
        <w:rPr>
          <w:b/>
          <w:bCs/>
        </w:rPr>
        <w:t xml:space="preserve"> </w:t>
      </w:r>
    </w:p>
    <w:p w14:paraId="7DA47BBC" w14:textId="7986E06E" w:rsidR="00F25942" w:rsidRPr="00E20DDC" w:rsidRDefault="00341C7A" w:rsidP="00F25942">
      <w:pPr>
        <w:pStyle w:val="ListBullet"/>
        <w:numPr>
          <w:ilvl w:val="0"/>
          <w:numId w:val="0"/>
        </w:numPr>
      </w:pPr>
      <w:r>
        <w:rPr>
          <w:noProof/>
        </w:rPr>
        <w:drawing>
          <wp:anchor distT="0" distB="0" distL="114300" distR="114300" simplePos="0" relativeHeight="251769998" behindDoc="0" locked="0" layoutInCell="1" allowOverlap="1" wp14:anchorId="1538AE6F" wp14:editId="0D6B1CDA">
            <wp:simplePos x="0" y="0"/>
            <wp:positionH relativeFrom="column">
              <wp:posOffset>-42545</wp:posOffset>
            </wp:positionH>
            <wp:positionV relativeFrom="paragraph">
              <wp:posOffset>133350</wp:posOffset>
            </wp:positionV>
            <wp:extent cx="262890" cy="262890"/>
            <wp:effectExtent l="0" t="0" r="3810" b="3810"/>
            <wp:wrapSquare wrapText="bothSides"/>
            <wp:docPr id="37104205"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3E584513" w14:textId="027D0259" w:rsidR="009C373F" w:rsidRPr="00F25942" w:rsidRDefault="009C373F" w:rsidP="00F25942">
      <w:pPr>
        <w:pStyle w:val="ListBullet"/>
        <w:numPr>
          <w:ilvl w:val="0"/>
          <w:numId w:val="0"/>
        </w:numPr>
        <w:ind w:left="170" w:hanging="170"/>
      </w:pPr>
      <w:r w:rsidRPr="00E20DDC">
        <w:t xml:space="preserve">Consumer and family rated measures of referral “warmth” </w:t>
      </w:r>
      <w:r w:rsidR="00993EAE" w:rsidRPr="009D015F">
        <w:rPr>
          <w:b/>
          <w:bCs/>
          <w:color w:val="008142" w:themeColor="accent5"/>
        </w:rPr>
        <w:t>Identified data gap</w:t>
      </w:r>
      <w:r w:rsidR="00993EAE" w:rsidRPr="008560E3" w:rsidDel="00993EAE">
        <w:rPr>
          <w:b/>
          <w:bCs/>
        </w:rPr>
        <w:t xml:space="preserve"> </w:t>
      </w:r>
    </w:p>
    <w:p w14:paraId="09C88AE6" w14:textId="77777777" w:rsidR="00F25942" w:rsidRPr="00E20DDC" w:rsidRDefault="00F25942" w:rsidP="00F25942">
      <w:pPr>
        <w:pStyle w:val="ListBullet"/>
        <w:numPr>
          <w:ilvl w:val="0"/>
          <w:numId w:val="0"/>
        </w:numPr>
      </w:pPr>
    </w:p>
    <w:p w14:paraId="5B5EB7C0" w14:textId="274F5B52" w:rsidR="009C373F" w:rsidRPr="00094B3E" w:rsidRDefault="009C373F" w:rsidP="00E20DDC">
      <w:r>
        <w:t>Monitoring and reporting on continuity and integration of care provides insight into how parts of the system are supporting consumers, family, carers and kin throughout their care journeys. As highlighted in our Accessibility theme, the service system is complex and at times, consumers and those who support them may be navigating care across and between multiple service types. I</w:t>
      </w:r>
      <w:r w:rsidRPr="00BE0A2B">
        <w:t xml:space="preserve">nterfaces and transitions between services, such as referral pathways and continuity of care, are critical points that shape how well the system operates holistically. </w:t>
      </w:r>
      <w:r>
        <w:t>W</w:t>
      </w:r>
      <w:r w:rsidRPr="00BE0A2B">
        <w:t xml:space="preserve">ork published in 2025 by SANE Australia and consortium partners </w:t>
      </w:r>
      <w:r>
        <w:t xml:space="preserve">highlights this, noting </w:t>
      </w:r>
      <w:r w:rsidRPr="00BE0A2B">
        <w:t>mental health services are delivered by multiple systems that are not well connected nor well explained by clear</w:t>
      </w:r>
      <w:r>
        <w:t xml:space="preserve"> </w:t>
      </w:r>
      <w:r w:rsidRPr="00BE0A2B">
        <w:t>navigation pathways.</w:t>
      </w:r>
      <w:r w:rsidRPr="00885FD2">
        <w:rPr>
          <w:rFonts w:eastAsia="Aptos Display" w:cs="Aptos Display"/>
          <w:vertAlign w:val="superscript"/>
        </w:rPr>
        <w:t xml:space="preserve"> </w:t>
      </w:r>
      <w:r w:rsidRPr="00BE0A2B">
        <w:rPr>
          <w:rFonts w:eastAsia="Aptos Display" w:cs="Aptos Display"/>
          <w:vertAlign w:val="superscript"/>
        </w:rPr>
        <w:endnoteReference w:id="145"/>
      </w:r>
      <w:r w:rsidRPr="00BE0A2B">
        <w:t xml:space="preserve"> This </w:t>
      </w:r>
      <w:r>
        <w:t>can make</w:t>
      </w:r>
      <w:r w:rsidRPr="00BE0A2B">
        <w:t xml:space="preserve"> it difficult for people to access timely support suited to their needs</w:t>
      </w:r>
      <w:r>
        <w:t>. Monitoring this complex theme will support us to better understand opportunities to improve experiences for people towards receiving and navigating connected care.</w:t>
      </w:r>
    </w:p>
    <w:p w14:paraId="5BBC3663" w14:textId="30CC6FAA" w:rsidR="009C373F" w:rsidRPr="00E20DDC" w:rsidRDefault="005C7D63" w:rsidP="009F46B4">
      <w:pPr>
        <w:pStyle w:val="Heading2"/>
        <w:rPr>
          <w:lang w:val="en-AU"/>
        </w:rPr>
      </w:pPr>
      <w:r>
        <w:rPr>
          <w:noProof/>
        </w:rPr>
        <w:drawing>
          <wp:inline distT="0" distB="0" distL="0" distR="0" wp14:anchorId="10DF2DE2" wp14:editId="64D0F85F">
            <wp:extent cx="387350" cy="387350"/>
            <wp:effectExtent l="0" t="0" r="6350" b="6350"/>
            <wp:docPr id="1234770316"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770316" name="Picture 100">
                      <a:extLst>
                        <a:ext uri="{C183D7F6-B498-43B3-948B-1728B52AA6E4}">
                          <adec:decorative xmlns:adec="http://schemas.microsoft.com/office/drawing/2017/decorative" val="1"/>
                        </a:ext>
                      </a:extLst>
                    </pic:cNvPr>
                    <pic:cNvPicPr/>
                  </pic:nvPicPr>
                  <pic:blipFill>
                    <a:blip r:embed="rId158">
                      <a:extLst>
                        <a:ext uri="{96DAC541-7B7A-43D3-8B79-37D633B846F1}">
                          <asvg:svgBlip xmlns:asvg="http://schemas.microsoft.com/office/drawing/2016/SVG/main" r:embed="rId159"/>
                        </a:ext>
                      </a:extLst>
                    </a:blip>
                    <a:stretch>
                      <a:fillRect/>
                    </a:stretch>
                  </pic:blipFill>
                  <pic:spPr>
                    <a:xfrm>
                      <a:off x="0" y="0"/>
                      <a:ext cx="387350" cy="387350"/>
                    </a:xfrm>
                    <a:prstGeom prst="rect">
                      <a:avLst/>
                    </a:prstGeom>
                  </pic:spPr>
                </pic:pic>
              </a:graphicData>
            </a:graphic>
          </wp:inline>
        </w:drawing>
      </w:r>
      <w:r>
        <w:t xml:space="preserve"> </w:t>
      </w:r>
      <w:r w:rsidR="009C373F" w:rsidRPr="00E20DDC">
        <w:rPr>
          <w:lang w:val="en-AU"/>
        </w:rPr>
        <w:t>Community follow-up after hospitalisation for mental health</w:t>
      </w:r>
    </w:p>
    <w:p w14:paraId="55DB5DDE" w14:textId="630D3BBA" w:rsidR="009C373F" w:rsidRPr="00E20DDC" w:rsidRDefault="009C373F" w:rsidP="00E20DDC">
      <w:r>
        <w:t>Following a person’s in-patient stay in hospital for a mental health-related need, they should receive within 7 days a follow-up interaction with a public community mental health team. Post-discharge community mental health care is a national performance indicator for mental health.</w:t>
      </w:r>
      <w:r>
        <w:rPr>
          <w:rStyle w:val="EndnoteReference"/>
          <w:rFonts w:ascii="Aptos" w:hAnsi="Aptos"/>
          <w:color w:val="171717" w:themeColor="background2" w:themeShade="1A"/>
          <w:sz w:val="22"/>
        </w:rPr>
        <w:endnoteReference w:id="146"/>
      </w:r>
      <w:r>
        <w:t xml:space="preserve"> Increasing rates of community follow-up after hospitalisation for mental health care can reflect that parts of the </w:t>
      </w:r>
      <w:r w:rsidRPr="005B64B9">
        <w:t xml:space="preserve">system </w:t>
      </w:r>
      <w:r>
        <w:t>are</w:t>
      </w:r>
      <w:r w:rsidRPr="005B64B9">
        <w:t xml:space="preserve"> providing continuity of care</w:t>
      </w:r>
      <w:r>
        <w:t xml:space="preserve"> in relation to transitions between hospital and community services.  </w:t>
      </w:r>
    </w:p>
    <w:p w14:paraId="1510E2E0" w14:textId="428E0E44" w:rsidR="009C373F" w:rsidRPr="00E20DDC" w:rsidRDefault="009C373F" w:rsidP="00E20DDC">
      <w:pPr>
        <w:rPr>
          <w:lang w:val="en-AU"/>
        </w:rPr>
      </w:pPr>
      <w:r>
        <w:rPr>
          <w:lang w:val="en-AU"/>
        </w:rPr>
        <w:t xml:space="preserve">The data presented below </w:t>
      </w:r>
      <w:r w:rsidRPr="00FB47CF">
        <w:rPr>
          <w:lang w:val="en-AU"/>
        </w:rPr>
        <w:t xml:space="preserve">captures activity within public </w:t>
      </w:r>
      <w:r>
        <w:rPr>
          <w:lang w:val="en-AU"/>
        </w:rPr>
        <w:t xml:space="preserve">community </w:t>
      </w:r>
      <w:r w:rsidRPr="00FB47CF">
        <w:rPr>
          <w:lang w:val="en-AU"/>
        </w:rPr>
        <w:t xml:space="preserve">mental health services only. Some people may </w:t>
      </w:r>
      <w:r>
        <w:rPr>
          <w:lang w:val="en-AU"/>
        </w:rPr>
        <w:t xml:space="preserve">choose to </w:t>
      </w:r>
      <w:r w:rsidRPr="00FB47CF">
        <w:rPr>
          <w:lang w:val="en-AU"/>
        </w:rPr>
        <w:t xml:space="preserve">receive follow-up care from a </w:t>
      </w:r>
      <w:r>
        <w:rPr>
          <w:lang w:val="en-AU"/>
        </w:rPr>
        <w:t>G</w:t>
      </w:r>
      <w:r w:rsidRPr="00FB47CF">
        <w:rPr>
          <w:lang w:val="en-AU"/>
        </w:rPr>
        <w:t xml:space="preserve">eneral </w:t>
      </w:r>
      <w:r>
        <w:rPr>
          <w:lang w:val="en-AU"/>
        </w:rPr>
        <w:t>P</w:t>
      </w:r>
      <w:r w:rsidRPr="00FB47CF">
        <w:rPr>
          <w:lang w:val="en-AU"/>
        </w:rPr>
        <w:t>ractitioner (GP) or private psychiatrist</w:t>
      </w:r>
      <w:r>
        <w:rPr>
          <w:lang w:val="en-AU"/>
        </w:rPr>
        <w:t xml:space="preserve"> instead</w:t>
      </w:r>
      <w:r w:rsidRPr="00FB47CF">
        <w:rPr>
          <w:lang w:val="en-AU"/>
        </w:rPr>
        <w:t>; these services are not included in the data presented</w:t>
      </w:r>
      <w:r>
        <w:rPr>
          <w:lang w:val="en-AU"/>
        </w:rPr>
        <w:t>.</w:t>
      </w:r>
    </w:p>
    <w:p w14:paraId="7A51CA4B" w14:textId="3DA8FC72" w:rsidR="009C373F" w:rsidRPr="003E508D" w:rsidRDefault="009C373F" w:rsidP="003E508D">
      <w:pPr>
        <w:rPr>
          <w:b/>
        </w:rPr>
      </w:pPr>
      <w:r w:rsidRPr="00BE0A2B">
        <w:t xml:space="preserve">The national rate for community follow-up within 7 days following hospitalisation </w:t>
      </w:r>
      <w:r w:rsidRPr="003C79EF">
        <w:rPr>
          <w:b/>
        </w:rPr>
        <w:t xml:space="preserve">has increased over time, from 67% in 2013-14 to 78% in 2023-24. </w:t>
      </w:r>
    </w:p>
    <w:p w14:paraId="2ECA8F44" w14:textId="1D8AA0F2" w:rsidR="009C373F" w:rsidRPr="00E20DDC" w:rsidRDefault="009C373F" w:rsidP="00E20DDC">
      <w:pPr>
        <w:pStyle w:val="NormalBeforeBullet"/>
      </w:pPr>
      <w:r w:rsidRPr="00E20DDC">
        <w:lastRenderedPageBreak/>
        <w:t>During 2023-24:</w:t>
      </w:r>
    </w:p>
    <w:p w14:paraId="2BE6EC76" w14:textId="428089BE" w:rsidR="009C373F" w:rsidRPr="00BE0A2B" w:rsidRDefault="009C373F" w:rsidP="00E20DDC">
      <w:pPr>
        <w:pStyle w:val="ListBullet"/>
      </w:pPr>
      <w:r w:rsidRPr="00BE0A2B">
        <w:t xml:space="preserve">The highest rate of community follow-up was seen for </w:t>
      </w:r>
      <w:r>
        <w:t>people</w:t>
      </w:r>
      <w:r w:rsidRPr="00BE0A2B">
        <w:t xml:space="preserve"> aged 65 years and older (82%) and the lowest for </w:t>
      </w:r>
      <w:r>
        <w:t>people</w:t>
      </w:r>
      <w:r w:rsidRPr="00BE0A2B">
        <w:t xml:space="preserve"> aged less than 25 years (76%). </w:t>
      </w:r>
    </w:p>
    <w:p w14:paraId="550A2CA7" w14:textId="6CA5233E" w:rsidR="009C373F" w:rsidRPr="00BE0A2B" w:rsidRDefault="009C373F" w:rsidP="00E20DDC">
      <w:pPr>
        <w:pStyle w:val="ListBullet"/>
      </w:pPr>
      <w:r w:rsidRPr="00BE0A2B">
        <w:t>Males had a lower rate (76%) compared with females (79%). </w:t>
      </w:r>
    </w:p>
    <w:p w14:paraId="355E5916" w14:textId="722B0F00" w:rsidR="009C373F" w:rsidRPr="00E20DDC" w:rsidRDefault="009C373F" w:rsidP="00E20DDC">
      <w:pPr>
        <w:pStyle w:val="ListBullet"/>
        <w:rPr>
          <w:color w:val="auto"/>
        </w:rPr>
      </w:pPr>
      <w:r>
        <w:t>Aboriginal and Torres Strait Islander</w:t>
      </w:r>
      <w:r w:rsidRPr="00BE0A2B">
        <w:t xml:space="preserve"> </w:t>
      </w:r>
      <w:r>
        <w:t>people</w:t>
      </w:r>
      <w:r w:rsidRPr="00BE0A2B">
        <w:t xml:space="preserve"> had a lower rate (73%) compared with non-Indigenous p</w:t>
      </w:r>
      <w:r>
        <w:t>eople</w:t>
      </w:r>
      <w:r w:rsidRPr="00BE0A2B">
        <w:t xml:space="preserve"> (78%). </w:t>
      </w:r>
    </w:p>
    <w:p w14:paraId="7F8C6A0C" w14:textId="6FABED96" w:rsidR="009C373F" w:rsidRPr="00E20DDC" w:rsidRDefault="009C373F" w:rsidP="00E20DDC">
      <w:r w:rsidRPr="00E20DDC">
        <w:t xml:space="preserve">Follow-up after hospitalisation provides partial insight in relation to transitions between hospital and community services. This measure does not tell us how effectively services communicate and coordinate care, what happens to people who do not receive follow-up, and how consumers experience referrals and transitions between services. </w:t>
      </w:r>
    </w:p>
    <w:p w14:paraId="48CD4306" w14:textId="534C5DFF" w:rsidR="009C373F" w:rsidRPr="004E5D44" w:rsidRDefault="00D23ABD" w:rsidP="009F46B4">
      <w:pPr>
        <w:pStyle w:val="Heading2"/>
        <w:rPr>
          <w:color w:val="008142" w:themeColor="accent5"/>
        </w:rPr>
      </w:pPr>
      <w:r w:rsidRPr="009D015F">
        <w:rPr>
          <w:color w:val="5C626C"/>
          <w:lang w:val="en-AU"/>
        </w:rPr>
        <w:t>Theme</w:t>
      </w:r>
      <w:r>
        <w:rPr>
          <w:noProof/>
        </w:rPr>
        <w:t xml:space="preserve"> </w:t>
      </w:r>
      <w:r>
        <w:rPr>
          <w:noProof/>
        </w:rPr>
        <w:drawing>
          <wp:inline distT="0" distB="0" distL="0" distR="0" wp14:anchorId="6E127468" wp14:editId="7452438D">
            <wp:extent cx="234095" cy="331470"/>
            <wp:effectExtent l="0" t="0" r="0" b="0"/>
            <wp:docPr id="571875368"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75368" name="Graphic 189">
                      <a:extLst>
                        <a:ext uri="{C183D7F6-B498-43B3-948B-1728B52AA6E4}">
                          <adec:decorative xmlns:adec="http://schemas.microsoft.com/office/drawing/2017/decorative" val="1"/>
                        </a:ext>
                      </a:extLst>
                    </pic:cNvPr>
                    <pic:cNvPicPr/>
                  </pic:nvPicPr>
                  <pic:blipFill rotWithShape="1">
                    <a:blip r:embed="rId137">
                      <a:extLst>
                        <a:ext uri="{96DAC541-7B7A-43D3-8B79-37D633B846F1}">
                          <asvg:svgBlip xmlns:asvg="http://schemas.microsoft.com/office/drawing/2016/SVG/main" r:embed="rId138"/>
                        </a:ext>
                      </a:extLst>
                    </a:blip>
                    <a:srcRect l="25327" t="12625" r="24153" b="15841"/>
                    <a:stretch>
                      <a:fillRect/>
                    </a:stretch>
                  </pic:blipFill>
                  <pic:spPr bwMode="auto">
                    <a:xfrm>
                      <a:off x="0" y="0"/>
                      <a:ext cx="234095" cy="331470"/>
                    </a:xfrm>
                    <a:prstGeom prst="rect">
                      <a:avLst/>
                    </a:prstGeom>
                    <a:ln>
                      <a:noFill/>
                    </a:ln>
                    <a:extLst>
                      <a:ext uri="{53640926-AAD7-44D8-BBD7-CCE9431645EC}">
                        <a14:shadowObscured xmlns:a14="http://schemas.microsoft.com/office/drawing/2010/main"/>
                      </a:ext>
                    </a:extLst>
                  </pic:spPr>
                </pic:pic>
              </a:graphicData>
            </a:graphic>
          </wp:inline>
        </w:drawing>
      </w:r>
      <w:r>
        <w:rPr>
          <w:color w:val="C00000"/>
          <w:lang w:val="en-AU"/>
        </w:rPr>
        <w:t xml:space="preserve"> </w:t>
      </w:r>
      <w:r w:rsidR="00164CEB" w:rsidRPr="00E67438">
        <w:rPr>
          <w:noProof/>
          <w:color w:val="008142" w:themeColor="accent5"/>
        </w:rPr>
        <mc:AlternateContent>
          <mc:Choice Requires="wps">
            <w:drawing>
              <wp:anchor distT="0" distB="0" distL="114300" distR="114300" simplePos="0" relativeHeight="251658301" behindDoc="1" locked="0" layoutInCell="1" allowOverlap="1" wp14:anchorId="67330B82" wp14:editId="3BD0BB56">
                <wp:simplePos x="0" y="0"/>
                <wp:positionH relativeFrom="page">
                  <wp:posOffset>8575</wp:posOffset>
                </wp:positionH>
                <wp:positionV relativeFrom="page">
                  <wp:posOffset>10788</wp:posOffset>
                </wp:positionV>
                <wp:extent cx="7560000" cy="153909"/>
                <wp:effectExtent l="0" t="0" r="0" b="0"/>
                <wp:wrapNone/>
                <wp:docPr id="351092408" name="Rectangle 3510924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CB8C9F1" id="Rectangle 351092408" o:spid="_x0000_s1026" alt="&quot;&quot;" style="position:absolute;margin-left:.7pt;margin-top:.85pt;width:595.3pt;height:12.1pt;z-index:-2516581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" fillcolor="#008142 [3208]" stroked="f" strokeweight="1pt">
                <w10:wrap anchorx="page" anchory="page"/>
              </v:rect>
            </w:pict>
          </mc:Fallback>
        </mc:AlternateContent>
      </w:r>
      <w:r w:rsidR="009C373F" w:rsidRPr="001E6317">
        <w:rPr>
          <w:color w:val="008142" w:themeColor="accent5"/>
        </w:rPr>
        <w:t>Continuity and integration of care - Indic</w:t>
      </w:r>
      <w:r w:rsidR="00477127" w:rsidRPr="001E6317">
        <w:rPr>
          <w:color w:val="008142" w:themeColor="accent5"/>
        </w:rPr>
        <w:t>a</w:t>
      </w:r>
      <w:r w:rsidR="009C373F" w:rsidRPr="001E6317">
        <w:rPr>
          <w:color w:val="008142" w:themeColor="accent5"/>
        </w:rPr>
        <w:t xml:space="preserve">tors with identified data gaps </w:t>
      </w:r>
    </w:p>
    <w:p w14:paraId="05910FFB" w14:textId="4BBD7958" w:rsidR="009C373F" w:rsidRPr="003C79EF" w:rsidRDefault="009C373F" w:rsidP="00E20DDC">
      <w:r>
        <w:t>Several indicators in this theme do not have robust, reliable national data sets on which to assess performance over time. These are explored below.</w:t>
      </w:r>
    </w:p>
    <w:tbl>
      <w:tblPr>
        <w:tblStyle w:val="TableGrid"/>
        <w:tblpPr w:leftFromText="180" w:rightFromText="180" w:vertAnchor="text" w:horzAnchor="margin" w:tblpY="103"/>
        <w:tblW w:w="0" w:type="auto"/>
        <w:tblBorders>
          <w:bottom w:val="single" w:sz="4" w:space="0" w:color="auto"/>
          <w:insideH w:val="single" w:sz="4" w:space="0" w:color="008142" w:themeColor="accent5"/>
        </w:tblBorders>
        <w:tblLook w:val="04A0" w:firstRow="1" w:lastRow="0" w:firstColumn="1" w:lastColumn="0" w:noHBand="0" w:noVBand="1"/>
      </w:tblPr>
      <w:tblGrid>
        <w:gridCol w:w="2694"/>
        <w:gridCol w:w="6322"/>
      </w:tblGrid>
      <w:tr w:rsidR="009C373F" w:rsidRPr="00074489" w14:paraId="4B1823A3" w14:textId="77777777" w:rsidTr="004E5D44">
        <w:trPr>
          <w:trHeight w:val="341"/>
        </w:trPr>
        <w:tc>
          <w:tcPr>
            <w:tcW w:w="2694" w:type="dxa"/>
          </w:tcPr>
          <w:p w14:paraId="291EB8A6" w14:textId="77777777" w:rsidR="009C373F" w:rsidRPr="00DE3039" w:rsidRDefault="009C373F" w:rsidP="007A3757">
            <w:pPr>
              <w:pStyle w:val="Heading3"/>
              <w:rPr>
                <w:color w:val="008142" w:themeColor="accent5"/>
              </w:rPr>
            </w:pPr>
            <w:r w:rsidRPr="00DE3039">
              <w:rPr>
                <w:color w:val="008142" w:themeColor="accent5"/>
              </w:rPr>
              <w:t xml:space="preserve">Indicators  </w:t>
            </w:r>
          </w:p>
        </w:tc>
        <w:tc>
          <w:tcPr>
            <w:tcW w:w="6322" w:type="dxa"/>
          </w:tcPr>
          <w:p w14:paraId="1A9E6F14" w14:textId="33BEEAA3" w:rsidR="009C373F" w:rsidRPr="00DE3039" w:rsidRDefault="009C373F" w:rsidP="007A3757">
            <w:pPr>
              <w:pStyle w:val="Heading3"/>
              <w:rPr>
                <w:color w:val="008142" w:themeColor="accent5"/>
              </w:rPr>
            </w:pPr>
            <w:r w:rsidRPr="00DE3039">
              <w:rPr>
                <w:color w:val="008142" w:themeColor="accent5"/>
              </w:rPr>
              <w:t xml:space="preserve">Why these indicators matter despite </w:t>
            </w:r>
            <w:r w:rsidR="000B7C1A" w:rsidRPr="00DE3039">
              <w:rPr>
                <w:color w:val="008142" w:themeColor="accent5"/>
              </w:rPr>
              <w:t>limited data</w:t>
            </w:r>
            <w:r w:rsidR="000B7C1A">
              <w:rPr>
                <w:color w:val="008142" w:themeColor="accent5"/>
              </w:rPr>
              <w:t xml:space="preserve"> </w:t>
            </w:r>
            <w:r w:rsidR="00AC166F">
              <w:rPr>
                <w:noProof/>
              </w:rPr>
              <w:drawing>
                <wp:inline distT="0" distB="0" distL="0" distR="0" wp14:anchorId="1D734BBD" wp14:editId="12A48642">
                  <wp:extent cx="232117" cy="232117"/>
                  <wp:effectExtent l="0" t="0" r="0" b="0"/>
                  <wp:docPr id="675491355" name="Graphic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491355" name="Graphic 182">
                            <a:extLst>
                              <a:ext uri="{C183D7F6-B498-43B3-948B-1728B52AA6E4}">
                                <adec:decorative xmlns:adec="http://schemas.microsoft.com/office/drawing/2017/decorative" val="1"/>
                              </a:ext>
                            </a:extLst>
                          </pic:cNvPr>
                          <pic:cNvPicPr/>
                        </pic:nvPicPr>
                        <pic:blipFill>
                          <a:blip r:embed="rId154">
                            <a:extLst>
                              <a:ext uri="{96DAC541-7B7A-43D3-8B79-37D633B846F1}">
                                <asvg:svgBlip xmlns:asvg="http://schemas.microsoft.com/office/drawing/2016/SVG/main" r:embed="rId155"/>
                              </a:ext>
                            </a:extLst>
                          </a:blip>
                          <a:stretch>
                            <a:fillRect/>
                          </a:stretch>
                        </pic:blipFill>
                        <pic:spPr>
                          <a:xfrm>
                            <a:off x="0" y="0"/>
                            <a:ext cx="247691" cy="247691"/>
                          </a:xfrm>
                          <a:prstGeom prst="rect">
                            <a:avLst/>
                          </a:prstGeom>
                        </pic:spPr>
                      </pic:pic>
                    </a:graphicData>
                  </a:graphic>
                </wp:inline>
              </w:drawing>
            </w:r>
          </w:p>
        </w:tc>
      </w:tr>
      <w:tr w:rsidR="009C373F" w:rsidRPr="00074489" w14:paraId="59ACC937" w14:textId="77777777" w:rsidTr="004E5D44">
        <w:trPr>
          <w:trHeight w:val="926"/>
        </w:trPr>
        <w:tc>
          <w:tcPr>
            <w:tcW w:w="2694" w:type="dxa"/>
          </w:tcPr>
          <w:p w14:paraId="781C0817" w14:textId="77777777" w:rsidR="009C373F" w:rsidRPr="00DE3039" w:rsidRDefault="009C373F" w:rsidP="004E5D44">
            <w:pPr>
              <w:pStyle w:val="Heading3"/>
              <w:spacing w:before="0" w:after="0"/>
              <w:rPr>
                <w:b w:val="0"/>
                <w:bCs/>
                <w:lang w:eastAsia="en-AU"/>
              </w:rPr>
            </w:pPr>
            <w:r w:rsidRPr="00DE3039">
              <w:rPr>
                <w:b w:val="0"/>
                <w:bCs/>
                <w:lang w:eastAsia="en-AU"/>
              </w:rPr>
              <w:t>Mental health workforce satisfaction rates (e.g. mental health workers, nurses, GPs, etc.)</w:t>
            </w:r>
          </w:p>
        </w:tc>
        <w:tc>
          <w:tcPr>
            <w:tcW w:w="6322" w:type="dxa"/>
          </w:tcPr>
          <w:p w14:paraId="666F5F6D" w14:textId="77777777" w:rsidR="009C373F" w:rsidRPr="003C79EF" w:rsidRDefault="009C373F" w:rsidP="00E20DDC">
            <w:pPr>
              <w:rPr>
                <w:rFonts w:eastAsiaTheme="minorEastAsia"/>
                <w:color w:val="171717" w:themeColor="background2" w:themeShade="1A"/>
                <w:sz w:val="22"/>
              </w:rPr>
            </w:pPr>
            <w:r w:rsidRPr="003C79EF">
              <w:rPr>
                <w:lang w:val="en-AU"/>
              </w:rPr>
              <w:t xml:space="preserve">The </w:t>
            </w:r>
            <w:r>
              <w:rPr>
                <w:lang w:val="en-AU"/>
              </w:rPr>
              <w:t>satisfaction and</w:t>
            </w:r>
            <w:r w:rsidRPr="003C79EF">
              <w:rPr>
                <w:lang w:val="en-AU"/>
              </w:rPr>
              <w:t xml:space="preserve"> wellbeing of the mental health workforce </w:t>
            </w:r>
            <w:r>
              <w:rPr>
                <w:lang w:val="en-AU"/>
              </w:rPr>
              <w:t>are</w:t>
            </w:r>
            <w:r w:rsidRPr="003C79EF">
              <w:rPr>
                <w:lang w:val="en-AU"/>
              </w:rPr>
              <w:t xml:space="preserve"> critical</w:t>
            </w:r>
            <w:r>
              <w:rPr>
                <w:lang w:val="en-AU"/>
              </w:rPr>
              <w:t xml:space="preserve"> for workforce retention,</w:t>
            </w:r>
            <w:r>
              <w:rPr>
                <w:rStyle w:val="EndnoteReference"/>
                <w:rFonts w:ascii="Aptos" w:hAnsi="Aptos"/>
                <w:sz w:val="20"/>
                <w:szCs w:val="20"/>
                <w:lang w:val="en-AU"/>
              </w:rPr>
              <w:endnoteReference w:id="147"/>
            </w:r>
            <w:r w:rsidRPr="003C79EF">
              <w:rPr>
                <w:lang w:val="en-AU"/>
              </w:rPr>
              <w:t xml:space="preserve"> </w:t>
            </w:r>
            <w:r>
              <w:rPr>
                <w:lang w:val="en-AU"/>
              </w:rPr>
              <w:t xml:space="preserve">and </w:t>
            </w:r>
            <w:r w:rsidRPr="003C79EF">
              <w:rPr>
                <w:lang w:val="en-AU"/>
              </w:rPr>
              <w:t>to sustain a connected system of care</w:t>
            </w:r>
            <w:r>
              <w:rPr>
                <w:lang w:val="en-AU"/>
              </w:rPr>
              <w:t>.</w:t>
            </w:r>
            <w:r w:rsidRPr="003C79EF">
              <w:rPr>
                <w:lang w:val="en-AU"/>
              </w:rPr>
              <w:t xml:space="preserve"> </w:t>
            </w:r>
            <w:r>
              <w:rPr>
                <w:lang w:val="en-AU"/>
              </w:rPr>
              <w:t>However, national data on workforce satisfaction over time remains limited.</w:t>
            </w:r>
            <w:r w:rsidRPr="003C79EF">
              <w:rPr>
                <w:color w:val="171717" w:themeColor="background2" w:themeShade="1A"/>
                <w:sz w:val="24"/>
                <w:szCs w:val="24"/>
                <w:highlight w:val="yellow"/>
              </w:rPr>
              <w:t xml:space="preserve"> </w:t>
            </w:r>
          </w:p>
        </w:tc>
      </w:tr>
      <w:tr w:rsidR="009C373F" w:rsidRPr="00074489" w14:paraId="3EE3756E" w14:textId="77777777" w:rsidTr="004E5D44">
        <w:tc>
          <w:tcPr>
            <w:tcW w:w="2694" w:type="dxa"/>
          </w:tcPr>
          <w:p w14:paraId="54B01D0B" w14:textId="77777777" w:rsidR="009C373F" w:rsidRPr="00DE3039" w:rsidRDefault="009C373F" w:rsidP="004E5D44">
            <w:pPr>
              <w:pStyle w:val="Heading3"/>
              <w:spacing w:before="0"/>
              <w:rPr>
                <w:b w:val="0"/>
                <w:bCs/>
                <w:lang w:eastAsia="en-AU"/>
              </w:rPr>
            </w:pPr>
            <w:r w:rsidRPr="00DE3039">
              <w:rPr>
                <w:b w:val="0"/>
                <w:bCs/>
                <w:lang w:eastAsia="en-AU"/>
              </w:rPr>
              <w:t>Proportion of consumers reporting supported navigation across their care journey</w:t>
            </w:r>
          </w:p>
        </w:tc>
        <w:tc>
          <w:tcPr>
            <w:tcW w:w="6322" w:type="dxa"/>
          </w:tcPr>
          <w:p w14:paraId="03571594" w14:textId="77777777" w:rsidR="009C373F" w:rsidRPr="00074489" w:rsidRDefault="009C373F" w:rsidP="00E20DDC">
            <w:r>
              <w:t xml:space="preserve">Although some national initiatives are underway to help people navigate services and find timely support, it is difficult to assess how effectively these tools support navigation based on data available. </w:t>
            </w:r>
          </w:p>
        </w:tc>
      </w:tr>
      <w:tr w:rsidR="009C373F" w:rsidRPr="00074489" w14:paraId="5B7FA423" w14:textId="77777777" w:rsidTr="004E5D44">
        <w:trPr>
          <w:trHeight w:val="408"/>
        </w:trPr>
        <w:tc>
          <w:tcPr>
            <w:tcW w:w="2694" w:type="dxa"/>
          </w:tcPr>
          <w:p w14:paraId="371CCC50" w14:textId="77777777" w:rsidR="009C373F" w:rsidRPr="00DE3039" w:rsidRDefault="009C373F" w:rsidP="004E5D44">
            <w:pPr>
              <w:pStyle w:val="Heading3"/>
              <w:spacing w:before="0"/>
              <w:rPr>
                <w:b w:val="0"/>
                <w:bCs/>
                <w:lang w:eastAsia="en-AU"/>
              </w:rPr>
            </w:pPr>
            <w:r w:rsidRPr="00DE3039">
              <w:rPr>
                <w:b w:val="0"/>
                <w:bCs/>
                <w:lang w:eastAsia="en-AU"/>
              </w:rPr>
              <w:t>Rate of discontinuing treatment services following referral</w:t>
            </w:r>
          </w:p>
        </w:tc>
        <w:tc>
          <w:tcPr>
            <w:tcW w:w="6322" w:type="dxa"/>
          </w:tcPr>
          <w:p w14:paraId="66D6DA40" w14:textId="77777777" w:rsidR="009C373F" w:rsidRPr="00074489" w:rsidRDefault="009C373F" w:rsidP="00E20DDC">
            <w:pPr>
              <w:rPr>
                <w:rFonts w:eastAsiaTheme="minorEastAsia"/>
                <w:color w:val="171717" w:themeColor="background2" w:themeShade="1A"/>
                <w:highlight w:val="yellow"/>
              </w:rPr>
            </w:pPr>
            <w:r>
              <w:rPr>
                <w:lang w:val="en-AU"/>
              </w:rPr>
              <w:t xml:space="preserve">Understanding the extent to which people discontinue </w:t>
            </w:r>
            <w:r w:rsidRPr="003C79EF">
              <w:rPr>
                <w:lang w:val="en-AU"/>
              </w:rPr>
              <w:t xml:space="preserve">treatment </w:t>
            </w:r>
            <w:r>
              <w:rPr>
                <w:lang w:val="en-AU"/>
              </w:rPr>
              <w:t xml:space="preserve">or </w:t>
            </w:r>
            <w:r w:rsidRPr="003C79EF">
              <w:rPr>
                <w:lang w:val="en-AU"/>
              </w:rPr>
              <w:t>disengage following referral</w:t>
            </w:r>
            <w:r>
              <w:rPr>
                <w:lang w:val="en-AU"/>
              </w:rPr>
              <w:t xml:space="preserve">, and the factors that can influence this disengagement, can help support service and process improvements. These factors are not easily measurable. </w:t>
            </w:r>
          </w:p>
        </w:tc>
      </w:tr>
      <w:tr w:rsidR="009C373F" w:rsidRPr="00074489" w14:paraId="0536C5E4" w14:textId="77777777" w:rsidTr="004E5D44">
        <w:trPr>
          <w:trHeight w:val="862"/>
        </w:trPr>
        <w:tc>
          <w:tcPr>
            <w:tcW w:w="2694" w:type="dxa"/>
            <w:tcBorders>
              <w:bottom w:val="single" w:sz="4" w:space="0" w:color="008142" w:themeColor="accent5"/>
            </w:tcBorders>
          </w:tcPr>
          <w:p w14:paraId="4AC8B937" w14:textId="77777777" w:rsidR="009C373F" w:rsidRPr="00DE3039" w:rsidRDefault="009C373F" w:rsidP="004E5D44">
            <w:pPr>
              <w:pStyle w:val="Heading3"/>
              <w:spacing w:before="0"/>
              <w:rPr>
                <w:b w:val="0"/>
                <w:bCs/>
                <w:lang w:eastAsia="en-AU"/>
              </w:rPr>
            </w:pPr>
            <w:r w:rsidRPr="00DE3039">
              <w:rPr>
                <w:b w:val="0"/>
                <w:bCs/>
                <w:lang w:eastAsia="en-AU"/>
              </w:rPr>
              <w:t>Rates of standardised assessment and referrals</w:t>
            </w:r>
          </w:p>
        </w:tc>
        <w:tc>
          <w:tcPr>
            <w:tcW w:w="6322" w:type="dxa"/>
            <w:tcBorders>
              <w:bottom w:val="single" w:sz="4" w:space="0" w:color="008142" w:themeColor="accent5"/>
            </w:tcBorders>
          </w:tcPr>
          <w:p w14:paraId="11765F68" w14:textId="77777777" w:rsidR="009C373F" w:rsidRPr="003C79EF" w:rsidRDefault="009C373F" w:rsidP="00E20DDC">
            <w:pPr>
              <w:rPr>
                <w:lang w:val="en-AU"/>
              </w:rPr>
            </w:pPr>
            <w:r w:rsidRPr="003C79EF">
              <w:rPr>
                <w:lang w:val="en-AU"/>
              </w:rPr>
              <w:t xml:space="preserve">Greater understanding of assessment and referral information and how they are used to support consumers’ journey through care is </w:t>
            </w:r>
            <w:r w:rsidRPr="001C0D3B">
              <w:rPr>
                <w:lang w:val="en-AU"/>
              </w:rPr>
              <w:t>important but</w:t>
            </w:r>
            <w:r w:rsidRPr="003C79EF">
              <w:rPr>
                <w:lang w:val="en-AU"/>
              </w:rPr>
              <w:t xml:space="preserve"> challenging to understand from the data currently available. </w:t>
            </w:r>
          </w:p>
        </w:tc>
      </w:tr>
      <w:tr w:rsidR="009C373F" w:rsidRPr="00074489" w14:paraId="19E227A8" w14:textId="77777777" w:rsidTr="004E5D44">
        <w:tc>
          <w:tcPr>
            <w:tcW w:w="2694" w:type="dxa"/>
            <w:tcBorders>
              <w:top w:val="single" w:sz="4" w:space="0" w:color="008142" w:themeColor="accent5"/>
              <w:bottom w:val="single" w:sz="4" w:space="0" w:color="008142" w:themeColor="accent5"/>
            </w:tcBorders>
          </w:tcPr>
          <w:p w14:paraId="21527CA5" w14:textId="77777777" w:rsidR="009C373F" w:rsidRPr="00DE3039" w:rsidRDefault="009C373F" w:rsidP="004E5D44">
            <w:pPr>
              <w:pStyle w:val="Heading3"/>
              <w:spacing w:before="0"/>
              <w:rPr>
                <w:b w:val="0"/>
                <w:bCs/>
                <w:lang w:eastAsia="en-AU"/>
              </w:rPr>
            </w:pPr>
            <w:r w:rsidRPr="00DE3039">
              <w:rPr>
                <w:b w:val="0"/>
                <w:bCs/>
                <w:lang w:eastAsia="en-AU"/>
              </w:rPr>
              <w:t>Consumer and family rated measures of referral “warmth”</w:t>
            </w:r>
          </w:p>
        </w:tc>
        <w:tc>
          <w:tcPr>
            <w:tcW w:w="6322" w:type="dxa"/>
            <w:tcBorders>
              <w:top w:val="single" w:sz="4" w:space="0" w:color="008142" w:themeColor="accent5"/>
              <w:bottom w:val="single" w:sz="4" w:space="0" w:color="008142" w:themeColor="accent5"/>
            </w:tcBorders>
          </w:tcPr>
          <w:p w14:paraId="74847DFC" w14:textId="77777777" w:rsidR="009C373F" w:rsidRPr="00074489" w:rsidRDefault="009C373F" w:rsidP="00E20DDC">
            <w:r>
              <w:t>Warm, supported referrals between different services and parts of the system are an important indicator of continuity of care, but not currently measured.</w:t>
            </w:r>
          </w:p>
        </w:tc>
      </w:tr>
    </w:tbl>
    <w:p w14:paraId="14181C4B" w14:textId="2DFC6DC2" w:rsidR="009C373F" w:rsidRDefault="009C373F" w:rsidP="009C373F">
      <w:pPr>
        <w:suppressAutoHyphens w:val="0"/>
        <w:autoSpaceDE/>
        <w:autoSpaceDN/>
        <w:adjustRightInd/>
        <w:spacing w:after="0" w:line="240" w:lineRule="auto"/>
        <w:contextualSpacing/>
        <w:textAlignment w:val="auto"/>
        <w:rPr>
          <w:rFonts w:ascii="Aptos" w:hAnsi="Aptos"/>
          <w:sz w:val="22"/>
        </w:rPr>
      </w:pPr>
    </w:p>
    <w:p w14:paraId="7C022EED" w14:textId="197E12B0" w:rsidR="009C373F" w:rsidRPr="00E20DDC" w:rsidRDefault="009C373F" w:rsidP="00E20DDC">
      <w:pPr>
        <w:rPr>
          <w:highlight w:val="yellow"/>
          <w:lang w:val="en-AU" w:eastAsia="en-AU"/>
        </w:rPr>
      </w:pPr>
      <w:r w:rsidRPr="00E20DDC">
        <w:t>As noted previously, the Commission is working with data custodians to make the best use of available data and on opportunities to build understanding over time.</w:t>
      </w:r>
    </w:p>
    <w:p w14:paraId="6ECD012C" w14:textId="02E9D89E" w:rsidR="00FF39F5" w:rsidRDefault="00FF39F5">
      <w:pPr>
        <w:suppressAutoHyphens w:val="0"/>
        <w:autoSpaceDE/>
        <w:autoSpaceDN/>
        <w:adjustRightInd/>
        <w:spacing w:after="0" w:line="240" w:lineRule="auto"/>
        <w:textAlignment w:val="auto"/>
        <w:rPr>
          <w:rFonts w:eastAsiaTheme="majorEastAsia" w:cstheme="majorBidi"/>
          <w:color w:val="008143"/>
          <w:sz w:val="24"/>
          <w:szCs w:val="26"/>
          <w:lang w:eastAsia="en-AU"/>
        </w:rPr>
      </w:pPr>
      <w:r>
        <w:br w:type="page"/>
      </w:r>
    </w:p>
    <w:p w14:paraId="7A8F32A1" w14:textId="263F18A0" w:rsidR="009C373F" w:rsidRPr="004E5D44" w:rsidRDefault="00EC156F" w:rsidP="009F46B4">
      <w:pPr>
        <w:pStyle w:val="Heading2"/>
        <w:rPr>
          <w:color w:val="008142" w:themeColor="accent5"/>
        </w:rPr>
      </w:pPr>
      <w:r w:rsidRPr="009D015F">
        <w:rPr>
          <w:color w:val="5C626C"/>
          <w:lang w:val="en-AU"/>
        </w:rPr>
        <w:lastRenderedPageBreak/>
        <w:t>Theme</w:t>
      </w:r>
      <w:r>
        <w:rPr>
          <w:noProof/>
        </w:rPr>
        <w:t xml:space="preserve"> </w:t>
      </w:r>
      <w:r>
        <w:rPr>
          <w:noProof/>
        </w:rPr>
        <w:drawing>
          <wp:inline distT="0" distB="0" distL="0" distR="0" wp14:anchorId="429B50D2" wp14:editId="45187828">
            <wp:extent cx="234095" cy="331470"/>
            <wp:effectExtent l="0" t="0" r="0" b="0"/>
            <wp:docPr id="2089032878"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032878" name="Graphic 189">
                      <a:extLst>
                        <a:ext uri="{C183D7F6-B498-43B3-948B-1728B52AA6E4}">
                          <adec:decorative xmlns:adec="http://schemas.microsoft.com/office/drawing/2017/decorative" val="1"/>
                        </a:ext>
                      </a:extLst>
                    </pic:cNvPr>
                    <pic:cNvPicPr/>
                  </pic:nvPicPr>
                  <pic:blipFill rotWithShape="1">
                    <a:blip r:embed="rId137">
                      <a:extLst>
                        <a:ext uri="{96DAC541-7B7A-43D3-8B79-37D633B846F1}">
                          <asvg:svgBlip xmlns:asvg="http://schemas.microsoft.com/office/drawing/2016/SVG/main" r:embed="rId138"/>
                        </a:ext>
                      </a:extLst>
                    </a:blip>
                    <a:srcRect l="25327" t="12625" r="24153" b="15841"/>
                    <a:stretch>
                      <a:fillRect/>
                    </a:stretch>
                  </pic:blipFill>
                  <pic:spPr bwMode="auto">
                    <a:xfrm>
                      <a:off x="0" y="0"/>
                      <a:ext cx="237395" cy="336143"/>
                    </a:xfrm>
                    <a:prstGeom prst="rect">
                      <a:avLst/>
                    </a:prstGeom>
                    <a:ln>
                      <a:noFill/>
                    </a:ln>
                    <a:extLst>
                      <a:ext uri="{53640926-AAD7-44D8-BBD7-CCE9431645EC}">
                        <a14:shadowObscured xmlns:a14="http://schemas.microsoft.com/office/drawing/2010/main"/>
                      </a:ext>
                    </a:extLst>
                  </pic:spPr>
                </pic:pic>
              </a:graphicData>
            </a:graphic>
          </wp:inline>
        </w:drawing>
      </w:r>
      <w:r>
        <w:rPr>
          <w:color w:val="C00000"/>
          <w:lang w:val="en-AU"/>
        </w:rPr>
        <w:t xml:space="preserve"> </w:t>
      </w:r>
      <w:r w:rsidR="00164CEB" w:rsidRPr="00E67438">
        <w:rPr>
          <w:noProof/>
          <w:color w:val="008142" w:themeColor="accent5"/>
        </w:rPr>
        <mc:AlternateContent>
          <mc:Choice Requires="wps">
            <w:drawing>
              <wp:anchor distT="0" distB="0" distL="114300" distR="114300" simplePos="0" relativeHeight="251658302" behindDoc="1" locked="0" layoutInCell="1" allowOverlap="1" wp14:anchorId="3DA743B8" wp14:editId="34741FF7">
                <wp:simplePos x="0" y="0"/>
                <wp:positionH relativeFrom="page">
                  <wp:posOffset>-9053</wp:posOffset>
                </wp:positionH>
                <wp:positionV relativeFrom="page">
                  <wp:posOffset>10380</wp:posOffset>
                </wp:positionV>
                <wp:extent cx="7560000" cy="153909"/>
                <wp:effectExtent l="0" t="0" r="0" b="0"/>
                <wp:wrapNone/>
                <wp:docPr id="548683355" name="Rectangle 5486833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E0DC77B" id="Rectangle 548683355" o:spid="_x0000_s1026" alt="&quot;&quot;" style="position:absolute;margin-left:-.7pt;margin-top:.8pt;width:595.3pt;height:12.1pt;z-index:-2516581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" fillcolor="#008142 [3208]" stroked="f" strokeweight="1pt">
                <w10:wrap anchorx="page" anchory="page"/>
              </v:rect>
            </w:pict>
          </mc:Fallback>
        </mc:AlternateContent>
      </w:r>
      <w:r w:rsidR="009C373F" w:rsidRPr="00F84FFF">
        <w:rPr>
          <w:color w:val="008142" w:themeColor="accent5"/>
        </w:rPr>
        <w:t xml:space="preserve">Safety and quality </w:t>
      </w:r>
    </w:p>
    <w:p w14:paraId="6296546E" w14:textId="5DA0896A" w:rsidR="009C373F" w:rsidRPr="00E20DDC" w:rsidRDefault="009C373F" w:rsidP="00E35D14">
      <w:pPr>
        <w:rPr>
          <w:rStyle w:val="superscript"/>
        </w:rPr>
      </w:pPr>
      <w:r w:rsidRPr="00E20DDC">
        <w:rPr>
          <w:rStyle w:val="superscript"/>
        </w:rPr>
        <w:t>To understand this theme, we consider the following guiding questions:</w:t>
      </w:r>
    </w:p>
    <w:p w14:paraId="3C31E93C" w14:textId="75291A9A" w:rsidR="009C373F" w:rsidRPr="00063D4E" w:rsidRDefault="004A5109" w:rsidP="004E5D44">
      <w:pPr>
        <w:pStyle w:val="GuidingQuestion"/>
      </w:pPr>
      <w:r>
        <w:rPr>
          <w:noProof/>
        </w:rPr>
        <w:drawing>
          <wp:inline distT="0" distB="0" distL="0" distR="0" wp14:anchorId="676DF25C" wp14:editId="0B97C8D5">
            <wp:extent cx="369631" cy="260916"/>
            <wp:effectExtent l="0" t="0" r="0" b="6350"/>
            <wp:docPr id="384397944"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97944" name="Graphic 189">
                      <a:extLst>
                        <a:ext uri="{C183D7F6-B498-43B3-948B-1728B52AA6E4}">
                          <adec:decorative xmlns:adec="http://schemas.microsoft.com/office/drawing/2017/decorative" val="1"/>
                        </a:ext>
                      </a:extLst>
                    </pic:cNvPr>
                    <pic:cNvPicPr/>
                  </pic:nvPicPr>
                  <pic:blipFill>
                    <a:blip r:embed="rId127">
                      <a:extLst>
                        <a:ext uri="{96DAC541-7B7A-43D3-8B79-37D633B846F1}">
                          <asvg:svgBlip xmlns:asvg="http://schemas.microsoft.com/office/drawing/2016/SVG/main" r:embed="rId128"/>
                        </a:ext>
                      </a:extLst>
                    </a:blip>
                    <a:stretch>
                      <a:fillRect/>
                    </a:stretch>
                  </pic:blipFill>
                  <pic:spPr>
                    <a:xfrm>
                      <a:off x="0" y="0"/>
                      <a:ext cx="369631" cy="260916"/>
                    </a:xfrm>
                    <a:prstGeom prst="rect">
                      <a:avLst/>
                    </a:prstGeom>
                  </pic:spPr>
                </pic:pic>
              </a:graphicData>
            </a:graphic>
          </wp:inline>
        </w:drawing>
      </w:r>
      <w:r>
        <w:br/>
      </w:r>
      <w:r w:rsidR="009C373F" w:rsidRPr="00063D4E">
        <w:t xml:space="preserve">To what extent do consumers, carers, family and kin receive care that feels safe, </w:t>
      </w:r>
      <w:r w:rsidR="00532F53" w:rsidRPr="00063D4E">
        <w:br/>
      </w:r>
      <w:r w:rsidR="009C373F" w:rsidRPr="00063D4E">
        <w:t>respects their rights, and is responsive to their preferences, culture and identity?</w:t>
      </w:r>
    </w:p>
    <w:p w14:paraId="24611D4F" w14:textId="395DA56E" w:rsidR="009C373F" w:rsidRPr="00063D4E" w:rsidRDefault="006214A2" w:rsidP="004E5D44">
      <w:pPr>
        <w:pStyle w:val="GuidingQuestion"/>
      </w:pPr>
      <w:r>
        <w:rPr>
          <w:noProof/>
        </w:rPr>
        <w:drawing>
          <wp:anchor distT="0" distB="0" distL="114300" distR="114300" simplePos="0" relativeHeight="251819150" behindDoc="0" locked="0" layoutInCell="1" allowOverlap="1" wp14:anchorId="482D0952" wp14:editId="48291F9F">
            <wp:simplePos x="0" y="0"/>
            <wp:positionH relativeFrom="column">
              <wp:posOffset>5206197</wp:posOffset>
            </wp:positionH>
            <wp:positionV relativeFrom="paragraph">
              <wp:posOffset>419444</wp:posOffset>
            </wp:positionV>
            <wp:extent cx="522605" cy="332740"/>
            <wp:effectExtent l="0" t="0" r="0" b="0"/>
            <wp:wrapSquare wrapText="bothSides"/>
            <wp:docPr id="962867572"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63720" name="Picture 100">
                      <a:extLst>
                        <a:ext uri="{C183D7F6-B498-43B3-948B-1728B52AA6E4}">
                          <adec:decorative xmlns:adec="http://schemas.microsoft.com/office/drawing/2017/decorative" val="1"/>
                        </a:ext>
                      </a:extLst>
                    </pic:cNvPr>
                    <pic:cNvPicPr/>
                  </pic:nvPicPr>
                  <pic:blipFill rotWithShape="1">
                    <a:blip r:embed="rId139">
                      <a:extLst>
                        <a:ext uri="{96DAC541-7B7A-43D3-8B79-37D633B846F1}">
                          <asvg:svgBlip xmlns:asvg="http://schemas.microsoft.com/office/drawing/2016/SVG/main" r:embed="rId140"/>
                        </a:ext>
                      </a:extLst>
                    </a:blip>
                    <a:srcRect l="6567" t="11818" r="1868" b="29856"/>
                    <a:stretch>
                      <a:fillRect/>
                    </a:stretch>
                  </pic:blipFill>
                  <pic:spPr bwMode="auto">
                    <a:xfrm>
                      <a:off x="0" y="0"/>
                      <a:ext cx="522605"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373F" w:rsidRPr="00063D4E">
        <w:t>To what extent are consumers, carers,</w:t>
      </w:r>
      <w:r w:rsidR="009C373F" w:rsidRPr="00063D4E">
        <w:rPr>
          <w:rFonts w:ascii="Arial" w:hAnsi="Arial" w:cs="Arial"/>
        </w:rPr>
        <w:t> </w:t>
      </w:r>
      <w:r w:rsidR="009C373F" w:rsidRPr="00063D4E">
        <w:t>family</w:t>
      </w:r>
      <w:r w:rsidR="009C373F" w:rsidRPr="00063D4E">
        <w:rPr>
          <w:rFonts w:ascii="Arial" w:hAnsi="Arial" w:cs="Arial"/>
        </w:rPr>
        <w:t> </w:t>
      </w:r>
      <w:r w:rsidR="009C373F" w:rsidRPr="00063D4E">
        <w:t>and</w:t>
      </w:r>
      <w:r w:rsidR="009C373F" w:rsidRPr="00063D4E">
        <w:rPr>
          <w:rFonts w:ascii="Arial" w:hAnsi="Arial" w:cs="Arial"/>
        </w:rPr>
        <w:t> </w:t>
      </w:r>
      <w:r w:rsidR="009C373F" w:rsidRPr="00063D4E">
        <w:t xml:space="preserve">kin feeling </w:t>
      </w:r>
      <w:r w:rsidR="00532F53" w:rsidRPr="00063D4E">
        <w:br/>
      </w:r>
      <w:r w:rsidR="009C373F" w:rsidRPr="00063D4E">
        <w:t>safe and respected in interactions with the mental</w:t>
      </w:r>
      <w:r w:rsidR="009C373F" w:rsidRPr="00063D4E">
        <w:rPr>
          <w:rFonts w:ascii="Arial" w:hAnsi="Arial" w:cs="Arial"/>
        </w:rPr>
        <w:t> </w:t>
      </w:r>
      <w:r w:rsidR="009C373F" w:rsidRPr="00063D4E">
        <w:t>health system?</w:t>
      </w:r>
    </w:p>
    <w:p w14:paraId="3CAE2E60" w14:textId="7D943261" w:rsidR="009C373F" w:rsidRDefault="009C373F" w:rsidP="00F25942">
      <w:pPr>
        <w:pStyle w:val="Heading3"/>
      </w:pPr>
      <w:r w:rsidRPr="00E35D14">
        <w:t xml:space="preserve">The Commission draws on the following indicators: </w:t>
      </w:r>
    </w:p>
    <w:p w14:paraId="508ABD58" w14:textId="16E957AE" w:rsidR="00F25942" w:rsidRPr="00F25942" w:rsidRDefault="006214A2" w:rsidP="00F25942">
      <w:r>
        <w:rPr>
          <w:noProof/>
        </w:rPr>
        <w:drawing>
          <wp:anchor distT="0" distB="0" distL="114300" distR="114300" simplePos="0" relativeHeight="251806862" behindDoc="0" locked="0" layoutInCell="1" allowOverlap="1" wp14:anchorId="0E107397" wp14:editId="71FA808C">
            <wp:simplePos x="0" y="0"/>
            <wp:positionH relativeFrom="column">
              <wp:posOffset>-30480</wp:posOffset>
            </wp:positionH>
            <wp:positionV relativeFrom="paragraph">
              <wp:posOffset>208915</wp:posOffset>
            </wp:positionV>
            <wp:extent cx="262890" cy="262890"/>
            <wp:effectExtent l="0" t="0" r="3810" b="3810"/>
            <wp:wrapSquare wrapText="bothSides"/>
            <wp:docPr id="593418476"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18476" name="Picture 100">
                      <a:extLst>
                        <a:ext uri="{C183D7F6-B498-43B3-948B-1728B52AA6E4}">
                          <adec:decorative xmlns:adec="http://schemas.microsoft.com/office/drawing/2017/decorative" val="1"/>
                        </a:ext>
                      </a:extLst>
                    </pic:cNvPr>
                    <pic:cNvPicPr/>
                  </pic:nvPicPr>
                  <pic:blipFill>
                    <a:blip r:embed="rId160">
                      <a:extLst>
                        <a:ext uri="{96DAC541-7B7A-43D3-8B79-37D633B846F1}">
                          <asvg:svgBlip xmlns:asvg="http://schemas.microsoft.com/office/drawing/2016/SVG/main" r:embed="rId161"/>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0135E814" w14:textId="25371824" w:rsidR="009C373F" w:rsidRPr="00F25942" w:rsidRDefault="009C373F" w:rsidP="00341C7A">
      <w:pPr>
        <w:pStyle w:val="ListBullet"/>
        <w:numPr>
          <w:ilvl w:val="0"/>
          <w:numId w:val="0"/>
        </w:numPr>
        <w:ind w:left="170" w:hanging="170"/>
      </w:pPr>
      <w:r w:rsidRPr="008B3226">
        <w:t>Use of restrictive</w:t>
      </w:r>
      <w:r w:rsidRPr="008B3226">
        <w:rPr>
          <w:rFonts w:ascii="Arial" w:hAnsi="Arial" w:cs="Arial"/>
        </w:rPr>
        <w:t> </w:t>
      </w:r>
      <w:r w:rsidRPr="008B3226">
        <w:t>and involuntary</w:t>
      </w:r>
      <w:r w:rsidRPr="008B3226">
        <w:rPr>
          <w:rFonts w:ascii="Arial" w:hAnsi="Arial" w:cs="Arial"/>
        </w:rPr>
        <w:t> </w:t>
      </w:r>
      <w:r w:rsidRPr="008B3226">
        <w:t>practices in mental health care</w:t>
      </w:r>
      <w:r w:rsidRPr="008B3226">
        <w:rPr>
          <w:rFonts w:ascii="Arial" w:hAnsi="Arial" w:cs="Arial"/>
        </w:rPr>
        <w:t>  </w:t>
      </w:r>
    </w:p>
    <w:p w14:paraId="02231633" w14:textId="05E27DDB" w:rsidR="00F25942" w:rsidRPr="008B3226" w:rsidRDefault="00341C7A" w:rsidP="00341C7A">
      <w:pPr>
        <w:pStyle w:val="ListBullet"/>
        <w:numPr>
          <w:ilvl w:val="0"/>
          <w:numId w:val="0"/>
        </w:numPr>
      </w:pPr>
      <w:r>
        <w:rPr>
          <w:noProof/>
        </w:rPr>
        <w:drawing>
          <wp:anchor distT="0" distB="0" distL="114300" distR="114300" simplePos="0" relativeHeight="251772046" behindDoc="0" locked="0" layoutInCell="1" allowOverlap="1" wp14:anchorId="0AAF2F5F" wp14:editId="578CD90A">
            <wp:simplePos x="0" y="0"/>
            <wp:positionH relativeFrom="column">
              <wp:posOffset>-29845</wp:posOffset>
            </wp:positionH>
            <wp:positionV relativeFrom="paragraph">
              <wp:posOffset>128270</wp:posOffset>
            </wp:positionV>
            <wp:extent cx="262890" cy="262890"/>
            <wp:effectExtent l="0" t="0" r="3810" b="3810"/>
            <wp:wrapSquare wrapText="bothSides"/>
            <wp:docPr id="552475604"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0C14FA85" w14:textId="44016DEA" w:rsidR="009C373F" w:rsidRPr="00F25942" w:rsidRDefault="009C373F" w:rsidP="00341C7A">
      <w:pPr>
        <w:pStyle w:val="ListBullet"/>
        <w:numPr>
          <w:ilvl w:val="0"/>
          <w:numId w:val="0"/>
        </w:numPr>
        <w:ind w:left="170" w:hanging="170"/>
      </w:pPr>
      <w:r w:rsidRPr="008B3226">
        <w:t>Consumers feel</w:t>
      </w:r>
      <w:r w:rsidRPr="008B3226">
        <w:rPr>
          <w:rFonts w:ascii="Arial" w:hAnsi="Arial" w:cs="Arial"/>
        </w:rPr>
        <w:t> </w:t>
      </w:r>
      <w:r w:rsidRPr="008B3226">
        <w:t>safe in</w:t>
      </w:r>
      <w:r w:rsidRPr="008B3226">
        <w:rPr>
          <w:rFonts w:ascii="Arial" w:hAnsi="Arial" w:cs="Arial"/>
        </w:rPr>
        <w:t> </w:t>
      </w:r>
      <w:r w:rsidRPr="008B3226">
        <w:t xml:space="preserve">interactions with the mental health system </w:t>
      </w:r>
      <w:r w:rsidR="00282721" w:rsidRPr="009D015F">
        <w:rPr>
          <w:b/>
          <w:bCs/>
          <w:color w:val="008142" w:themeColor="accent5"/>
        </w:rPr>
        <w:t>Identified data gap</w:t>
      </w:r>
      <w:r w:rsidR="00282721" w:rsidRPr="008560E3" w:rsidDel="00282721">
        <w:rPr>
          <w:b/>
          <w:bCs/>
        </w:rPr>
        <w:t xml:space="preserve"> </w:t>
      </w:r>
    </w:p>
    <w:p w14:paraId="387B4977" w14:textId="04CD939E" w:rsidR="00F25942" w:rsidRPr="008B3226" w:rsidRDefault="00341C7A" w:rsidP="00F25942">
      <w:pPr>
        <w:pStyle w:val="ListBullet"/>
        <w:numPr>
          <w:ilvl w:val="0"/>
          <w:numId w:val="0"/>
        </w:numPr>
      </w:pPr>
      <w:r>
        <w:rPr>
          <w:noProof/>
        </w:rPr>
        <w:drawing>
          <wp:anchor distT="0" distB="0" distL="114300" distR="114300" simplePos="0" relativeHeight="251774094" behindDoc="0" locked="0" layoutInCell="1" allowOverlap="1" wp14:anchorId="55EB3000" wp14:editId="516F4027">
            <wp:simplePos x="0" y="0"/>
            <wp:positionH relativeFrom="column">
              <wp:posOffset>-29845</wp:posOffset>
            </wp:positionH>
            <wp:positionV relativeFrom="paragraph">
              <wp:posOffset>130810</wp:posOffset>
            </wp:positionV>
            <wp:extent cx="262890" cy="262890"/>
            <wp:effectExtent l="0" t="0" r="3810" b="3810"/>
            <wp:wrapSquare wrapText="bothSides"/>
            <wp:docPr id="75660072"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36DE5780" w14:textId="4176C76E" w:rsidR="00F25942" w:rsidRPr="00F25942" w:rsidRDefault="009C373F" w:rsidP="00341C7A">
      <w:pPr>
        <w:pStyle w:val="ListBullet"/>
        <w:numPr>
          <w:ilvl w:val="0"/>
          <w:numId w:val="0"/>
        </w:numPr>
        <w:ind w:left="170" w:hanging="170"/>
      </w:pPr>
      <w:r w:rsidRPr="008B3226">
        <w:t>Consumers and carers are involved</w:t>
      </w:r>
      <w:r w:rsidRPr="008B3226">
        <w:rPr>
          <w:rFonts w:ascii="Arial" w:hAnsi="Arial" w:cs="Arial"/>
        </w:rPr>
        <w:t> </w:t>
      </w:r>
      <w:r w:rsidRPr="008B3226">
        <w:t>and supported</w:t>
      </w:r>
      <w:r w:rsidRPr="008B3226">
        <w:rPr>
          <w:rFonts w:ascii="Arial" w:hAnsi="Arial" w:cs="Arial"/>
        </w:rPr>
        <w:t> </w:t>
      </w:r>
      <w:r w:rsidRPr="008B3226">
        <w:t>in decision-making about</w:t>
      </w:r>
      <w:r w:rsidRPr="008B3226">
        <w:rPr>
          <w:rFonts w:ascii="Arial" w:hAnsi="Arial" w:cs="Arial"/>
        </w:rPr>
        <w:t> </w:t>
      </w:r>
      <w:r w:rsidRPr="008B3226">
        <w:t>care</w:t>
      </w:r>
      <w:r w:rsidRPr="008B3226">
        <w:rPr>
          <w:rFonts w:ascii="Arial" w:hAnsi="Arial" w:cs="Arial"/>
        </w:rPr>
        <w:t xml:space="preserve"> </w:t>
      </w:r>
      <w:r w:rsidR="00282721" w:rsidRPr="009D015F">
        <w:rPr>
          <w:b/>
          <w:bCs/>
          <w:color w:val="008142" w:themeColor="accent5"/>
        </w:rPr>
        <w:t>Identified data gap</w:t>
      </w:r>
      <w:r w:rsidR="00282721" w:rsidRPr="008560E3" w:rsidDel="00282721">
        <w:rPr>
          <w:b/>
          <w:bCs/>
        </w:rPr>
        <w:t xml:space="preserve"> </w:t>
      </w:r>
    </w:p>
    <w:p w14:paraId="1BDB7D16" w14:textId="661243AC" w:rsidR="009C373F" w:rsidRPr="008B3226" w:rsidRDefault="00341C7A" w:rsidP="00F25942">
      <w:pPr>
        <w:pStyle w:val="ListBullet"/>
        <w:numPr>
          <w:ilvl w:val="0"/>
          <w:numId w:val="0"/>
        </w:numPr>
      </w:pPr>
      <w:r>
        <w:rPr>
          <w:noProof/>
        </w:rPr>
        <w:drawing>
          <wp:anchor distT="0" distB="0" distL="114300" distR="114300" simplePos="0" relativeHeight="251776142" behindDoc="0" locked="0" layoutInCell="1" allowOverlap="1" wp14:anchorId="71047AB9" wp14:editId="33FD0B1C">
            <wp:simplePos x="0" y="0"/>
            <wp:positionH relativeFrom="column">
              <wp:posOffset>-29845</wp:posOffset>
            </wp:positionH>
            <wp:positionV relativeFrom="paragraph">
              <wp:posOffset>127635</wp:posOffset>
            </wp:positionV>
            <wp:extent cx="262890" cy="262890"/>
            <wp:effectExtent l="0" t="0" r="3810" b="3810"/>
            <wp:wrapSquare wrapText="bothSides"/>
            <wp:docPr id="1400678187"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4E5A7FE2" w14:textId="3E3082AF" w:rsidR="009C373F" w:rsidRPr="00F25942" w:rsidRDefault="009C373F" w:rsidP="00341C7A">
      <w:pPr>
        <w:pStyle w:val="ListBullet"/>
        <w:numPr>
          <w:ilvl w:val="0"/>
          <w:numId w:val="0"/>
        </w:numPr>
        <w:ind w:left="170" w:hanging="170"/>
      </w:pPr>
      <w:r w:rsidRPr="008B3226">
        <w:t>Cultural</w:t>
      </w:r>
      <w:r w:rsidRPr="008B3226">
        <w:rPr>
          <w:rFonts w:ascii="Arial" w:hAnsi="Arial" w:cs="Arial"/>
        </w:rPr>
        <w:t> </w:t>
      </w:r>
      <w:r w:rsidRPr="008B3226">
        <w:t>and gender</w:t>
      </w:r>
      <w:r w:rsidRPr="008B3226">
        <w:rPr>
          <w:rFonts w:ascii="Arial" w:hAnsi="Arial" w:cs="Arial"/>
        </w:rPr>
        <w:t> </w:t>
      </w:r>
      <w:r w:rsidRPr="008B3226">
        <w:t>responsiveness of care</w:t>
      </w:r>
      <w:r w:rsidR="00E35D14">
        <w:t xml:space="preserve"> </w:t>
      </w:r>
      <w:r w:rsidR="00282721" w:rsidRPr="009D015F">
        <w:rPr>
          <w:b/>
          <w:bCs/>
          <w:color w:val="008142" w:themeColor="accent5"/>
        </w:rPr>
        <w:t>Identified data gap</w:t>
      </w:r>
      <w:r w:rsidR="00282721" w:rsidRPr="008560E3" w:rsidDel="00282721">
        <w:rPr>
          <w:b/>
          <w:bCs/>
        </w:rPr>
        <w:t xml:space="preserve"> </w:t>
      </w:r>
    </w:p>
    <w:p w14:paraId="2B9BCAB0" w14:textId="775BA15D" w:rsidR="00F25942" w:rsidRPr="008B3226" w:rsidRDefault="00341C7A" w:rsidP="00F25942">
      <w:pPr>
        <w:pStyle w:val="ListBullet"/>
        <w:numPr>
          <w:ilvl w:val="0"/>
          <w:numId w:val="0"/>
        </w:numPr>
      </w:pPr>
      <w:r>
        <w:rPr>
          <w:noProof/>
        </w:rPr>
        <w:drawing>
          <wp:anchor distT="0" distB="0" distL="114300" distR="114300" simplePos="0" relativeHeight="251778190" behindDoc="0" locked="0" layoutInCell="1" allowOverlap="1" wp14:anchorId="038DFB36" wp14:editId="1E26F4DF">
            <wp:simplePos x="0" y="0"/>
            <wp:positionH relativeFrom="column">
              <wp:posOffset>-29845</wp:posOffset>
            </wp:positionH>
            <wp:positionV relativeFrom="paragraph">
              <wp:posOffset>130175</wp:posOffset>
            </wp:positionV>
            <wp:extent cx="262890" cy="262890"/>
            <wp:effectExtent l="0" t="0" r="3810" b="3810"/>
            <wp:wrapSquare wrapText="bothSides"/>
            <wp:docPr id="2015200837"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00E8DCDB" w14:textId="78232552" w:rsidR="009C373F" w:rsidRPr="00F25942" w:rsidRDefault="009C373F" w:rsidP="00341C7A">
      <w:pPr>
        <w:pStyle w:val="ListBullet"/>
        <w:numPr>
          <w:ilvl w:val="0"/>
          <w:numId w:val="0"/>
        </w:numPr>
        <w:ind w:left="170" w:hanging="170"/>
      </w:pPr>
      <w:r w:rsidRPr="008B3226">
        <w:t xml:space="preserve">Experiences of stigma, discrimination, and coercion in mental health care </w:t>
      </w:r>
      <w:r w:rsidR="00282721" w:rsidRPr="009D015F">
        <w:rPr>
          <w:b/>
          <w:bCs/>
          <w:color w:val="008142" w:themeColor="accent5"/>
        </w:rPr>
        <w:t>Identified data gap</w:t>
      </w:r>
      <w:r w:rsidR="00282721" w:rsidRPr="008560E3" w:rsidDel="00282721">
        <w:rPr>
          <w:b/>
          <w:bCs/>
        </w:rPr>
        <w:t xml:space="preserve"> </w:t>
      </w:r>
    </w:p>
    <w:p w14:paraId="2A7EEE10" w14:textId="3391037C" w:rsidR="00F25942" w:rsidRPr="008B3226" w:rsidRDefault="00341C7A" w:rsidP="00F25942">
      <w:pPr>
        <w:pStyle w:val="ListBullet"/>
        <w:numPr>
          <w:ilvl w:val="0"/>
          <w:numId w:val="0"/>
        </w:numPr>
      </w:pPr>
      <w:r>
        <w:rPr>
          <w:noProof/>
        </w:rPr>
        <w:drawing>
          <wp:anchor distT="0" distB="0" distL="114300" distR="114300" simplePos="0" relativeHeight="251780238" behindDoc="0" locked="0" layoutInCell="1" allowOverlap="1" wp14:anchorId="6D5B4DA4" wp14:editId="58A3C770">
            <wp:simplePos x="0" y="0"/>
            <wp:positionH relativeFrom="column">
              <wp:posOffset>-29845</wp:posOffset>
            </wp:positionH>
            <wp:positionV relativeFrom="paragraph">
              <wp:posOffset>126365</wp:posOffset>
            </wp:positionV>
            <wp:extent cx="262890" cy="262890"/>
            <wp:effectExtent l="0" t="0" r="3810" b="3810"/>
            <wp:wrapSquare wrapText="bothSides"/>
            <wp:docPr id="85279719"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01205D40" w14:textId="28B7F078" w:rsidR="009C373F" w:rsidRPr="00F25942" w:rsidRDefault="009C373F" w:rsidP="00341C7A">
      <w:pPr>
        <w:pStyle w:val="ListBullet"/>
        <w:numPr>
          <w:ilvl w:val="0"/>
          <w:numId w:val="0"/>
        </w:numPr>
        <w:ind w:left="170" w:hanging="170"/>
        <w:rPr>
          <w:rFonts w:ascii="Roboto-Light" w:hAnsi="Roboto-Light"/>
        </w:rPr>
      </w:pPr>
      <w:r w:rsidRPr="008B3226">
        <w:t>Awareness and confidence in complaints mechanisms and safeguards</w:t>
      </w:r>
      <w:r w:rsidR="00AC166F" w:rsidRPr="00AC166F">
        <w:rPr>
          <w:b/>
          <w:bCs/>
        </w:rPr>
        <w:t xml:space="preserve"> </w:t>
      </w:r>
      <w:r w:rsidR="00282721" w:rsidRPr="009D015F">
        <w:rPr>
          <w:b/>
          <w:bCs/>
          <w:color w:val="008142" w:themeColor="accent5"/>
        </w:rPr>
        <w:t>Identified data gap</w:t>
      </w:r>
      <w:r w:rsidR="00282721" w:rsidRPr="008560E3" w:rsidDel="00282721">
        <w:rPr>
          <w:b/>
          <w:bCs/>
        </w:rPr>
        <w:t xml:space="preserve"> </w:t>
      </w:r>
    </w:p>
    <w:p w14:paraId="67A381DA" w14:textId="77777777" w:rsidR="00F25942" w:rsidRPr="00E35D14" w:rsidRDefault="00F25942" w:rsidP="00F25942">
      <w:pPr>
        <w:pStyle w:val="ListBullet"/>
        <w:numPr>
          <w:ilvl w:val="0"/>
          <w:numId w:val="0"/>
        </w:numPr>
        <w:rPr>
          <w:rFonts w:ascii="Roboto-Light" w:hAnsi="Roboto-Light"/>
        </w:rPr>
      </w:pPr>
    </w:p>
    <w:p w14:paraId="51A607EC" w14:textId="77777777" w:rsidR="009C373F" w:rsidRPr="003C7A09" w:rsidRDefault="009C373F" w:rsidP="00E20DDC">
      <w:pPr>
        <w:rPr>
          <w:lang w:val="en-AU"/>
        </w:rPr>
      </w:pPr>
      <w:r>
        <w:rPr>
          <w:lang w:val="en-AU"/>
        </w:rPr>
        <w:t>T</w:t>
      </w:r>
      <w:r w:rsidRPr="00BE0A2B">
        <w:rPr>
          <w:lang w:val="en-AU"/>
        </w:rPr>
        <w:t>he concept of safety in mental health care is complex, multidimensional and interpreted differently depending on the framework applied</w:t>
      </w:r>
      <w:r>
        <w:rPr>
          <w:lang w:val="en-AU"/>
        </w:rPr>
        <w:t>, cultural context and individual perspective</w:t>
      </w:r>
      <w:r w:rsidRPr="00BE0A2B">
        <w:rPr>
          <w:lang w:val="en-AU"/>
        </w:rPr>
        <w:t xml:space="preserve">. This section </w:t>
      </w:r>
      <w:r>
        <w:rPr>
          <w:lang w:val="en-AU"/>
        </w:rPr>
        <w:t xml:space="preserve">seeks to </w:t>
      </w:r>
      <w:r w:rsidRPr="00BE0A2B">
        <w:rPr>
          <w:lang w:val="en-AU"/>
        </w:rPr>
        <w:t xml:space="preserve">approach discussions of safety with a respect for and sensitivity to these different perspectives. </w:t>
      </w:r>
    </w:p>
    <w:p w14:paraId="698AC59D" w14:textId="77777777" w:rsidR="009C373F" w:rsidRPr="00BE0A2B" w:rsidRDefault="009C373F" w:rsidP="00E20DDC">
      <w:pPr>
        <w:rPr>
          <w:rFonts w:eastAsia="Aptos Display" w:cs="Aptos Display"/>
        </w:rPr>
      </w:pPr>
      <w:r w:rsidRPr="00BE0A2B">
        <w:t>In Australia there are a range of safety and quality standard</w:t>
      </w:r>
      <w:r>
        <w:t>s</w:t>
      </w:r>
      <w:r w:rsidRPr="00BE0A2B">
        <w:t xml:space="preserve"> and frameworks relevant to mental health care, including but not limited to those established by the </w:t>
      </w:r>
      <w:r w:rsidRPr="00BE0A2B">
        <w:rPr>
          <w:rFonts w:eastAsia="Aptos Display" w:cs="Aptos Display"/>
        </w:rPr>
        <w:t>Australian Commission on Safety and Quality in Health Care (ACSQHC):</w:t>
      </w:r>
    </w:p>
    <w:p w14:paraId="0BCC0E5A" w14:textId="77777777" w:rsidR="009C373F" w:rsidRPr="00BE0A2B" w:rsidRDefault="009C373F" w:rsidP="00E20DDC">
      <w:pPr>
        <w:pStyle w:val="ListBullet"/>
        <w:rPr>
          <w:rFonts w:eastAsia="Aptos Display"/>
        </w:rPr>
      </w:pPr>
      <w:r w:rsidRPr="00BE0A2B">
        <w:rPr>
          <w:rFonts w:eastAsia="Aptos Display"/>
        </w:rPr>
        <w:t xml:space="preserve">The </w:t>
      </w:r>
      <w:hyperlink r:id="rId162" w:history="1">
        <w:r w:rsidRPr="003E508D">
          <w:rPr>
            <w:rStyle w:val="Hyperlink"/>
          </w:rPr>
          <w:t>National Standards for Mental Health Services</w:t>
        </w:r>
      </w:hyperlink>
      <w:r w:rsidRPr="00BE0A2B">
        <w:rPr>
          <w:rFonts w:eastAsia="Aptos Display"/>
        </w:rPr>
        <w:t xml:space="preserve"> in health settings, which represent the framework for mental health services in public and private hospitals and community services provided by local hospital networks;</w:t>
      </w:r>
    </w:p>
    <w:p w14:paraId="2E4F3EE8" w14:textId="453CBDA5" w:rsidR="009C373F" w:rsidRPr="00BE0A2B" w:rsidRDefault="009C373F" w:rsidP="00E20DDC">
      <w:pPr>
        <w:pStyle w:val="ListBullet"/>
        <w:rPr>
          <w:rFonts w:eastAsia="Aptos Display"/>
        </w:rPr>
      </w:pPr>
      <w:r w:rsidRPr="00BE0A2B">
        <w:rPr>
          <w:rFonts w:eastAsia="Aptos Display"/>
        </w:rPr>
        <w:t xml:space="preserve">The </w:t>
      </w:r>
      <w:hyperlink r:id="rId163" w:history="1">
        <w:r w:rsidRPr="003E508D">
          <w:rPr>
            <w:rStyle w:val="Hyperlink"/>
          </w:rPr>
          <w:t>National Safety and Quality Digital Mental Health (NSQDMH) Standards</w:t>
        </w:r>
      </w:hyperlink>
      <w:r w:rsidRPr="003E508D">
        <w:rPr>
          <w:rStyle w:val="Hyperlink"/>
        </w:rPr>
        <w:t>,</w:t>
      </w:r>
      <w:r w:rsidRPr="00BE0A2B">
        <w:rPr>
          <w:rFonts w:eastAsia="Aptos Display"/>
        </w:rPr>
        <w:t xml:space="preserve"> which aim to improve the quality of digital mental health service provision, and to </w:t>
      </w:r>
      <w:r w:rsidR="00650B14">
        <w:rPr>
          <w:rFonts w:eastAsia="Aptos Display"/>
        </w:rPr>
        <w:t xml:space="preserve">protect </w:t>
      </w:r>
      <w:r w:rsidRPr="00BE0A2B">
        <w:rPr>
          <w:rFonts w:eastAsia="Aptos Display"/>
        </w:rPr>
        <w:t>users from harm; and</w:t>
      </w:r>
    </w:p>
    <w:p w14:paraId="27070207" w14:textId="13E90200" w:rsidR="009C373F" w:rsidRPr="008232A6" w:rsidRDefault="009C373F" w:rsidP="008232A6">
      <w:pPr>
        <w:pStyle w:val="ListBullet"/>
      </w:pPr>
      <w:r w:rsidRPr="00BE0A2B">
        <w:rPr>
          <w:rFonts w:eastAsia="Aptos Display"/>
        </w:rPr>
        <w:t xml:space="preserve">The </w:t>
      </w:r>
      <w:hyperlink r:id="rId164" w:tooltip="National Safety and Quality Mental Health Standards for Community Managed Organisations " w:history="1">
        <w:r w:rsidRPr="003E508D">
          <w:rPr>
            <w:rStyle w:val="Hyperlink"/>
          </w:rPr>
          <w:t>Mental Health Standards for Community Managed Organisations</w:t>
        </w:r>
      </w:hyperlink>
      <w:r w:rsidRPr="00BE0A2B">
        <w:rPr>
          <w:rFonts w:eastAsia="Aptos Display"/>
        </w:rPr>
        <w:t> </w:t>
      </w:r>
      <w:r>
        <w:rPr>
          <w:rFonts w:eastAsia="Aptos Display"/>
        </w:rPr>
        <w:t xml:space="preserve">which </w:t>
      </w:r>
      <w:r w:rsidRPr="00BE0A2B">
        <w:rPr>
          <w:rFonts w:eastAsia="Aptos Display"/>
        </w:rPr>
        <w:t>provides best practice guidance for Community Managed Organisations providing mental health services.</w:t>
      </w:r>
    </w:p>
    <w:p w14:paraId="4CD6B1D4" w14:textId="5F28CAE9" w:rsidR="009C373F" w:rsidRPr="00E20DDC" w:rsidRDefault="009C373F" w:rsidP="00E20DDC">
      <w:pPr>
        <w:rPr>
          <w:lang w:val="en-AU"/>
        </w:rPr>
      </w:pPr>
      <w:r w:rsidRPr="00E20DDC">
        <w:rPr>
          <w:lang w:val="en-AU"/>
        </w:rPr>
        <w:t xml:space="preserve">While health systems have traditionally focused on harm minimisation and risk management, consumer advocates argue instead for a rights-based conception of safety that emphasises autonomy, self-determination, respect and freedom from coercion. </w:t>
      </w:r>
      <w:r w:rsidRPr="00E20DDC">
        <w:t xml:space="preserve">Quality and safety are therefore not solely matters of clinical standards and regulatory compliance; consumers should be afforded the right to determine whether care is safe, respectful and of good quality from their perspective. Quality and safety should be defined by consumers as well as through clinical standards, with mechanisms for learning and adaptation built in. </w:t>
      </w:r>
      <w:r w:rsidRPr="00E20DDC">
        <w:rPr>
          <w:lang w:val="en-AU"/>
        </w:rPr>
        <w:t>An effective mental health system not only seeks to prevent harm, but also support and promotes recovery, wellbeing, autonomy, participation and quality of life.</w:t>
      </w:r>
    </w:p>
    <w:p w14:paraId="6370E1D0" w14:textId="77777777" w:rsidR="009C373F" w:rsidRPr="00E20DDC" w:rsidRDefault="009C373F" w:rsidP="006D2BE2">
      <w:pPr>
        <w:pStyle w:val="NormalBeforeBullet"/>
        <w:rPr>
          <w:lang w:eastAsia="en-AU"/>
        </w:rPr>
      </w:pPr>
      <w:r w:rsidRPr="00E20DDC">
        <w:rPr>
          <w:lang w:eastAsia="en-AU"/>
        </w:rPr>
        <w:t>The Commission continues to support national approaches to regulate, reduce and where possible eliminate coercive practices, and advocates for:</w:t>
      </w:r>
    </w:p>
    <w:p w14:paraId="7C93D38F" w14:textId="77777777" w:rsidR="009C373F" w:rsidRPr="008B3226" w:rsidRDefault="009C373F" w:rsidP="00E20DDC">
      <w:pPr>
        <w:pStyle w:val="ListBullet"/>
      </w:pPr>
      <w:r w:rsidRPr="008B3226">
        <w:t>the development of agreed definitions, data and reporting requirements on all forms of restraint and involuntary treatment;</w:t>
      </w:r>
    </w:p>
    <w:p w14:paraId="4E27FD79" w14:textId="77777777" w:rsidR="009C373F" w:rsidRPr="008B3226" w:rsidRDefault="009C373F" w:rsidP="00E20DDC">
      <w:pPr>
        <w:pStyle w:val="ListBullet"/>
      </w:pPr>
      <w:r w:rsidRPr="008B3226">
        <w:t xml:space="preserve">greater research into factors that may reduce the use of restrictive practices; and </w:t>
      </w:r>
    </w:p>
    <w:p w14:paraId="5ACE0456" w14:textId="4E00E868" w:rsidR="00FE50F6" w:rsidRPr="001D0A38" w:rsidRDefault="009C373F" w:rsidP="001D0A38">
      <w:pPr>
        <w:pStyle w:val="ListBullet"/>
      </w:pPr>
      <w:r w:rsidRPr="008B3226">
        <w:lastRenderedPageBreak/>
        <w:t>evaluation and development of alternative, positive, best practice, lived-experience informed interventions for behavioural emergencies involving people experiencing mental health challenges.</w:t>
      </w:r>
      <w:r w:rsidRPr="008B3226">
        <w:rPr>
          <w:vertAlign w:val="superscript"/>
        </w:rPr>
        <w:endnoteReference w:id="148"/>
      </w:r>
    </w:p>
    <w:p w14:paraId="4CB4872E" w14:textId="6EBF0E80" w:rsidR="009C373F" w:rsidRPr="00E20DDC" w:rsidRDefault="00553E41" w:rsidP="009F46B4">
      <w:pPr>
        <w:pStyle w:val="Heading2"/>
      </w:pPr>
      <w:r>
        <w:rPr>
          <w:noProof/>
        </w:rPr>
        <w:drawing>
          <wp:inline distT="0" distB="0" distL="0" distR="0" wp14:anchorId="1EAF8290" wp14:editId="6C8CDC5D">
            <wp:extent cx="387350" cy="387350"/>
            <wp:effectExtent l="0" t="0" r="6350" b="6350"/>
            <wp:docPr id="1268435079"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435079" name="Picture 100">
                      <a:extLst>
                        <a:ext uri="{C183D7F6-B498-43B3-948B-1728B52AA6E4}">
                          <adec:decorative xmlns:adec="http://schemas.microsoft.com/office/drawing/2017/decorative" val="1"/>
                        </a:ext>
                      </a:extLst>
                    </pic:cNvPr>
                    <pic:cNvPicPr/>
                  </pic:nvPicPr>
                  <pic:blipFill>
                    <a:blip r:embed="rId160">
                      <a:extLst>
                        <a:ext uri="{96DAC541-7B7A-43D3-8B79-37D633B846F1}">
                          <asvg:svgBlip xmlns:asvg="http://schemas.microsoft.com/office/drawing/2016/SVG/main" r:embed="rId161"/>
                        </a:ext>
                      </a:extLst>
                    </a:blip>
                    <a:stretch>
                      <a:fillRect/>
                    </a:stretch>
                  </pic:blipFill>
                  <pic:spPr>
                    <a:xfrm>
                      <a:off x="0" y="0"/>
                      <a:ext cx="387350" cy="387350"/>
                    </a:xfrm>
                    <a:prstGeom prst="rect">
                      <a:avLst/>
                    </a:prstGeom>
                  </pic:spPr>
                </pic:pic>
              </a:graphicData>
            </a:graphic>
          </wp:inline>
        </w:drawing>
      </w:r>
      <w:r>
        <w:t xml:space="preserve"> </w:t>
      </w:r>
      <w:r w:rsidR="00164CEB">
        <w:rPr>
          <w:noProof/>
        </w:rPr>
        <mc:AlternateContent>
          <mc:Choice Requires="wps">
            <w:drawing>
              <wp:anchor distT="0" distB="0" distL="114300" distR="114300" simplePos="0" relativeHeight="251658303" behindDoc="1" locked="0" layoutInCell="1" allowOverlap="1" wp14:anchorId="0D691BDF" wp14:editId="13B268E0">
                <wp:simplePos x="0" y="0"/>
                <wp:positionH relativeFrom="page">
                  <wp:posOffset>-9053</wp:posOffset>
                </wp:positionH>
                <wp:positionV relativeFrom="page">
                  <wp:posOffset>7230</wp:posOffset>
                </wp:positionV>
                <wp:extent cx="7560000" cy="153909"/>
                <wp:effectExtent l="0" t="0" r="0" b="0"/>
                <wp:wrapNone/>
                <wp:docPr id="997685682" name="Rectangle 9976856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F6AF5B5" id="Rectangle 997685682" o:spid="_x0000_s1026" alt="&quot;&quot;" style="position:absolute;margin-left:-.7pt;margin-top:.55pt;width:595.3pt;height:12.1pt;z-index:-2516581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" fillcolor="#008142 [3208]" stroked="f" strokeweight="1pt">
                <w10:wrap anchorx="page" anchory="page"/>
              </v:rect>
            </w:pict>
          </mc:Fallback>
        </mc:AlternateContent>
      </w:r>
      <w:r w:rsidR="009C373F" w:rsidRPr="00E20DDC">
        <w:t xml:space="preserve">Use of restrictive and involuntary practices in mental health care </w:t>
      </w:r>
    </w:p>
    <w:p w14:paraId="17E86F0C" w14:textId="5455AAF7" w:rsidR="009C373F" w:rsidRPr="007441BB" w:rsidRDefault="00983A36" w:rsidP="00E20DDC">
      <w:pPr>
        <w:rPr>
          <w:lang w:eastAsia="en-AU"/>
        </w:rPr>
      </w:pPr>
      <w:r>
        <w:rPr>
          <w:lang w:eastAsia="en-AU"/>
        </w:rPr>
        <w:t>The use of seclusion and restraint is a fundamental breach of an individual’s human rights, and while there may be</w:t>
      </w:r>
      <w:r w:rsidR="009C373F" w:rsidRPr="007441BB">
        <w:rPr>
          <w:lang w:eastAsia="en-AU"/>
        </w:rPr>
        <w:t xml:space="preserve"> very limited circumstances where their use</w:t>
      </w:r>
      <w:r w:rsidR="009C373F">
        <w:rPr>
          <w:lang w:eastAsia="en-AU"/>
        </w:rPr>
        <w:t xml:space="preserve"> </w:t>
      </w:r>
      <w:r>
        <w:rPr>
          <w:lang w:eastAsia="en-AU"/>
        </w:rPr>
        <w:t>may be</w:t>
      </w:r>
      <w:r w:rsidR="009C373F">
        <w:rPr>
          <w:lang w:eastAsia="en-AU"/>
        </w:rPr>
        <w:t xml:space="preserve"> necessary,</w:t>
      </w:r>
      <w:r>
        <w:rPr>
          <w:lang w:eastAsia="en-AU"/>
        </w:rPr>
        <w:t xml:space="preserve"> we must continue to strive to eliminate these </w:t>
      </w:r>
      <w:r w:rsidR="009C373F" w:rsidRPr="007441BB">
        <w:rPr>
          <w:lang w:eastAsia="en-AU"/>
        </w:rPr>
        <w:t>practices</w:t>
      </w:r>
      <w:r w:rsidR="009C373F">
        <w:rPr>
          <w:lang w:eastAsia="en-AU"/>
        </w:rPr>
        <w:t>. Monitoring national data on restrictive and involuntary practices is important to support this aim. The data presented below relates to public</w:t>
      </w:r>
      <w:r w:rsidR="009C373F" w:rsidRPr="00D93741">
        <w:rPr>
          <w:lang w:eastAsia="en-AU"/>
        </w:rPr>
        <w:t xml:space="preserve"> </w:t>
      </w:r>
      <w:r w:rsidR="009C373F">
        <w:rPr>
          <w:lang w:eastAsia="en-AU"/>
        </w:rPr>
        <w:t xml:space="preserve">sector specialised psychiatric services. </w:t>
      </w:r>
    </w:p>
    <w:p w14:paraId="47FC3F0F" w14:textId="1EB48AE5" w:rsidR="009C373F" w:rsidRPr="007441BB" w:rsidRDefault="009C373F" w:rsidP="00E20DDC">
      <w:pPr>
        <w:rPr>
          <w:lang w:eastAsia="en-AU"/>
        </w:rPr>
      </w:pPr>
      <w:r w:rsidRPr="007441BB">
        <w:rPr>
          <w:lang w:eastAsia="en-AU"/>
        </w:rPr>
        <w:t>Under international human rights frameworks, the use of these practices is recognised as a human rights violation.</w:t>
      </w:r>
      <w:r w:rsidRPr="007441BB">
        <w:rPr>
          <w:vertAlign w:val="superscript"/>
          <w:lang w:eastAsia="en-AU"/>
        </w:rPr>
        <w:endnoteReference w:id="149"/>
      </w:r>
      <w:r w:rsidRPr="007441BB">
        <w:rPr>
          <w:lang w:eastAsia="en-AU"/>
        </w:rPr>
        <w:t xml:space="preserve"> In their 2024 Human Rights Report, the National Mental Health Consumer Alliance concluded that the restrictive practices which continue to be experienced by Australian mental health consumers are inconsistent with Australia’s obligations under these international standards.</w:t>
      </w:r>
      <w:r w:rsidRPr="007441BB">
        <w:rPr>
          <w:vertAlign w:val="superscript"/>
          <w:lang w:eastAsia="en-AU"/>
        </w:rPr>
        <w:endnoteReference w:id="150"/>
      </w:r>
    </w:p>
    <w:p w14:paraId="6E395049" w14:textId="4D12C070" w:rsidR="009C373F" w:rsidRPr="00E20DDC" w:rsidRDefault="009C373F" w:rsidP="00E20DDC">
      <w:pPr>
        <w:rPr>
          <w:rFonts w:ascii="Segoe UI" w:eastAsia="Segoe UI" w:hAnsi="Segoe UI" w:cs="Segoe UI"/>
          <w:color w:val="000000"/>
          <w:sz w:val="21"/>
          <w:szCs w:val="21"/>
        </w:rPr>
      </w:pPr>
      <w:r w:rsidRPr="007441BB">
        <w:rPr>
          <w:lang w:eastAsia="en-AU"/>
        </w:rPr>
        <w:t>A 2024 international comparative study of coercive measures, including involuntary psychiatric admissions across nine countries (Australia, England, Germany, Ireland, Japan, New Zealand, the Netherlands, the USA, and Wales) found substantial variation in rates of use</w:t>
      </w:r>
      <w:r w:rsidRPr="007441BB">
        <w:t>.</w:t>
      </w:r>
      <w:r w:rsidRPr="007441BB">
        <w:rPr>
          <w:vertAlign w:val="superscript"/>
        </w:rPr>
        <w:endnoteReference w:id="151"/>
      </w:r>
      <w:r w:rsidRPr="007441BB">
        <w:t xml:space="preserve"> </w:t>
      </w:r>
      <w:r w:rsidRPr="007441BB">
        <w:rPr>
          <w:lang w:eastAsia="en-AU"/>
        </w:rPr>
        <w:t xml:space="preserve">Robust monitoring and reporting </w:t>
      </w:r>
      <w:r>
        <w:rPr>
          <w:lang w:eastAsia="en-AU"/>
        </w:rPr>
        <w:t xml:space="preserve">are </w:t>
      </w:r>
      <w:r w:rsidRPr="007441BB">
        <w:rPr>
          <w:lang w:eastAsia="en-AU"/>
        </w:rPr>
        <w:t xml:space="preserve">essential </w:t>
      </w:r>
      <w:r>
        <w:rPr>
          <w:lang w:eastAsia="en-AU"/>
        </w:rPr>
        <w:t xml:space="preserve">for </w:t>
      </w:r>
      <w:r w:rsidRPr="007441BB">
        <w:rPr>
          <w:lang w:eastAsia="en-AU"/>
        </w:rPr>
        <w:t>accountability and</w:t>
      </w:r>
      <w:r>
        <w:rPr>
          <w:lang w:eastAsia="en-AU"/>
        </w:rPr>
        <w:t xml:space="preserve"> tracking </w:t>
      </w:r>
      <w:r w:rsidRPr="007441BB">
        <w:rPr>
          <w:lang w:eastAsia="en-AU"/>
        </w:rPr>
        <w:t>progress towards</w:t>
      </w:r>
      <w:r>
        <w:rPr>
          <w:lang w:eastAsia="en-AU"/>
        </w:rPr>
        <w:t xml:space="preserve"> reducing and, where possible, eliminating coercive practices. Consistent reporting is particularly important because definitions, classifications, and recording practices vary internationally. </w:t>
      </w:r>
    </w:p>
    <w:p w14:paraId="27C9EB5E" w14:textId="78A88CD9" w:rsidR="009C373F" w:rsidRDefault="009C373F" w:rsidP="004E5D44">
      <w:pPr>
        <w:pStyle w:val="Heading3"/>
        <w:rPr>
          <w:lang w:val="en-AU"/>
        </w:rPr>
      </w:pPr>
      <w:r w:rsidRPr="007441BB">
        <w:rPr>
          <w:lang w:val="en-AU"/>
        </w:rPr>
        <w:t xml:space="preserve">Seclusion </w:t>
      </w:r>
    </w:p>
    <w:p w14:paraId="08574FBE" w14:textId="77777777" w:rsidR="009C373F" w:rsidRPr="007441BB" w:rsidRDefault="009C373F" w:rsidP="00E20DDC">
      <w:pPr>
        <w:pStyle w:val="NormalBeforeBullet"/>
        <w:rPr>
          <w:lang w:eastAsia="en-AU"/>
        </w:rPr>
      </w:pPr>
      <w:r w:rsidRPr="007441BB">
        <w:rPr>
          <w:lang w:eastAsia="en-AU"/>
        </w:rPr>
        <w:t xml:space="preserve">Seclusion practices are those involving confinement of a person at any time of the day or night alone in a room or space from which a person’s free exit is prevented. </w:t>
      </w:r>
    </w:p>
    <w:p w14:paraId="189AD04B" w14:textId="77777777" w:rsidR="009C373F" w:rsidRPr="00E20DDC" w:rsidRDefault="009C373F" w:rsidP="00E20DDC">
      <w:pPr>
        <w:pStyle w:val="ListBullet"/>
      </w:pPr>
      <w:r w:rsidRPr="00E20DDC">
        <w:t>National seclusion rates for all services halved from 16 events per 1,000 bed days in 2008-09 to 8 events per 1,000 bed days in 2013-14.</w:t>
      </w:r>
    </w:p>
    <w:p w14:paraId="06357D6E" w14:textId="77777777" w:rsidR="009C373F" w:rsidRPr="00E20DDC" w:rsidRDefault="009C373F" w:rsidP="00E20DDC">
      <w:pPr>
        <w:pStyle w:val="ListBullet"/>
      </w:pPr>
      <w:r w:rsidRPr="00E20DDC">
        <w:t xml:space="preserve">National seclusion rates for all services remained relatively steady between 7 and 8 events per 1,000 bed days through to 2021-22. </w:t>
      </w:r>
    </w:p>
    <w:p w14:paraId="68CBFFF0" w14:textId="276D6484" w:rsidR="009C373F" w:rsidRPr="00E20DDC" w:rsidRDefault="009C373F" w:rsidP="00E20DDC">
      <w:pPr>
        <w:pStyle w:val="ListBullet"/>
      </w:pPr>
      <w:r w:rsidRPr="00E20DDC">
        <w:t>There has been a small decrease in seclusion events in recent years, to between 5 and 6 events per 1,000 bed days (between 2022-23 and 2024-25).</w:t>
      </w:r>
    </w:p>
    <w:p w14:paraId="75267E4A" w14:textId="77777777" w:rsidR="009C373F" w:rsidRPr="00E20DDC" w:rsidRDefault="009C373F" w:rsidP="00E20DDC">
      <w:pPr>
        <w:rPr>
          <w:lang w:val="en-AU"/>
        </w:rPr>
      </w:pPr>
      <w:r w:rsidRPr="00E20DDC">
        <w:rPr>
          <w:lang w:val="en-AU"/>
        </w:rPr>
        <w:t xml:space="preserve">Data on rates of seclusion across settings focusing on different cohorts (children and young people, older people and people in forensic settings), varies.  </w:t>
      </w:r>
    </w:p>
    <w:p w14:paraId="60C7D07F" w14:textId="77777777" w:rsidR="009C373F" w:rsidRPr="00E20DDC" w:rsidRDefault="009C373F" w:rsidP="00E20DDC">
      <w:pPr>
        <w:pStyle w:val="ListBullet"/>
      </w:pPr>
      <w:r w:rsidRPr="00E20DDC">
        <w:t xml:space="preserve">Nationally, services that focus on the general population followed the pattern seen for all services and have had the most stable reduction in event rates and smaller year on year volatility compared to services focusing on other population groups. </w:t>
      </w:r>
    </w:p>
    <w:p w14:paraId="6C967C77" w14:textId="77777777" w:rsidR="009C373F" w:rsidRPr="00E20DDC" w:rsidRDefault="009C373F" w:rsidP="00E20DDC">
      <w:pPr>
        <w:pStyle w:val="ListBullet"/>
      </w:pPr>
      <w:r w:rsidRPr="00E20DDC">
        <w:t>Child and adolescent services also followed the same pattern as seen for all services but have shown some year-on-year volatility in the years following the initial reduction in the event rate.  </w:t>
      </w:r>
    </w:p>
    <w:p w14:paraId="6431C362" w14:textId="679FB160" w:rsidR="009C373F" w:rsidRPr="00E20DDC" w:rsidRDefault="009C373F" w:rsidP="00E20DDC">
      <w:pPr>
        <w:pStyle w:val="ListBullet"/>
      </w:pPr>
      <w:r w:rsidRPr="00E20DDC">
        <w:t xml:space="preserve">Older persons services have had low rates since the data collections commenced and zero events since </w:t>
      </w:r>
      <w:r w:rsidR="00767857">
        <w:br/>
      </w:r>
      <w:r w:rsidRPr="00E20DDC">
        <w:t xml:space="preserve">2017-18. </w:t>
      </w:r>
    </w:p>
    <w:p w14:paraId="1B1792BD" w14:textId="77777777" w:rsidR="001D0A38" w:rsidRDefault="009C373F" w:rsidP="004E5D44">
      <w:pPr>
        <w:pStyle w:val="ListBullet"/>
      </w:pPr>
      <w:r w:rsidRPr="00E20DDC">
        <w:t>The pattern over time for forensic services does not match that seen for all services and shows considerable year-on-year volatility in event rates.</w:t>
      </w:r>
    </w:p>
    <w:p w14:paraId="1B38B976" w14:textId="72651AA0" w:rsidR="009C373F" w:rsidRPr="001D0A38" w:rsidRDefault="009C373F" w:rsidP="001D0A38">
      <w:pPr>
        <w:pStyle w:val="Heading3"/>
      </w:pPr>
      <w:r w:rsidRPr="001D0A38">
        <w:t>Restraint</w:t>
      </w:r>
    </w:p>
    <w:p w14:paraId="6A2FA86D" w14:textId="224C835F" w:rsidR="009C373F" w:rsidRPr="00E20DDC" w:rsidRDefault="009C373F" w:rsidP="00E20DDC">
      <w:pPr>
        <w:pStyle w:val="NormalBeforeBullet"/>
        <w:rPr>
          <w:lang w:eastAsia="en-AU"/>
        </w:rPr>
      </w:pPr>
      <w:r w:rsidRPr="00E20DDC">
        <w:rPr>
          <w:lang w:eastAsia="en-AU"/>
        </w:rPr>
        <w:t xml:space="preserve">Such practices involve holding down or stopping a person from moving freely, either through use of an item </w:t>
      </w:r>
      <w:r w:rsidR="00767857">
        <w:rPr>
          <w:lang w:eastAsia="en-AU"/>
        </w:rPr>
        <w:br/>
      </w:r>
      <w:r w:rsidRPr="00E20DDC">
        <w:rPr>
          <w:lang w:eastAsia="en-AU"/>
        </w:rPr>
        <w:t xml:space="preserve">(i.e., mechanical restraint) or a person’s hands or body (i.e., physical restraint). </w:t>
      </w:r>
    </w:p>
    <w:p w14:paraId="415D3F28" w14:textId="77777777" w:rsidR="009C373F" w:rsidRPr="00E20DDC" w:rsidRDefault="009C373F" w:rsidP="00E20DDC">
      <w:pPr>
        <w:pStyle w:val="NormalBeforeBullet"/>
      </w:pPr>
      <w:r w:rsidRPr="00E20DDC">
        <w:t>Between 2015-16 and 2024-25:</w:t>
      </w:r>
    </w:p>
    <w:p w14:paraId="314CA80A" w14:textId="77777777" w:rsidR="009C373F" w:rsidRPr="00E20DDC" w:rsidRDefault="009C373F" w:rsidP="00E20DDC">
      <w:pPr>
        <w:pStyle w:val="ListBullet"/>
      </w:pPr>
      <w:r w:rsidRPr="00E20DDC">
        <w:t xml:space="preserve">Nationally, mechanical restraint rates for all services ranged between zero and 2 events per 1,000 bed days. </w:t>
      </w:r>
    </w:p>
    <w:p w14:paraId="64D75E8C" w14:textId="77777777" w:rsidR="009C373F" w:rsidRPr="00E20DDC" w:rsidRDefault="009C373F" w:rsidP="00E20DDC">
      <w:pPr>
        <w:pStyle w:val="ListBullet"/>
      </w:pPr>
      <w:r w:rsidRPr="00E20DDC">
        <w:t xml:space="preserve">Forensic services recorded both the highest mechanical restraint event rates and highest physical restraint event rates. </w:t>
      </w:r>
    </w:p>
    <w:p w14:paraId="355315AC" w14:textId="77777777" w:rsidR="009C373F" w:rsidRPr="00E20DDC" w:rsidRDefault="009C373F" w:rsidP="00E20DDC">
      <w:pPr>
        <w:pStyle w:val="ListBullet"/>
      </w:pPr>
      <w:r w:rsidRPr="00E20DDC">
        <w:t xml:space="preserve">National physical restraint rates for all services ranged between 9 and 12 events per 1,000 bed days. </w:t>
      </w:r>
    </w:p>
    <w:p w14:paraId="14A3730F" w14:textId="72966EE3" w:rsidR="009C373F" w:rsidRPr="006214A2" w:rsidRDefault="00164CEB" w:rsidP="006214A2">
      <w:pPr>
        <w:pStyle w:val="Heading3"/>
        <w:rPr>
          <w:color w:val="008143"/>
          <w:sz w:val="24"/>
          <w:szCs w:val="26"/>
          <w:lang w:eastAsia="en-AU"/>
        </w:rPr>
      </w:pPr>
      <w:r>
        <w:rPr>
          <w:noProof/>
        </w:rPr>
        <w:lastRenderedPageBreak/>
        <mc:AlternateContent>
          <mc:Choice Requires="wps">
            <w:drawing>
              <wp:anchor distT="0" distB="0" distL="114300" distR="114300" simplePos="0" relativeHeight="251658304" behindDoc="1" locked="0" layoutInCell="1" allowOverlap="1" wp14:anchorId="549508E4" wp14:editId="6D94FDFB">
                <wp:simplePos x="0" y="0"/>
                <wp:positionH relativeFrom="page">
                  <wp:posOffset>9053</wp:posOffset>
                </wp:positionH>
                <wp:positionV relativeFrom="page">
                  <wp:posOffset>10380</wp:posOffset>
                </wp:positionV>
                <wp:extent cx="7560000" cy="153909"/>
                <wp:effectExtent l="0" t="0" r="0" b="0"/>
                <wp:wrapNone/>
                <wp:docPr id="1097737920" name="Rectangle 10977379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E3BD812" id="Rectangle 1097737920" o:spid="_x0000_s1026" alt="&quot;&quot;" style="position:absolute;margin-left:.7pt;margin-top:.8pt;width:595.3pt;height:12.1pt;z-index:-25165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" fillcolor="#008142 [3208]" stroked="f" strokeweight="1pt">
                <w10:wrap anchorx="page" anchory="page"/>
              </v:rect>
            </w:pict>
          </mc:Fallback>
        </mc:AlternateContent>
      </w:r>
      <w:r w:rsidR="009C373F" w:rsidRPr="00E20DDC">
        <w:t>Involuntary treatment</w:t>
      </w:r>
    </w:p>
    <w:p w14:paraId="5D81C217" w14:textId="77777777" w:rsidR="009C373F" w:rsidRPr="00E20DDC" w:rsidRDefault="009C373F" w:rsidP="00E20DDC">
      <w:r w:rsidRPr="00E20DDC">
        <w:t xml:space="preserve">This is the compulsory assessment and/or treatment of a person in a mental health service without their consent and requires approval under state and territory mental health-related legislation. </w:t>
      </w:r>
    </w:p>
    <w:p w14:paraId="55FFDCAC" w14:textId="77777777" w:rsidR="009C373F" w:rsidRPr="00E20DDC" w:rsidRDefault="009C373F" w:rsidP="00E20DDC">
      <w:pPr>
        <w:pStyle w:val="NormalBeforeBullet"/>
      </w:pPr>
      <w:r w:rsidRPr="00E20DDC">
        <w:t xml:space="preserve">From 2019-20 to 2023-24: </w:t>
      </w:r>
    </w:p>
    <w:p w14:paraId="53C1970A" w14:textId="1F7B306B" w:rsidR="009C373F" w:rsidRPr="00E20DDC" w:rsidRDefault="009C373F" w:rsidP="00E20DDC">
      <w:pPr>
        <w:pStyle w:val="ListBullet"/>
      </w:pPr>
      <w:r w:rsidRPr="00E20DDC">
        <w:t>Between 47% and 50% of public acute-hospitalisations were involuntary</w:t>
      </w:r>
      <w:r w:rsidR="000917CC">
        <w:t>.</w:t>
      </w:r>
    </w:p>
    <w:p w14:paraId="44CC2B55" w14:textId="77777777" w:rsidR="009C373F" w:rsidRPr="00E20DDC" w:rsidRDefault="009C373F" w:rsidP="00E20DDC">
      <w:pPr>
        <w:pStyle w:val="ListBullet"/>
      </w:pPr>
      <w:r w:rsidRPr="00E20DDC">
        <w:t xml:space="preserve">Between 27% and 31% of public non-acute hospitalisations were involuntary. </w:t>
      </w:r>
    </w:p>
    <w:p w14:paraId="67A72768" w14:textId="77777777" w:rsidR="009C373F" w:rsidRPr="00E20DDC" w:rsidRDefault="009C373F" w:rsidP="00E20DDC">
      <w:pPr>
        <w:pStyle w:val="ListBullet"/>
      </w:pPr>
      <w:r w:rsidRPr="00E20DDC">
        <w:t>Between 15% and 16% of public specialised community mental health care episodes were involuntary.</w:t>
      </w:r>
    </w:p>
    <w:p w14:paraId="129F9E38" w14:textId="77777777" w:rsidR="009C373F" w:rsidRPr="00E20DDC" w:rsidRDefault="009C373F" w:rsidP="00E20DDC">
      <w:pPr>
        <w:pStyle w:val="ListBullet"/>
      </w:pPr>
      <w:r w:rsidRPr="00E20DDC">
        <w:t xml:space="preserve">Between 16% and 20% of public specialised residential mental health care episodes were involuntary. </w:t>
      </w:r>
    </w:p>
    <w:p w14:paraId="67738270" w14:textId="275E0C27" w:rsidR="009C373F" w:rsidRPr="00E20DDC" w:rsidRDefault="009C373F" w:rsidP="00E20DDC">
      <w:pPr>
        <w:rPr>
          <w:lang w:eastAsia="en-AU"/>
        </w:rPr>
      </w:pPr>
      <w:r w:rsidRPr="00E20DDC">
        <w:rPr>
          <w:lang w:eastAsia="en-AU"/>
        </w:rPr>
        <w:t>There are acknowledged data gaps towards understanding use of chemical restraint largely driven by ongoing lack of c</w:t>
      </w:r>
      <w:r w:rsidRPr="00E20DDC">
        <w:t>onsensus on definition and reporting requirements.</w:t>
      </w:r>
      <w:r w:rsidRPr="00E20DDC">
        <w:rPr>
          <w:vertAlign w:val="superscript"/>
        </w:rPr>
        <w:endnoteReference w:id="152"/>
      </w:r>
      <w:r w:rsidRPr="00E20DDC">
        <w:rPr>
          <w:vertAlign w:val="superscript"/>
        </w:rPr>
        <w:t xml:space="preserve"> </w:t>
      </w:r>
      <w:r w:rsidRPr="00E20DDC">
        <w:rPr>
          <w:vertAlign w:val="superscript"/>
        </w:rPr>
        <w:endnoteReference w:id="153"/>
      </w:r>
    </w:p>
    <w:p w14:paraId="555FE538" w14:textId="4872236D" w:rsidR="009C373F" w:rsidRPr="001D0A38" w:rsidRDefault="00EC156F" w:rsidP="001D0A38">
      <w:pPr>
        <w:pStyle w:val="Heading2"/>
        <w:rPr>
          <w:color w:val="5C626C"/>
          <w:lang w:val="en-AU"/>
        </w:rPr>
      </w:pPr>
      <w:r w:rsidRPr="009D015F">
        <w:rPr>
          <w:color w:val="5C626C"/>
          <w:lang w:val="en-AU"/>
        </w:rPr>
        <w:t>Theme</w:t>
      </w:r>
      <w:r>
        <w:rPr>
          <w:noProof/>
        </w:rPr>
        <w:t xml:space="preserve"> </w:t>
      </w:r>
      <w:r>
        <w:rPr>
          <w:noProof/>
        </w:rPr>
        <w:drawing>
          <wp:inline distT="0" distB="0" distL="0" distR="0" wp14:anchorId="5F43BE51" wp14:editId="5E2611DD">
            <wp:extent cx="234095" cy="331470"/>
            <wp:effectExtent l="0" t="0" r="0" b="0"/>
            <wp:docPr id="465381155"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81155" name="Graphic 189">
                      <a:extLst>
                        <a:ext uri="{C183D7F6-B498-43B3-948B-1728B52AA6E4}">
                          <adec:decorative xmlns:adec="http://schemas.microsoft.com/office/drawing/2017/decorative" val="1"/>
                        </a:ext>
                      </a:extLst>
                    </pic:cNvPr>
                    <pic:cNvPicPr/>
                  </pic:nvPicPr>
                  <pic:blipFill rotWithShape="1">
                    <a:blip r:embed="rId137">
                      <a:extLst>
                        <a:ext uri="{96DAC541-7B7A-43D3-8B79-37D633B846F1}">
                          <asvg:svgBlip xmlns:asvg="http://schemas.microsoft.com/office/drawing/2016/SVG/main" r:embed="rId138"/>
                        </a:ext>
                      </a:extLst>
                    </a:blip>
                    <a:srcRect l="25327" t="12625" r="24153" b="15841"/>
                    <a:stretch>
                      <a:fillRect/>
                    </a:stretch>
                  </pic:blipFill>
                  <pic:spPr bwMode="auto">
                    <a:xfrm>
                      <a:off x="0" y="0"/>
                      <a:ext cx="237395" cy="336143"/>
                    </a:xfrm>
                    <a:prstGeom prst="rect">
                      <a:avLst/>
                    </a:prstGeom>
                    <a:ln>
                      <a:noFill/>
                    </a:ln>
                    <a:extLst>
                      <a:ext uri="{53640926-AAD7-44D8-BBD7-CCE9431645EC}">
                        <a14:shadowObscured xmlns:a14="http://schemas.microsoft.com/office/drawing/2010/main"/>
                      </a:ext>
                    </a:extLst>
                  </pic:spPr>
                </pic:pic>
              </a:graphicData>
            </a:graphic>
          </wp:inline>
        </w:drawing>
      </w:r>
      <w:r>
        <w:rPr>
          <w:color w:val="C00000"/>
          <w:lang w:val="en-AU"/>
        </w:rPr>
        <w:t xml:space="preserve"> </w:t>
      </w:r>
      <w:r w:rsidR="009C373F" w:rsidRPr="001D0A38">
        <w:rPr>
          <w:color w:val="008142" w:themeColor="accent5"/>
        </w:rPr>
        <w:t xml:space="preserve">Safety and Quality - Indicators with identified data gaps </w:t>
      </w:r>
    </w:p>
    <w:p w14:paraId="5AE969B6" w14:textId="77777777" w:rsidR="009C373F" w:rsidRPr="00E20DDC" w:rsidRDefault="009C373F" w:rsidP="00E20DDC">
      <w:r w:rsidRPr="00E20DDC">
        <w:t>Some indicators within this theme do not yet have robust, reliable national data to support an assessment of performance over time. These indicators are explored below.</w:t>
      </w:r>
    </w:p>
    <w:tbl>
      <w:tblPr>
        <w:tblStyle w:val="TableGrid"/>
        <w:tblpPr w:leftFromText="180" w:rightFromText="180" w:vertAnchor="text" w:horzAnchor="margin" w:tblpY="103"/>
        <w:tblW w:w="0" w:type="auto"/>
        <w:tblLook w:val="04A0" w:firstRow="1" w:lastRow="0" w:firstColumn="1" w:lastColumn="0" w:noHBand="0" w:noVBand="1"/>
      </w:tblPr>
      <w:tblGrid>
        <w:gridCol w:w="2694"/>
        <w:gridCol w:w="6322"/>
      </w:tblGrid>
      <w:tr w:rsidR="009C373F" w:rsidRPr="00074489" w14:paraId="629340B7" w14:textId="77777777" w:rsidTr="009C5D35">
        <w:trPr>
          <w:trHeight w:val="199"/>
        </w:trPr>
        <w:tc>
          <w:tcPr>
            <w:tcW w:w="2694" w:type="dxa"/>
          </w:tcPr>
          <w:p w14:paraId="47895930" w14:textId="77777777" w:rsidR="009C373F" w:rsidRPr="00C82001" w:rsidRDefault="009C373F" w:rsidP="00E20DDC">
            <w:pPr>
              <w:pStyle w:val="Heading3"/>
              <w:rPr>
                <w:color w:val="008142" w:themeColor="accent5"/>
              </w:rPr>
            </w:pPr>
            <w:r w:rsidRPr="00C82001">
              <w:rPr>
                <w:color w:val="008142" w:themeColor="accent5"/>
              </w:rPr>
              <w:t xml:space="preserve">Indicators  </w:t>
            </w:r>
          </w:p>
        </w:tc>
        <w:tc>
          <w:tcPr>
            <w:tcW w:w="6322" w:type="dxa"/>
          </w:tcPr>
          <w:p w14:paraId="7B2F59C1" w14:textId="312BABB4" w:rsidR="009C373F" w:rsidRPr="00C82001" w:rsidRDefault="00AF7381" w:rsidP="00E20DDC">
            <w:pPr>
              <w:pStyle w:val="Heading3"/>
              <w:rPr>
                <w:color w:val="008142" w:themeColor="accent5"/>
              </w:rPr>
            </w:pPr>
            <w:r w:rsidRPr="00DE3039">
              <w:rPr>
                <w:color w:val="008142" w:themeColor="accent5"/>
              </w:rPr>
              <w:t>Why these indicators matter despite limited data</w:t>
            </w:r>
            <w:r>
              <w:rPr>
                <w:color w:val="008142" w:themeColor="accent5"/>
              </w:rPr>
              <w:t xml:space="preserve"> </w:t>
            </w:r>
            <w:r>
              <w:rPr>
                <w:noProof/>
              </w:rPr>
              <w:drawing>
                <wp:inline distT="0" distB="0" distL="0" distR="0" wp14:anchorId="5B96E459" wp14:editId="67EC7F17">
                  <wp:extent cx="232117" cy="232117"/>
                  <wp:effectExtent l="0" t="0" r="0" b="0"/>
                  <wp:docPr id="520872805" name="Graphic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72805" name="Graphic 182">
                            <a:extLst>
                              <a:ext uri="{C183D7F6-B498-43B3-948B-1728B52AA6E4}">
                                <adec:decorative xmlns:adec="http://schemas.microsoft.com/office/drawing/2017/decorative" val="1"/>
                              </a:ext>
                            </a:extLst>
                          </pic:cNvPr>
                          <pic:cNvPicPr/>
                        </pic:nvPicPr>
                        <pic:blipFill>
                          <a:blip r:embed="rId154">
                            <a:extLst>
                              <a:ext uri="{96DAC541-7B7A-43D3-8B79-37D633B846F1}">
                                <asvg:svgBlip xmlns:asvg="http://schemas.microsoft.com/office/drawing/2016/SVG/main" r:embed="rId155"/>
                              </a:ext>
                            </a:extLst>
                          </a:blip>
                          <a:stretch>
                            <a:fillRect/>
                          </a:stretch>
                        </pic:blipFill>
                        <pic:spPr>
                          <a:xfrm>
                            <a:off x="0" y="0"/>
                            <a:ext cx="247691" cy="247691"/>
                          </a:xfrm>
                          <a:prstGeom prst="rect">
                            <a:avLst/>
                          </a:prstGeom>
                        </pic:spPr>
                      </pic:pic>
                    </a:graphicData>
                  </a:graphic>
                </wp:inline>
              </w:drawing>
            </w:r>
          </w:p>
        </w:tc>
      </w:tr>
      <w:tr w:rsidR="009C373F" w:rsidRPr="00074489" w14:paraId="43BBB273" w14:textId="77777777" w:rsidTr="009C5D35">
        <w:trPr>
          <w:trHeight w:val="932"/>
        </w:trPr>
        <w:tc>
          <w:tcPr>
            <w:tcW w:w="2694" w:type="dxa"/>
          </w:tcPr>
          <w:p w14:paraId="46269335" w14:textId="77777777" w:rsidR="009C373F" w:rsidRPr="00C82001" w:rsidRDefault="009C373F" w:rsidP="004E5D44">
            <w:pPr>
              <w:pStyle w:val="Heading3"/>
              <w:spacing w:before="0"/>
              <w:rPr>
                <w:b w:val="0"/>
                <w:bCs/>
                <w:sz w:val="20"/>
                <w:szCs w:val="20"/>
              </w:rPr>
            </w:pPr>
            <w:r w:rsidRPr="00C82001">
              <w:rPr>
                <w:b w:val="0"/>
                <w:bCs/>
                <w:lang w:eastAsia="en-AU"/>
              </w:rPr>
              <w:t>Consumers feel</w:t>
            </w:r>
            <w:r w:rsidRPr="00C82001">
              <w:rPr>
                <w:rFonts w:ascii="Arial" w:hAnsi="Arial" w:cs="Arial"/>
                <w:b w:val="0"/>
                <w:bCs/>
                <w:lang w:eastAsia="en-AU"/>
              </w:rPr>
              <w:t> </w:t>
            </w:r>
            <w:r w:rsidRPr="00C82001">
              <w:rPr>
                <w:b w:val="0"/>
                <w:bCs/>
                <w:lang w:eastAsia="en-AU"/>
              </w:rPr>
              <w:t>safe in</w:t>
            </w:r>
            <w:r w:rsidRPr="00C82001">
              <w:rPr>
                <w:rFonts w:ascii="Arial" w:hAnsi="Arial" w:cs="Arial"/>
                <w:b w:val="0"/>
                <w:bCs/>
                <w:lang w:eastAsia="en-AU"/>
              </w:rPr>
              <w:t> </w:t>
            </w:r>
            <w:r w:rsidRPr="00C82001">
              <w:rPr>
                <w:b w:val="0"/>
                <w:bCs/>
                <w:lang w:eastAsia="en-AU"/>
              </w:rPr>
              <w:t xml:space="preserve">interactions with the mental health system </w:t>
            </w:r>
            <w:r w:rsidRPr="00C82001">
              <w:rPr>
                <w:rFonts w:eastAsia="Times New Roman" w:cs="Arial"/>
                <w:b w:val="0"/>
                <w:bCs/>
                <w:lang w:eastAsia="en-AU"/>
              </w:rPr>
              <w:t xml:space="preserve"> </w:t>
            </w:r>
          </w:p>
        </w:tc>
        <w:tc>
          <w:tcPr>
            <w:tcW w:w="6322" w:type="dxa"/>
          </w:tcPr>
          <w:p w14:paraId="50EA3337" w14:textId="77777777" w:rsidR="009C373F" w:rsidRPr="00E20DDC" w:rsidRDefault="009C373F" w:rsidP="00E20DDC">
            <w:pPr>
              <w:rPr>
                <w:highlight w:val="yellow"/>
                <w:lang w:val="en-AU"/>
              </w:rPr>
            </w:pPr>
            <w:r w:rsidRPr="00E20DDC">
              <w:t xml:space="preserve">Definitions of both safety and harm can vary substantially between consumers and clinicians. Most existing measures of safety focus on harm minimisation and risk management, rather than whether consumers feel safe when receiving care. </w:t>
            </w:r>
          </w:p>
        </w:tc>
      </w:tr>
      <w:tr w:rsidR="009C373F" w:rsidRPr="00074489" w14:paraId="5C1B7AD3" w14:textId="77777777" w:rsidTr="009C5D35">
        <w:trPr>
          <w:trHeight w:val="1048"/>
        </w:trPr>
        <w:tc>
          <w:tcPr>
            <w:tcW w:w="2694" w:type="dxa"/>
          </w:tcPr>
          <w:p w14:paraId="12B9CE15" w14:textId="77777777" w:rsidR="009C373F" w:rsidRPr="00C82001" w:rsidRDefault="009C373F" w:rsidP="004E5D44">
            <w:pPr>
              <w:pStyle w:val="Heading3"/>
              <w:spacing w:before="0"/>
              <w:rPr>
                <w:b w:val="0"/>
                <w:bCs/>
                <w:sz w:val="20"/>
                <w:szCs w:val="20"/>
              </w:rPr>
            </w:pPr>
            <w:r w:rsidRPr="00C82001">
              <w:rPr>
                <w:b w:val="0"/>
                <w:bCs/>
                <w:lang w:eastAsia="en-AU"/>
              </w:rPr>
              <w:t>Consumers and carers are involved</w:t>
            </w:r>
            <w:r w:rsidRPr="00C82001">
              <w:rPr>
                <w:rFonts w:ascii="Arial" w:hAnsi="Arial" w:cs="Arial"/>
                <w:b w:val="0"/>
                <w:bCs/>
                <w:lang w:eastAsia="en-AU"/>
              </w:rPr>
              <w:t> </w:t>
            </w:r>
            <w:r w:rsidRPr="00C82001">
              <w:rPr>
                <w:b w:val="0"/>
                <w:bCs/>
                <w:lang w:eastAsia="en-AU"/>
              </w:rPr>
              <w:t>and supported</w:t>
            </w:r>
            <w:r w:rsidRPr="00C82001">
              <w:rPr>
                <w:rFonts w:ascii="Arial" w:hAnsi="Arial" w:cs="Arial"/>
                <w:b w:val="0"/>
                <w:bCs/>
                <w:lang w:eastAsia="en-AU"/>
              </w:rPr>
              <w:t> </w:t>
            </w:r>
            <w:r w:rsidRPr="00C82001">
              <w:rPr>
                <w:b w:val="0"/>
                <w:bCs/>
                <w:lang w:eastAsia="en-AU"/>
              </w:rPr>
              <w:t>in decision-making about</w:t>
            </w:r>
            <w:r w:rsidRPr="00C82001">
              <w:rPr>
                <w:rFonts w:ascii="Arial" w:hAnsi="Arial" w:cs="Arial"/>
                <w:b w:val="0"/>
                <w:bCs/>
                <w:lang w:eastAsia="en-AU"/>
              </w:rPr>
              <w:t> </w:t>
            </w:r>
            <w:r w:rsidRPr="00C82001">
              <w:rPr>
                <w:b w:val="0"/>
                <w:bCs/>
                <w:lang w:eastAsia="en-AU"/>
              </w:rPr>
              <w:t>care</w:t>
            </w:r>
          </w:p>
        </w:tc>
        <w:tc>
          <w:tcPr>
            <w:tcW w:w="6322" w:type="dxa"/>
          </w:tcPr>
          <w:p w14:paraId="7D23A91B" w14:textId="77777777" w:rsidR="009C373F" w:rsidRPr="00E20DDC" w:rsidRDefault="009C373F" w:rsidP="00E20DDC">
            <w:r w:rsidRPr="00E20DDC">
              <w:t xml:space="preserve">Involving consumers in decision making about their care, as well as providing opportunities for family and carers to be involved as appropriate, are important parts of person-centred care, but not easily measurable.  </w:t>
            </w:r>
          </w:p>
        </w:tc>
      </w:tr>
      <w:tr w:rsidR="009C373F" w:rsidRPr="00074489" w14:paraId="0C86D339" w14:textId="77777777" w:rsidTr="009C5D35">
        <w:trPr>
          <w:trHeight w:val="1181"/>
        </w:trPr>
        <w:tc>
          <w:tcPr>
            <w:tcW w:w="2694" w:type="dxa"/>
          </w:tcPr>
          <w:p w14:paraId="2543E0D2" w14:textId="77777777" w:rsidR="009C373F" w:rsidRPr="00C82001" w:rsidRDefault="009C373F" w:rsidP="004E5D44">
            <w:pPr>
              <w:pStyle w:val="Heading3"/>
              <w:spacing w:before="0"/>
              <w:rPr>
                <w:b w:val="0"/>
                <w:bCs/>
                <w:sz w:val="20"/>
                <w:szCs w:val="20"/>
              </w:rPr>
            </w:pPr>
            <w:r w:rsidRPr="00C82001">
              <w:rPr>
                <w:b w:val="0"/>
                <w:bCs/>
                <w:lang w:eastAsia="en-AU"/>
              </w:rPr>
              <w:t>Cultural</w:t>
            </w:r>
            <w:r w:rsidRPr="00C82001">
              <w:rPr>
                <w:rFonts w:ascii="Arial" w:hAnsi="Arial" w:cs="Arial"/>
                <w:b w:val="0"/>
                <w:bCs/>
                <w:lang w:eastAsia="en-AU"/>
              </w:rPr>
              <w:t> </w:t>
            </w:r>
            <w:r w:rsidRPr="00C82001">
              <w:rPr>
                <w:b w:val="0"/>
                <w:bCs/>
                <w:lang w:eastAsia="en-AU"/>
              </w:rPr>
              <w:t>and gender</w:t>
            </w:r>
            <w:r w:rsidRPr="00C82001">
              <w:rPr>
                <w:rFonts w:ascii="Arial" w:hAnsi="Arial" w:cs="Arial"/>
                <w:b w:val="0"/>
                <w:bCs/>
                <w:lang w:eastAsia="en-AU"/>
              </w:rPr>
              <w:t> </w:t>
            </w:r>
            <w:r w:rsidRPr="00C82001">
              <w:rPr>
                <w:b w:val="0"/>
                <w:bCs/>
                <w:lang w:eastAsia="en-AU"/>
              </w:rPr>
              <w:t>responsiveness of care</w:t>
            </w:r>
            <w:r w:rsidRPr="00C82001">
              <w:rPr>
                <w:rFonts w:ascii="Arial" w:hAnsi="Arial" w:cs="Arial"/>
                <w:b w:val="0"/>
                <w:bCs/>
                <w:lang w:eastAsia="en-AU"/>
              </w:rPr>
              <w:t xml:space="preserve"> </w:t>
            </w:r>
          </w:p>
        </w:tc>
        <w:tc>
          <w:tcPr>
            <w:tcW w:w="6322" w:type="dxa"/>
          </w:tcPr>
          <w:p w14:paraId="3814AEE8" w14:textId="77777777" w:rsidR="009C373F" w:rsidRPr="00E20DDC" w:rsidRDefault="009C373F" w:rsidP="00E20DDC">
            <w:pPr>
              <w:rPr>
                <w:highlight w:val="yellow"/>
              </w:rPr>
            </w:pPr>
            <w:r w:rsidRPr="00E20DDC">
              <w:t xml:space="preserve">The extent to which services are culturally appropriate and provide gender responsive care have important considerations for both accessibility and safety and quality. However quantitative datasets alone cannot capture appropriateness or cultural safety of mental health care. </w:t>
            </w:r>
          </w:p>
        </w:tc>
      </w:tr>
      <w:tr w:rsidR="009C373F" w:rsidRPr="00074489" w14:paraId="0C80D5C7" w14:textId="77777777" w:rsidTr="009C5D35">
        <w:tc>
          <w:tcPr>
            <w:tcW w:w="2694" w:type="dxa"/>
          </w:tcPr>
          <w:p w14:paraId="2B61FC7D" w14:textId="77777777" w:rsidR="009C373F" w:rsidRPr="00C82001" w:rsidRDefault="009C373F" w:rsidP="004E5D44">
            <w:pPr>
              <w:pStyle w:val="Heading3"/>
              <w:spacing w:before="0"/>
              <w:rPr>
                <w:b w:val="0"/>
                <w:bCs/>
                <w:lang w:eastAsia="en-AU"/>
              </w:rPr>
            </w:pPr>
            <w:r w:rsidRPr="00C82001">
              <w:rPr>
                <w:b w:val="0"/>
                <w:bCs/>
                <w:lang w:eastAsia="en-AU"/>
              </w:rPr>
              <w:t xml:space="preserve">Experiences of stigma, discrimination, and coercion in mental health care </w:t>
            </w:r>
          </w:p>
        </w:tc>
        <w:tc>
          <w:tcPr>
            <w:tcW w:w="6322" w:type="dxa"/>
          </w:tcPr>
          <w:p w14:paraId="69200586" w14:textId="77777777" w:rsidR="009C373F" w:rsidRPr="00E20DDC" w:rsidRDefault="009C373F" w:rsidP="00E20DDC">
            <w:r w:rsidRPr="00E20DDC">
              <w:t xml:space="preserve">Stigma and discrimination are barriers to accessing quality mental health care but can be difficult to measure and monitor over time. Improved data can help inform efforts to reduce and, where possible, eliminate coercive practices in mental health care. </w:t>
            </w:r>
          </w:p>
        </w:tc>
      </w:tr>
      <w:tr w:rsidR="009C373F" w:rsidRPr="00074489" w14:paraId="1478ED6C" w14:textId="77777777" w:rsidTr="009C5D35">
        <w:tc>
          <w:tcPr>
            <w:tcW w:w="2694" w:type="dxa"/>
          </w:tcPr>
          <w:p w14:paraId="4595DC94" w14:textId="77777777" w:rsidR="009C373F" w:rsidRPr="00C82001" w:rsidRDefault="009C373F" w:rsidP="004E5D44">
            <w:pPr>
              <w:pStyle w:val="Heading3"/>
              <w:spacing w:before="0"/>
              <w:rPr>
                <w:b w:val="0"/>
                <w:bCs/>
                <w:lang w:eastAsia="en-AU"/>
              </w:rPr>
            </w:pPr>
            <w:r w:rsidRPr="00C82001">
              <w:rPr>
                <w:b w:val="0"/>
                <w:bCs/>
                <w:lang w:eastAsia="en-AU"/>
              </w:rPr>
              <w:t>Awareness and confidence in complaint mechanisms and safeguards</w:t>
            </w:r>
            <w:r w:rsidRPr="00C82001">
              <w:rPr>
                <w:rFonts w:ascii="Arial" w:hAnsi="Arial" w:cs="Arial"/>
                <w:b w:val="0"/>
                <w:bCs/>
                <w:lang w:eastAsia="en-AU"/>
              </w:rPr>
              <w:t> </w:t>
            </w:r>
          </w:p>
        </w:tc>
        <w:tc>
          <w:tcPr>
            <w:tcW w:w="6322" w:type="dxa"/>
          </w:tcPr>
          <w:p w14:paraId="213BF6D4" w14:textId="77777777" w:rsidR="009C373F" w:rsidRPr="00E20DDC" w:rsidRDefault="009C373F" w:rsidP="00E20DDC">
            <w:r w:rsidRPr="00E20DDC">
              <w:rPr>
                <w:lang w:eastAsia="en-AU"/>
              </w:rPr>
              <w:t xml:space="preserve">Everyone has a right to make a complaint about their experiences in mental health care; however, in practice, doing so is not straightforward. Knowing how and where to submit a complaint </w:t>
            </w:r>
            <w:r w:rsidRPr="00E20DDC">
              <w:t>about a mental health service can be unclear within a landscape of complex service and funding arrangements.</w:t>
            </w:r>
          </w:p>
        </w:tc>
      </w:tr>
    </w:tbl>
    <w:p w14:paraId="7E3909DE" w14:textId="77777777" w:rsidR="009C373F" w:rsidRDefault="009C373F" w:rsidP="009C373F">
      <w:pPr>
        <w:rPr>
          <w:rFonts w:ascii="Aptos" w:hAnsi="Aptos"/>
          <w:color w:val="171717" w:themeColor="background2" w:themeShade="1A"/>
          <w:sz w:val="22"/>
        </w:rPr>
      </w:pPr>
    </w:p>
    <w:p w14:paraId="2A165D6D" w14:textId="7FBF4C6F" w:rsidR="001B3681" w:rsidRDefault="001B3681">
      <w:pPr>
        <w:suppressAutoHyphens w:val="0"/>
        <w:autoSpaceDE/>
        <w:autoSpaceDN/>
        <w:adjustRightInd/>
        <w:spacing w:after="0" w:line="240" w:lineRule="auto"/>
        <w:textAlignment w:val="auto"/>
        <w:rPr>
          <w:rFonts w:eastAsiaTheme="majorEastAsia" w:cstheme="majorBidi"/>
          <w:color w:val="008143"/>
          <w:sz w:val="24"/>
          <w:szCs w:val="26"/>
          <w:lang w:eastAsia="en-AU"/>
        </w:rPr>
      </w:pPr>
      <w:r>
        <w:br w:type="page"/>
      </w:r>
    </w:p>
    <w:p w14:paraId="6D3C8E58" w14:textId="4CB89204" w:rsidR="009C373F" w:rsidRPr="004E5D44" w:rsidRDefault="00EC156F" w:rsidP="004D7515">
      <w:pPr>
        <w:pStyle w:val="Heading2"/>
        <w:rPr>
          <w:color w:val="008142" w:themeColor="accent5"/>
        </w:rPr>
      </w:pPr>
      <w:r w:rsidRPr="009D015F">
        <w:rPr>
          <w:color w:val="5C626C"/>
          <w:lang w:val="en-AU"/>
        </w:rPr>
        <w:lastRenderedPageBreak/>
        <w:t>Theme</w:t>
      </w:r>
      <w:r>
        <w:rPr>
          <w:noProof/>
        </w:rPr>
        <w:t xml:space="preserve"> </w:t>
      </w:r>
      <w:r>
        <w:rPr>
          <w:noProof/>
        </w:rPr>
        <w:drawing>
          <wp:inline distT="0" distB="0" distL="0" distR="0" wp14:anchorId="66201AED" wp14:editId="240A8A62">
            <wp:extent cx="234095" cy="331470"/>
            <wp:effectExtent l="0" t="0" r="0" b="0"/>
            <wp:docPr id="394652193"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652193" name="Graphic 189">
                      <a:extLst>
                        <a:ext uri="{C183D7F6-B498-43B3-948B-1728B52AA6E4}">
                          <adec:decorative xmlns:adec="http://schemas.microsoft.com/office/drawing/2017/decorative" val="1"/>
                        </a:ext>
                      </a:extLst>
                    </pic:cNvPr>
                    <pic:cNvPicPr/>
                  </pic:nvPicPr>
                  <pic:blipFill rotWithShape="1">
                    <a:blip r:embed="rId137">
                      <a:extLst>
                        <a:ext uri="{96DAC541-7B7A-43D3-8B79-37D633B846F1}">
                          <asvg:svgBlip xmlns:asvg="http://schemas.microsoft.com/office/drawing/2016/SVG/main" r:embed="rId138"/>
                        </a:ext>
                      </a:extLst>
                    </a:blip>
                    <a:srcRect l="25327" t="12625" r="24153" b="15841"/>
                    <a:stretch>
                      <a:fillRect/>
                    </a:stretch>
                  </pic:blipFill>
                  <pic:spPr bwMode="auto">
                    <a:xfrm>
                      <a:off x="0" y="0"/>
                      <a:ext cx="237395" cy="336143"/>
                    </a:xfrm>
                    <a:prstGeom prst="rect">
                      <a:avLst/>
                    </a:prstGeom>
                    <a:ln>
                      <a:noFill/>
                    </a:ln>
                    <a:extLst>
                      <a:ext uri="{53640926-AAD7-44D8-BBD7-CCE9431645EC}">
                        <a14:shadowObscured xmlns:a14="http://schemas.microsoft.com/office/drawing/2010/main"/>
                      </a:ext>
                    </a:extLst>
                  </pic:spPr>
                </pic:pic>
              </a:graphicData>
            </a:graphic>
          </wp:inline>
        </w:drawing>
      </w:r>
      <w:r>
        <w:rPr>
          <w:color w:val="C00000"/>
          <w:lang w:val="en-AU"/>
        </w:rPr>
        <w:t xml:space="preserve"> </w:t>
      </w:r>
      <w:r w:rsidR="00164CEB" w:rsidRPr="00E67438">
        <w:rPr>
          <w:noProof/>
          <w:color w:val="008142" w:themeColor="accent5"/>
        </w:rPr>
        <mc:AlternateContent>
          <mc:Choice Requires="wps">
            <w:drawing>
              <wp:anchor distT="0" distB="0" distL="114300" distR="114300" simplePos="0" relativeHeight="251658305" behindDoc="1" locked="0" layoutInCell="1" allowOverlap="1" wp14:anchorId="0321B0D7" wp14:editId="41DDB80E">
                <wp:simplePos x="0" y="0"/>
                <wp:positionH relativeFrom="page">
                  <wp:posOffset>-8890</wp:posOffset>
                </wp:positionH>
                <wp:positionV relativeFrom="page">
                  <wp:posOffset>12376</wp:posOffset>
                </wp:positionV>
                <wp:extent cx="7560000" cy="153909"/>
                <wp:effectExtent l="0" t="0" r="0" b="0"/>
                <wp:wrapNone/>
                <wp:docPr id="338585195" name="Rectangle 3385851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556665B" id="Rectangle 338585195" o:spid="_x0000_s1026" alt="&quot;&quot;" style="position:absolute;margin-left:-.7pt;margin-top:.95pt;width:595.3pt;height:12.1pt;z-index:-2516581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" fillcolor="#008142 [3208]" stroked="f" strokeweight="1pt">
                <w10:wrap anchorx="page" anchory="page"/>
              </v:rect>
            </w:pict>
          </mc:Fallback>
        </mc:AlternateContent>
      </w:r>
      <w:r w:rsidR="009C373F" w:rsidRPr="00F84FFF">
        <w:rPr>
          <w:color w:val="008142" w:themeColor="accent5"/>
        </w:rPr>
        <w:t>Sustainability and efficiency</w:t>
      </w:r>
    </w:p>
    <w:p w14:paraId="472DBA2F" w14:textId="5FC67067" w:rsidR="009C373F" w:rsidRPr="00063D4E" w:rsidRDefault="009C373F" w:rsidP="004E5D44">
      <w:r w:rsidRPr="00063D4E">
        <w:t>To understand this theme, we consider the following guiding questions:</w:t>
      </w:r>
      <w:r w:rsidR="00C27F0C" w:rsidRPr="004E5D44">
        <w:t xml:space="preserve"> </w:t>
      </w:r>
    </w:p>
    <w:p w14:paraId="404C6C6C" w14:textId="30FDCB7D" w:rsidR="009C373F" w:rsidRPr="00063D4E" w:rsidRDefault="004A5109" w:rsidP="004E5D44">
      <w:pPr>
        <w:pStyle w:val="GuidingQuestion"/>
      </w:pPr>
      <w:r>
        <w:rPr>
          <w:noProof/>
        </w:rPr>
        <w:drawing>
          <wp:inline distT="0" distB="0" distL="0" distR="0" wp14:anchorId="60F1CF7E" wp14:editId="3FF8FFF6">
            <wp:extent cx="369631" cy="260916"/>
            <wp:effectExtent l="0" t="0" r="0" b="6350"/>
            <wp:docPr id="1318158037"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58037" name="Graphic 189">
                      <a:extLst>
                        <a:ext uri="{C183D7F6-B498-43B3-948B-1728B52AA6E4}">
                          <adec:decorative xmlns:adec="http://schemas.microsoft.com/office/drawing/2017/decorative" val="1"/>
                        </a:ext>
                      </a:extLst>
                    </pic:cNvPr>
                    <pic:cNvPicPr/>
                  </pic:nvPicPr>
                  <pic:blipFill>
                    <a:blip r:embed="rId127">
                      <a:extLst>
                        <a:ext uri="{96DAC541-7B7A-43D3-8B79-37D633B846F1}">
                          <asvg:svgBlip xmlns:asvg="http://schemas.microsoft.com/office/drawing/2016/SVG/main" r:embed="rId128"/>
                        </a:ext>
                      </a:extLst>
                    </a:blip>
                    <a:stretch>
                      <a:fillRect/>
                    </a:stretch>
                  </pic:blipFill>
                  <pic:spPr>
                    <a:xfrm>
                      <a:off x="0" y="0"/>
                      <a:ext cx="369631" cy="260916"/>
                    </a:xfrm>
                    <a:prstGeom prst="rect">
                      <a:avLst/>
                    </a:prstGeom>
                  </pic:spPr>
                </pic:pic>
              </a:graphicData>
            </a:graphic>
          </wp:inline>
        </w:drawing>
      </w:r>
      <w:r>
        <w:br/>
      </w:r>
      <w:r w:rsidR="009C373F" w:rsidRPr="00063D4E">
        <w:t xml:space="preserve">To what extent are consumers, carers, family and kin supported by a </w:t>
      </w:r>
      <w:r w:rsidR="00767857" w:rsidRPr="00063D4E">
        <w:br/>
      </w:r>
      <w:r w:rsidR="009C373F" w:rsidRPr="00063D4E">
        <w:t>well-resourced and efficient mental health system now and into the future? </w:t>
      </w:r>
    </w:p>
    <w:p w14:paraId="4EE852C9" w14:textId="6053A051" w:rsidR="009C373F" w:rsidRPr="00063D4E" w:rsidRDefault="001D0A38" w:rsidP="004E5D44">
      <w:pPr>
        <w:pStyle w:val="GuidingQuestion"/>
      </w:pPr>
      <w:r>
        <w:rPr>
          <w:noProof/>
        </w:rPr>
        <w:drawing>
          <wp:anchor distT="0" distB="0" distL="114300" distR="114300" simplePos="0" relativeHeight="251821198" behindDoc="0" locked="0" layoutInCell="1" allowOverlap="1" wp14:anchorId="19E35BA6" wp14:editId="393A7D4B">
            <wp:simplePos x="0" y="0"/>
            <wp:positionH relativeFrom="column">
              <wp:posOffset>5206197</wp:posOffset>
            </wp:positionH>
            <wp:positionV relativeFrom="paragraph">
              <wp:posOffset>419104</wp:posOffset>
            </wp:positionV>
            <wp:extent cx="522605" cy="332740"/>
            <wp:effectExtent l="0" t="0" r="0" b="0"/>
            <wp:wrapSquare wrapText="bothSides"/>
            <wp:docPr id="205698851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63720" name="Picture 100">
                      <a:extLst>
                        <a:ext uri="{C183D7F6-B498-43B3-948B-1728B52AA6E4}">
                          <adec:decorative xmlns:adec="http://schemas.microsoft.com/office/drawing/2017/decorative" val="1"/>
                        </a:ext>
                      </a:extLst>
                    </pic:cNvPr>
                    <pic:cNvPicPr/>
                  </pic:nvPicPr>
                  <pic:blipFill rotWithShape="1">
                    <a:blip r:embed="rId139">
                      <a:extLst>
                        <a:ext uri="{96DAC541-7B7A-43D3-8B79-37D633B846F1}">
                          <asvg:svgBlip xmlns:asvg="http://schemas.microsoft.com/office/drawing/2016/SVG/main" r:embed="rId140"/>
                        </a:ext>
                      </a:extLst>
                    </a:blip>
                    <a:srcRect l="6567" t="11818" r="1868" b="29856"/>
                    <a:stretch>
                      <a:fillRect/>
                    </a:stretch>
                  </pic:blipFill>
                  <pic:spPr bwMode="auto">
                    <a:xfrm>
                      <a:off x="0" y="0"/>
                      <a:ext cx="522605"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373F" w:rsidRPr="00063D4E">
        <w:t xml:space="preserve">To what extent are consumers, carers, family and kin included in </w:t>
      </w:r>
      <w:r w:rsidR="00767857" w:rsidRPr="00063D4E">
        <w:br/>
      </w:r>
      <w:r w:rsidR="009C373F" w:rsidRPr="00063D4E">
        <w:t>stewardship of the mental health system?</w:t>
      </w:r>
    </w:p>
    <w:p w14:paraId="41BCC3E8" w14:textId="53F104D7" w:rsidR="009C373F" w:rsidRPr="001B3681" w:rsidRDefault="009C373F" w:rsidP="00341C7A">
      <w:pPr>
        <w:pStyle w:val="Heading3"/>
      </w:pPr>
      <w:r w:rsidRPr="001B3681">
        <w:t>The Commission draws on the following indicators:</w:t>
      </w:r>
      <w:r w:rsidR="001D0A38" w:rsidRPr="001D0A38">
        <w:rPr>
          <w:noProof/>
        </w:rPr>
        <w:t xml:space="preserve"> </w:t>
      </w:r>
    </w:p>
    <w:p w14:paraId="190C5468" w14:textId="2041047C" w:rsidR="00390D63" w:rsidRDefault="00341C7A" w:rsidP="00390D63">
      <w:pPr>
        <w:pStyle w:val="ListBullet"/>
        <w:numPr>
          <w:ilvl w:val="0"/>
          <w:numId w:val="0"/>
        </w:numPr>
        <w:ind w:left="170" w:hanging="170"/>
      </w:pPr>
      <w:r>
        <w:rPr>
          <w:noProof/>
        </w:rPr>
        <w:drawing>
          <wp:anchor distT="0" distB="0" distL="114300" distR="114300" simplePos="0" relativeHeight="251790478" behindDoc="0" locked="0" layoutInCell="1" allowOverlap="1" wp14:anchorId="71CCE86B" wp14:editId="47E172B2">
            <wp:simplePos x="0" y="0"/>
            <wp:positionH relativeFrom="column">
              <wp:posOffset>0</wp:posOffset>
            </wp:positionH>
            <wp:positionV relativeFrom="paragraph">
              <wp:posOffset>123190</wp:posOffset>
            </wp:positionV>
            <wp:extent cx="262890" cy="262890"/>
            <wp:effectExtent l="0" t="0" r="3810" b="3810"/>
            <wp:wrapSquare wrapText="bothSides"/>
            <wp:docPr id="1171824913"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24913" name="Picture 100">
                      <a:extLst>
                        <a:ext uri="{C183D7F6-B498-43B3-948B-1728B52AA6E4}">
                          <adec:decorative xmlns:adec="http://schemas.microsoft.com/office/drawing/2017/decorative" val="1"/>
                        </a:ext>
                      </a:extLst>
                    </pic:cNvPr>
                    <pic:cNvPicPr/>
                  </pic:nvPicPr>
                  <pic:blipFill>
                    <a:blip r:embed="rId165">
                      <a:extLst>
                        <a:ext uri="{96DAC541-7B7A-43D3-8B79-37D633B846F1}">
                          <asvg:svgBlip xmlns:asvg="http://schemas.microsoft.com/office/drawing/2016/SVG/main" r:embed="rId166"/>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01B481CA" w14:textId="4E1BE0A7" w:rsidR="009C373F" w:rsidRPr="001B3681" w:rsidRDefault="009C373F" w:rsidP="00390D63">
      <w:pPr>
        <w:pStyle w:val="ListBullet"/>
        <w:numPr>
          <w:ilvl w:val="0"/>
          <w:numId w:val="0"/>
        </w:numPr>
        <w:ind w:left="170" w:hanging="170"/>
      </w:pPr>
      <w:r w:rsidRPr="001B3681">
        <w:t>Proportion of public and private expenditure on mental health related services</w:t>
      </w:r>
    </w:p>
    <w:p w14:paraId="1A942FBE" w14:textId="1555F810" w:rsidR="00390D63" w:rsidRDefault="00341C7A" w:rsidP="00390D63">
      <w:pPr>
        <w:pStyle w:val="ListBullet"/>
        <w:numPr>
          <w:ilvl w:val="0"/>
          <w:numId w:val="0"/>
        </w:numPr>
        <w:ind w:left="170" w:hanging="170"/>
      </w:pPr>
      <w:r>
        <w:rPr>
          <w:noProof/>
        </w:rPr>
        <w:drawing>
          <wp:anchor distT="0" distB="0" distL="114300" distR="114300" simplePos="0" relativeHeight="251788430" behindDoc="0" locked="0" layoutInCell="1" allowOverlap="1" wp14:anchorId="51AED91D" wp14:editId="189F5FF9">
            <wp:simplePos x="0" y="0"/>
            <wp:positionH relativeFrom="column">
              <wp:posOffset>0</wp:posOffset>
            </wp:positionH>
            <wp:positionV relativeFrom="paragraph">
              <wp:posOffset>132080</wp:posOffset>
            </wp:positionV>
            <wp:extent cx="262890" cy="262890"/>
            <wp:effectExtent l="0" t="0" r="3810" b="3810"/>
            <wp:wrapSquare wrapText="bothSides"/>
            <wp:docPr id="525706696"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06696" name="Picture 100">
                      <a:extLst>
                        <a:ext uri="{C183D7F6-B498-43B3-948B-1728B52AA6E4}">
                          <adec:decorative xmlns:adec="http://schemas.microsoft.com/office/drawing/2017/decorative" val="1"/>
                        </a:ext>
                      </a:extLst>
                    </pic:cNvPr>
                    <pic:cNvPicPr/>
                  </pic:nvPicPr>
                  <pic:blipFill>
                    <a:blip r:embed="rId167">
                      <a:extLst>
                        <a:ext uri="{96DAC541-7B7A-43D3-8B79-37D633B846F1}">
                          <asvg:svgBlip xmlns:asvg="http://schemas.microsoft.com/office/drawing/2016/SVG/main" r:embed="rId168"/>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04E3C215" w14:textId="47514F24" w:rsidR="009C373F" w:rsidRPr="001B3681" w:rsidRDefault="009C373F" w:rsidP="00390D63">
      <w:pPr>
        <w:pStyle w:val="ListBullet"/>
        <w:numPr>
          <w:ilvl w:val="0"/>
          <w:numId w:val="0"/>
        </w:numPr>
        <w:ind w:left="170" w:hanging="170"/>
      </w:pPr>
      <w:r w:rsidRPr="001B3681">
        <w:t>Workforce distribution (FTE) of psychiatry, psychology, allied health professionals and peer workforce </w:t>
      </w:r>
    </w:p>
    <w:p w14:paraId="6B06D053" w14:textId="5A0FE085" w:rsidR="00390D63" w:rsidRDefault="00341C7A" w:rsidP="00390D63">
      <w:pPr>
        <w:pStyle w:val="ListBullet"/>
        <w:numPr>
          <w:ilvl w:val="0"/>
          <w:numId w:val="0"/>
        </w:numPr>
        <w:ind w:left="170" w:hanging="170"/>
      </w:pPr>
      <w:r>
        <w:rPr>
          <w:noProof/>
        </w:rPr>
        <w:drawing>
          <wp:anchor distT="0" distB="0" distL="114300" distR="114300" simplePos="0" relativeHeight="251782286" behindDoc="0" locked="0" layoutInCell="1" allowOverlap="1" wp14:anchorId="4DBC9BD1" wp14:editId="7E98683E">
            <wp:simplePos x="0" y="0"/>
            <wp:positionH relativeFrom="column">
              <wp:posOffset>0</wp:posOffset>
            </wp:positionH>
            <wp:positionV relativeFrom="paragraph">
              <wp:posOffset>133350</wp:posOffset>
            </wp:positionV>
            <wp:extent cx="262890" cy="262890"/>
            <wp:effectExtent l="0" t="0" r="3810" b="3810"/>
            <wp:wrapSquare wrapText="bothSides"/>
            <wp:docPr id="2130142922"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30994CBD" w14:textId="47065C4D" w:rsidR="009C373F" w:rsidRPr="001B3681" w:rsidRDefault="009C373F" w:rsidP="00390D63">
      <w:pPr>
        <w:pStyle w:val="ListBullet"/>
        <w:numPr>
          <w:ilvl w:val="0"/>
          <w:numId w:val="0"/>
        </w:numPr>
        <w:ind w:left="170" w:hanging="170"/>
      </w:pPr>
      <w:r w:rsidRPr="001B3681">
        <w:t xml:space="preserve">Participation of peer workers in the mental health workforce </w:t>
      </w:r>
      <w:r w:rsidR="00282721" w:rsidRPr="009D015F">
        <w:rPr>
          <w:b/>
          <w:bCs/>
          <w:color w:val="008142" w:themeColor="accent5"/>
        </w:rPr>
        <w:t>Identified data gap</w:t>
      </w:r>
      <w:r w:rsidR="00282721" w:rsidRPr="008560E3" w:rsidDel="00282721">
        <w:rPr>
          <w:b/>
          <w:bCs/>
        </w:rPr>
        <w:t xml:space="preserve"> </w:t>
      </w:r>
    </w:p>
    <w:p w14:paraId="75C56423" w14:textId="501F70BE" w:rsidR="00390D63" w:rsidRDefault="00390D63" w:rsidP="00390D63">
      <w:pPr>
        <w:pStyle w:val="ListBullet"/>
        <w:numPr>
          <w:ilvl w:val="0"/>
          <w:numId w:val="0"/>
        </w:numPr>
        <w:ind w:left="170" w:hanging="170"/>
      </w:pPr>
    </w:p>
    <w:p w14:paraId="0421C67A" w14:textId="61351298" w:rsidR="009C373F" w:rsidRPr="001B3681" w:rsidRDefault="00341C7A" w:rsidP="00390D63">
      <w:pPr>
        <w:pStyle w:val="ListBullet"/>
        <w:numPr>
          <w:ilvl w:val="0"/>
          <w:numId w:val="0"/>
        </w:numPr>
        <w:ind w:left="170" w:hanging="170"/>
      </w:pPr>
      <w:r>
        <w:rPr>
          <w:noProof/>
        </w:rPr>
        <w:drawing>
          <wp:anchor distT="0" distB="0" distL="114300" distR="114300" simplePos="0" relativeHeight="251784334" behindDoc="0" locked="0" layoutInCell="1" allowOverlap="1" wp14:anchorId="65E95104" wp14:editId="4ECA5AA4">
            <wp:simplePos x="0" y="0"/>
            <wp:positionH relativeFrom="column">
              <wp:posOffset>0</wp:posOffset>
            </wp:positionH>
            <wp:positionV relativeFrom="paragraph">
              <wp:posOffset>53975</wp:posOffset>
            </wp:positionV>
            <wp:extent cx="262890" cy="262890"/>
            <wp:effectExtent l="0" t="0" r="3810" b="3810"/>
            <wp:wrapSquare wrapText="bothSides"/>
            <wp:docPr id="41131275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r w:rsidR="009C373F" w:rsidRPr="001B3681">
        <w:t>Involvement of consumers and people with lived and living experience in national mental health research activities</w:t>
      </w:r>
      <w:r w:rsidR="00F841E3" w:rsidRPr="00F841E3">
        <w:rPr>
          <w:b/>
          <w:bCs/>
        </w:rPr>
        <w:t xml:space="preserve"> </w:t>
      </w:r>
      <w:r w:rsidR="00282721" w:rsidRPr="009D015F">
        <w:rPr>
          <w:b/>
          <w:bCs/>
          <w:color w:val="008142" w:themeColor="accent5"/>
        </w:rPr>
        <w:t>Identified data gap</w:t>
      </w:r>
      <w:r w:rsidR="00282721" w:rsidRPr="008560E3" w:rsidDel="00282721">
        <w:rPr>
          <w:b/>
          <w:bCs/>
        </w:rPr>
        <w:t xml:space="preserve"> </w:t>
      </w:r>
    </w:p>
    <w:p w14:paraId="71E2F500" w14:textId="77777777" w:rsidR="00390D63" w:rsidRDefault="00390D63" w:rsidP="00390D63">
      <w:pPr>
        <w:pStyle w:val="ListBullet"/>
        <w:numPr>
          <w:ilvl w:val="0"/>
          <w:numId w:val="0"/>
        </w:numPr>
        <w:ind w:left="170" w:hanging="170"/>
      </w:pPr>
    </w:p>
    <w:p w14:paraId="748F5DBB" w14:textId="56DB95D2" w:rsidR="009C373F" w:rsidRPr="001B3681" w:rsidRDefault="00341C7A" w:rsidP="00390D63">
      <w:pPr>
        <w:pStyle w:val="ListBullet"/>
        <w:numPr>
          <w:ilvl w:val="0"/>
          <w:numId w:val="0"/>
        </w:numPr>
        <w:ind w:left="170" w:hanging="170"/>
      </w:pPr>
      <w:r>
        <w:rPr>
          <w:noProof/>
        </w:rPr>
        <w:drawing>
          <wp:anchor distT="0" distB="0" distL="114300" distR="114300" simplePos="0" relativeHeight="251786382" behindDoc="0" locked="0" layoutInCell="1" allowOverlap="1" wp14:anchorId="410F7933" wp14:editId="44042B08">
            <wp:simplePos x="0" y="0"/>
            <wp:positionH relativeFrom="column">
              <wp:posOffset>0</wp:posOffset>
            </wp:positionH>
            <wp:positionV relativeFrom="paragraph">
              <wp:posOffset>47625</wp:posOffset>
            </wp:positionV>
            <wp:extent cx="262890" cy="262890"/>
            <wp:effectExtent l="0" t="0" r="3810" b="3810"/>
            <wp:wrapSquare wrapText="bothSides"/>
            <wp:docPr id="5244472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r w:rsidR="009C373F" w:rsidRPr="001B3681">
        <w:t xml:space="preserve">Consumers have meaningful, decision-making power in the governance, design delivery and evaluation of the mental health system </w:t>
      </w:r>
      <w:r w:rsidR="00282721" w:rsidRPr="009D015F">
        <w:rPr>
          <w:b/>
          <w:bCs/>
          <w:color w:val="008142" w:themeColor="accent5"/>
        </w:rPr>
        <w:t>Identified data gap</w:t>
      </w:r>
      <w:r w:rsidR="00282721" w:rsidRPr="008560E3" w:rsidDel="00282721">
        <w:rPr>
          <w:b/>
          <w:bCs/>
        </w:rPr>
        <w:t xml:space="preserve"> </w:t>
      </w:r>
    </w:p>
    <w:p w14:paraId="7C07EBA1" w14:textId="77777777" w:rsidR="00390D63" w:rsidRDefault="00390D63" w:rsidP="00E20DDC">
      <w:pPr>
        <w:rPr>
          <w:lang w:val="en-AU"/>
        </w:rPr>
      </w:pPr>
    </w:p>
    <w:p w14:paraId="3B0BB7C2" w14:textId="05ADEA73" w:rsidR="009C373F" w:rsidRPr="00E20DDC" w:rsidRDefault="009C373F" w:rsidP="00E20DDC">
      <w:pPr>
        <w:rPr>
          <w:lang w:val="en-AU" w:eastAsia="en-AU"/>
        </w:rPr>
      </w:pPr>
      <w:r w:rsidRPr="00E20DDC">
        <w:rPr>
          <w:lang w:val="en-AU"/>
        </w:rPr>
        <w:t xml:space="preserve">Monitoring aspects of the mental health workforce such as supply, demand and need, alongside expenditure, can support a broader understanding of system sustainability. Evaluation activities </w:t>
      </w:r>
      <w:r w:rsidRPr="00E20DDC">
        <w:rPr>
          <w:lang w:eastAsia="en-AU"/>
        </w:rPr>
        <w:t>can identify learnings and inform ongoing improvements to mental health services and supports, so they can better meet the needs and preferences of those who need them, in a sustainable and efficient way.</w:t>
      </w:r>
    </w:p>
    <w:p w14:paraId="4B956BD0" w14:textId="45A2479A" w:rsidR="009C373F" w:rsidRPr="00E20DDC" w:rsidRDefault="00553E41" w:rsidP="009F46B4">
      <w:pPr>
        <w:pStyle w:val="Heading2"/>
        <w:rPr>
          <w:lang w:val="en-AU"/>
        </w:rPr>
      </w:pPr>
      <w:r>
        <w:rPr>
          <w:noProof/>
        </w:rPr>
        <w:drawing>
          <wp:inline distT="0" distB="0" distL="0" distR="0" wp14:anchorId="2374E778" wp14:editId="27026B24">
            <wp:extent cx="387350" cy="387350"/>
            <wp:effectExtent l="0" t="0" r="6350" b="6350"/>
            <wp:docPr id="1871839433"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839433" name="Picture 100">
                      <a:extLst>
                        <a:ext uri="{C183D7F6-B498-43B3-948B-1728B52AA6E4}">
                          <adec:decorative xmlns:adec="http://schemas.microsoft.com/office/drawing/2017/decorative" val="1"/>
                        </a:ext>
                      </a:extLst>
                    </pic:cNvPr>
                    <pic:cNvPicPr/>
                  </pic:nvPicPr>
                  <pic:blipFill>
                    <a:blip r:embed="rId165">
                      <a:extLst>
                        <a:ext uri="{96DAC541-7B7A-43D3-8B79-37D633B846F1}">
                          <asvg:svgBlip xmlns:asvg="http://schemas.microsoft.com/office/drawing/2016/SVG/main" r:embed="rId166"/>
                        </a:ext>
                      </a:extLst>
                    </a:blip>
                    <a:stretch>
                      <a:fillRect/>
                    </a:stretch>
                  </pic:blipFill>
                  <pic:spPr>
                    <a:xfrm>
                      <a:off x="0" y="0"/>
                      <a:ext cx="387350" cy="387350"/>
                    </a:xfrm>
                    <a:prstGeom prst="rect">
                      <a:avLst/>
                    </a:prstGeom>
                  </pic:spPr>
                </pic:pic>
              </a:graphicData>
            </a:graphic>
          </wp:inline>
        </w:drawing>
      </w:r>
      <w:r>
        <w:t xml:space="preserve"> </w:t>
      </w:r>
      <w:r w:rsidR="009C373F" w:rsidRPr="00E20DDC">
        <w:rPr>
          <w:lang w:val="en-AU"/>
        </w:rPr>
        <w:t>Proportion of public and private expenditure on mental health related services</w:t>
      </w:r>
    </w:p>
    <w:p w14:paraId="3E55D857" w14:textId="7DA1A9B8" w:rsidR="009C373F" w:rsidRPr="00E20DDC" w:rsidRDefault="009C373F" w:rsidP="00E20DDC">
      <w:pPr>
        <w:rPr>
          <w:lang w:val="en-AU" w:eastAsia="en-AU"/>
        </w:rPr>
      </w:pPr>
      <w:r w:rsidRPr="00E20DDC">
        <w:rPr>
          <w:lang w:val="en-AU"/>
        </w:rPr>
        <w:t>Expenditure data for government-funded programs provides a consistent and readily available way to monitor whether resourcing for services is increasing, decreasing or being maintained. Current expenditure information is limited to Commonwealth, and State and Territory expenditure, which does not yet provide a full picture of the mental health system including NGOs, NFP</w:t>
      </w:r>
      <w:r w:rsidR="007A48C1">
        <w:rPr>
          <w:lang w:val="en-AU"/>
        </w:rPr>
        <w:t xml:space="preserve"> organisation</w:t>
      </w:r>
      <w:r w:rsidR="007A48C1" w:rsidRPr="00E20DDC">
        <w:rPr>
          <w:lang w:val="en-AU"/>
        </w:rPr>
        <w:t>s</w:t>
      </w:r>
      <w:r w:rsidRPr="00E20DDC">
        <w:rPr>
          <w:lang w:val="en-AU"/>
        </w:rPr>
        <w:t xml:space="preserve">, philanthropic and other community-based and run programs and services. Further, this doesn’t capture broader mental health related programs beyond the health system (such as in educational and social service settings). </w:t>
      </w:r>
    </w:p>
    <w:p w14:paraId="7E5949E8" w14:textId="21DFB124" w:rsidR="009C373F" w:rsidRPr="00E20DDC" w:rsidRDefault="009C373F" w:rsidP="00E20DDC">
      <w:pPr>
        <w:pStyle w:val="NormalBeforeBullet"/>
      </w:pPr>
      <w:r w:rsidRPr="00E20DDC">
        <w:t xml:space="preserve">Noting these limitations, between 2013-14 and 2023-24, spending on mental health by governments has increased from $10.7 billion to $14.5 billion, an increase of 35% in real terms. </w:t>
      </w:r>
    </w:p>
    <w:p w14:paraId="42755459" w14:textId="563315CA" w:rsidR="009C373F" w:rsidRPr="00BE0A2B" w:rsidRDefault="009C373F" w:rsidP="00E20DDC">
      <w:pPr>
        <w:pStyle w:val="ListBullet"/>
      </w:pPr>
      <w:r w:rsidRPr="00BE0A2B">
        <w:t>Over this period, per capita spending increased from $460 to $537</w:t>
      </w:r>
      <w:r>
        <w:t xml:space="preserve">. </w:t>
      </w:r>
    </w:p>
    <w:p w14:paraId="2A31B8F8" w14:textId="4FBFBDE6" w:rsidR="009C373F" w:rsidRPr="00BE0A2B" w:rsidRDefault="009C373F" w:rsidP="00E20DDC">
      <w:pPr>
        <w:pStyle w:val="ListBullet"/>
      </w:pPr>
      <w:r w:rsidRPr="50B2F1B8">
        <w:t>Australian Government</w:t>
      </w:r>
      <w:r>
        <w:t xml:space="preserve"> mental health</w:t>
      </w:r>
      <w:r w:rsidRPr="50B2F1B8">
        <w:t xml:space="preserve"> spending was $4.8 billion during </w:t>
      </w:r>
      <w:proofErr w:type="gramStart"/>
      <w:r w:rsidRPr="50B2F1B8">
        <w:t>2023-24</w:t>
      </w:r>
      <w:proofErr w:type="gramEnd"/>
      <w:r w:rsidRPr="50B2F1B8">
        <w:t xml:space="preserve"> and state and territory spending was $9.0 billion.  </w:t>
      </w:r>
    </w:p>
    <w:p w14:paraId="5091C561" w14:textId="507BB076" w:rsidR="009C373F" w:rsidRPr="00BE0A2B" w:rsidRDefault="009C373F" w:rsidP="00E20DDC">
      <w:pPr>
        <w:pStyle w:val="ListBullet"/>
      </w:pPr>
      <w:r w:rsidRPr="00BE0A2B">
        <w:t>For the Australian Government mental health spend</w:t>
      </w:r>
      <w:r>
        <w:t>ing</w:t>
      </w:r>
      <w:r w:rsidRPr="00BE0A2B">
        <w:t>, 32% was for Medicare and 15% for the PBS</w:t>
      </w:r>
      <w:r>
        <w:t xml:space="preserve">. </w:t>
      </w:r>
    </w:p>
    <w:p w14:paraId="61402D6F" w14:textId="52518DA6" w:rsidR="009C373F" w:rsidRPr="00E20DDC" w:rsidRDefault="009C373F" w:rsidP="00E20DDC">
      <w:pPr>
        <w:pStyle w:val="ListBullet"/>
      </w:pPr>
      <w:r w:rsidRPr="00BE0A2B">
        <w:t>For state and territory governments mental health spend</w:t>
      </w:r>
      <w:r>
        <w:t>ing</w:t>
      </w:r>
      <w:r w:rsidRPr="00BE0A2B">
        <w:t>, 41% was on public hospitals and 39% on specialised community services.</w:t>
      </w:r>
    </w:p>
    <w:p w14:paraId="761BF23C" w14:textId="0A0AA0C1" w:rsidR="009C373F" w:rsidRPr="00DB0E0D" w:rsidRDefault="009C373F" w:rsidP="00E20DDC">
      <w:pPr>
        <w:pStyle w:val="NormalBeforeBullet"/>
      </w:pPr>
      <w:r w:rsidRPr="00DB0E0D">
        <w:t>Recent national expenditure in mental health reflects sustained investment in mental health services</w:t>
      </w:r>
      <w:r>
        <w:t xml:space="preserve"> aimed at improving access and reducing barriers to care.</w:t>
      </w:r>
      <w:r w:rsidRPr="00DB0E0D">
        <w:t xml:space="preserve"> In the </w:t>
      </w:r>
      <w:r w:rsidRPr="007441BB">
        <w:t xml:space="preserve">2025-26 </w:t>
      </w:r>
      <w:r w:rsidRPr="00DB0E0D">
        <w:t>M</w:t>
      </w:r>
      <w:r w:rsidRPr="007441BB">
        <w:t xml:space="preserve">id-Year </w:t>
      </w:r>
      <w:r w:rsidRPr="00DB0E0D">
        <w:t>E</w:t>
      </w:r>
      <w:r w:rsidRPr="007441BB">
        <w:t>conomic and Fiscal Outlook</w:t>
      </w:r>
      <w:r>
        <w:t>,</w:t>
      </w:r>
      <w:r w:rsidRPr="007441BB">
        <w:rPr>
          <w:rStyle w:val="EndnoteReference"/>
          <w:rFonts w:ascii="Aptos" w:hAnsi="Aptos"/>
          <w:sz w:val="22"/>
        </w:rPr>
        <w:endnoteReference w:id="154"/>
      </w:r>
      <w:r w:rsidRPr="00DB0E0D">
        <w:t xml:space="preserve"> we saw </w:t>
      </w:r>
      <w:r>
        <w:t>Australian G</w:t>
      </w:r>
      <w:r w:rsidRPr="00DB0E0D">
        <w:t xml:space="preserve">overnment investments of </w:t>
      </w:r>
      <w:r>
        <w:t>$</w:t>
      </w:r>
      <w:r w:rsidRPr="00DB0E0D">
        <w:t>1.1 billion to deliver more free mental health care</w:t>
      </w:r>
      <w:r>
        <w:t xml:space="preserve"> announced</w:t>
      </w:r>
      <w:r w:rsidRPr="00DB0E0D">
        <w:t xml:space="preserve">. This included: </w:t>
      </w:r>
    </w:p>
    <w:p w14:paraId="2928E2C2" w14:textId="7C560636" w:rsidR="009C373F" w:rsidRPr="00DB0E0D" w:rsidRDefault="009C373F" w:rsidP="00E20DDC">
      <w:pPr>
        <w:pStyle w:val="ListBullet"/>
      </w:pPr>
      <w:r w:rsidRPr="00DB0E0D">
        <w:t>$490.3 million for a new network of 20 Youth Specialist Care Centres</w:t>
      </w:r>
    </w:p>
    <w:p w14:paraId="208FE2CD" w14:textId="77777777" w:rsidR="009C373F" w:rsidRPr="00DB0E0D" w:rsidRDefault="009C373F" w:rsidP="00E20DDC">
      <w:pPr>
        <w:pStyle w:val="ListBullet"/>
      </w:pPr>
      <w:r w:rsidRPr="00DB0E0D">
        <w:lastRenderedPageBreak/>
        <w:t>$267.3 million for 32 new and upgraded Medicare Mental Health Centres</w:t>
      </w:r>
    </w:p>
    <w:p w14:paraId="4AFCA066" w14:textId="77777777" w:rsidR="009C373F" w:rsidRPr="00DB0E0D" w:rsidRDefault="009C373F" w:rsidP="00E20DDC">
      <w:pPr>
        <w:pStyle w:val="ListBullet"/>
      </w:pPr>
      <w:r w:rsidRPr="00DB0E0D">
        <w:t xml:space="preserve">$225.3 million for 58 new, upgraded or expanded headspace services and </w:t>
      </w:r>
    </w:p>
    <w:p w14:paraId="63632312" w14:textId="731A6FA5" w:rsidR="009C373F" w:rsidRPr="00E20DDC" w:rsidRDefault="009C373F" w:rsidP="00E20DDC">
      <w:pPr>
        <w:pStyle w:val="ListBullet"/>
      </w:pPr>
      <w:r w:rsidRPr="00DB0E0D">
        <w:t xml:space="preserve">$83.9 million for additional training places for mental health professionals and peer workers. </w:t>
      </w:r>
    </w:p>
    <w:p w14:paraId="6D4548EC" w14:textId="38B519B9" w:rsidR="009C373F" w:rsidRPr="00E20DDC" w:rsidRDefault="009C373F" w:rsidP="00E20DDC">
      <w:pPr>
        <w:rPr>
          <w:lang w:val="en-AU"/>
        </w:rPr>
      </w:pPr>
      <w:r w:rsidRPr="00E20DDC">
        <w:rPr>
          <w:lang w:val="en-AU"/>
        </w:rPr>
        <w:t>The Commission will continue to monitor the impact of this expenditure over time.</w:t>
      </w:r>
    </w:p>
    <w:p w14:paraId="7D9CBCAE" w14:textId="56E785FC" w:rsidR="002E5CEE" w:rsidRDefault="002E5CEE">
      <w:pPr>
        <w:suppressAutoHyphens w:val="0"/>
        <w:autoSpaceDE/>
        <w:autoSpaceDN/>
        <w:adjustRightInd/>
        <w:spacing w:after="0" w:line="240" w:lineRule="auto"/>
        <w:textAlignment w:val="auto"/>
        <w:rPr>
          <w:rFonts w:eastAsiaTheme="majorEastAsia" w:cstheme="majorBidi"/>
          <w:color w:val="008143"/>
          <w:sz w:val="24"/>
          <w:szCs w:val="26"/>
          <w:lang w:eastAsia="en-AU"/>
        </w:rPr>
      </w:pPr>
    </w:p>
    <w:p w14:paraId="4EAEACF1" w14:textId="3C676B18" w:rsidR="009C373F" w:rsidRPr="00E20DDC" w:rsidRDefault="0036439F" w:rsidP="009F46B4">
      <w:pPr>
        <w:pStyle w:val="Heading2"/>
      </w:pPr>
      <w:r>
        <w:rPr>
          <w:noProof/>
        </w:rPr>
        <w:drawing>
          <wp:inline distT="0" distB="0" distL="0" distR="0" wp14:anchorId="1292DC58" wp14:editId="06478A8C">
            <wp:extent cx="387350" cy="387350"/>
            <wp:effectExtent l="0" t="0" r="6350" b="6350"/>
            <wp:docPr id="1352645631"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645631" name="Picture 100">
                      <a:extLst>
                        <a:ext uri="{C183D7F6-B498-43B3-948B-1728B52AA6E4}">
                          <adec:decorative xmlns:adec="http://schemas.microsoft.com/office/drawing/2017/decorative" val="1"/>
                        </a:ext>
                      </a:extLst>
                    </pic:cNvPr>
                    <pic:cNvPicPr/>
                  </pic:nvPicPr>
                  <pic:blipFill>
                    <a:blip r:embed="rId167">
                      <a:extLst>
                        <a:ext uri="{96DAC541-7B7A-43D3-8B79-37D633B846F1}">
                          <asvg:svgBlip xmlns:asvg="http://schemas.microsoft.com/office/drawing/2016/SVG/main" r:embed="rId168"/>
                        </a:ext>
                      </a:extLst>
                    </a:blip>
                    <a:stretch>
                      <a:fillRect/>
                    </a:stretch>
                  </pic:blipFill>
                  <pic:spPr>
                    <a:xfrm>
                      <a:off x="0" y="0"/>
                      <a:ext cx="387350" cy="387350"/>
                    </a:xfrm>
                    <a:prstGeom prst="rect">
                      <a:avLst/>
                    </a:prstGeom>
                  </pic:spPr>
                </pic:pic>
              </a:graphicData>
            </a:graphic>
          </wp:inline>
        </w:drawing>
      </w:r>
      <w:r>
        <w:t xml:space="preserve"> </w:t>
      </w:r>
      <w:r w:rsidR="00C27F0C">
        <w:rPr>
          <w:noProof/>
        </w:rPr>
        <mc:AlternateContent>
          <mc:Choice Requires="wps">
            <w:drawing>
              <wp:anchor distT="0" distB="0" distL="114300" distR="114300" simplePos="0" relativeHeight="251658306" behindDoc="1" locked="0" layoutInCell="1" allowOverlap="1" wp14:anchorId="73F0C51B" wp14:editId="51719528">
                <wp:simplePos x="0" y="0"/>
                <wp:positionH relativeFrom="page">
                  <wp:posOffset>-6883</wp:posOffset>
                </wp:positionH>
                <wp:positionV relativeFrom="page">
                  <wp:posOffset>11717</wp:posOffset>
                </wp:positionV>
                <wp:extent cx="7560000" cy="153909"/>
                <wp:effectExtent l="0" t="0" r="0" b="0"/>
                <wp:wrapNone/>
                <wp:docPr id="1082723557" name="Rectangle 10827235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44A4A69" id="Rectangle 1082723557" o:spid="_x0000_s1026" alt="&quot;&quot;" style="position:absolute;margin-left:-.55pt;margin-top:.9pt;width:595.3pt;height:12.1pt;z-index:-2516581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" fillcolor="#008142 [3208]" stroked="f" strokeweight="1pt">
                <w10:wrap anchorx="page" anchory="page"/>
              </v:rect>
            </w:pict>
          </mc:Fallback>
        </mc:AlternateContent>
      </w:r>
      <w:r w:rsidR="009C373F" w:rsidRPr="00E20DDC">
        <w:t>Workforce distribution (FTE) of psychiatry, psychology, and peer workforce </w:t>
      </w:r>
    </w:p>
    <w:p w14:paraId="1E2D8380" w14:textId="1237FF65" w:rsidR="009C373F" w:rsidRPr="00E20DDC" w:rsidRDefault="009C373F" w:rsidP="00E20DDC">
      <w:r w:rsidRPr="00E20DDC">
        <w:t xml:space="preserve">The mental health workforce is a critical resource with significant influence on the quality, accessibility, effectiveness and sustainability of the mental health system. Monitoring changes in workforce </w:t>
      </w:r>
      <w:proofErr w:type="spellStart"/>
      <w:r w:rsidRPr="00E20DDC">
        <w:t>over</w:t>
      </w:r>
      <w:r w:rsidR="003D6A44">
        <w:t xml:space="preserve"> </w:t>
      </w:r>
      <w:r w:rsidRPr="00E20DDC">
        <w:t>time</w:t>
      </w:r>
      <w:proofErr w:type="spellEnd"/>
      <w:r w:rsidRPr="00E20DDC">
        <w:t xml:space="preserve"> can help us understand the likelihood that the workforce will be sufficient to meet need in </w:t>
      </w:r>
      <w:r w:rsidR="009F1FFF">
        <w:t xml:space="preserve">the </w:t>
      </w:r>
      <w:r w:rsidRPr="00E20DDC">
        <w:t>community.</w:t>
      </w:r>
    </w:p>
    <w:p w14:paraId="531A9932" w14:textId="77777777" w:rsidR="009C373F" w:rsidRPr="002E5CEE" w:rsidRDefault="009C373F" w:rsidP="002E5CEE">
      <w:pPr>
        <w:pStyle w:val="NormalBeforeBullet"/>
      </w:pPr>
      <w:r w:rsidRPr="002E5CEE">
        <w:t>Between 2015 and 2024:</w:t>
      </w:r>
    </w:p>
    <w:p w14:paraId="3E73E8E2" w14:textId="7ED1DA41" w:rsidR="009C373F" w:rsidRPr="00E20DDC" w:rsidRDefault="009C373F" w:rsidP="00E20DDC">
      <w:pPr>
        <w:pStyle w:val="ListBullet"/>
      </w:pPr>
      <w:r w:rsidRPr="00E20DDC">
        <w:t>The Full Time Equivalent (FTE) rate of psychiatrists (per 100,000</w:t>
      </w:r>
      <w:r w:rsidR="00BF0FE4">
        <w:t xml:space="preserve"> </w:t>
      </w:r>
      <w:r w:rsidR="00264125">
        <w:t>people</w:t>
      </w:r>
      <w:r w:rsidRPr="00E20DDC">
        <w:t>) increased from 13 to 15.</w:t>
      </w:r>
    </w:p>
    <w:p w14:paraId="7FB9F825" w14:textId="77777777" w:rsidR="009C373F" w:rsidRPr="00E20DDC" w:rsidRDefault="009C373F" w:rsidP="00E20DDC">
      <w:pPr>
        <w:pStyle w:val="ListBullet"/>
      </w:pPr>
      <w:r w:rsidRPr="00E20DDC">
        <w:t>The FTE rate of psychologists increased from 88 to 113.</w:t>
      </w:r>
    </w:p>
    <w:p w14:paraId="1C719FAD" w14:textId="77777777" w:rsidR="009C373F" w:rsidRPr="00E20DDC" w:rsidRDefault="009C373F" w:rsidP="00E20DDC">
      <w:pPr>
        <w:pStyle w:val="ListBullet"/>
      </w:pPr>
      <w:r w:rsidRPr="00E20DDC">
        <w:t>The FTE rate of mental health nurses increased from 84 to 101.</w:t>
      </w:r>
    </w:p>
    <w:p w14:paraId="0D65EE39" w14:textId="2F129F3C" w:rsidR="009C373F" w:rsidRPr="00E20DDC" w:rsidRDefault="009C373F" w:rsidP="00E20DDC">
      <w:pPr>
        <w:pStyle w:val="ListBullet"/>
        <w:rPr>
          <w:color w:val="auto"/>
        </w:rPr>
      </w:pPr>
      <w:r w:rsidRPr="00E20DDC">
        <w:t>The FTE rate of mental health occupational therapists increased from 7 to 10.</w:t>
      </w:r>
    </w:p>
    <w:p w14:paraId="1A70BB14" w14:textId="5D31C5AF" w:rsidR="00473649" w:rsidRDefault="009C373F" w:rsidP="00E20DDC">
      <w:pPr>
        <w:rPr>
          <w:lang w:val="en-AU" w:eastAsia="en-AU"/>
        </w:rPr>
      </w:pPr>
      <w:r w:rsidRPr="00E20DDC">
        <w:t xml:space="preserve">Understanding the extent to which the size and distribution of the mental health workforce is sufficient in supporting the needs of people with mental health concerns is key to understanding the sustainability of our mental health system. While monitoring the above figures and trends is important in understanding workforce trends, these findings </w:t>
      </w:r>
      <w:proofErr w:type="gramStart"/>
      <w:r w:rsidRPr="00E20DDC">
        <w:t>are not able to</w:t>
      </w:r>
      <w:proofErr w:type="gramEnd"/>
      <w:r w:rsidRPr="00E20DDC">
        <w:t xml:space="preserve"> tell us the extent to which the mental health workforce is meeting demand and the degree of unmet need across the population. </w:t>
      </w:r>
      <w:r w:rsidRPr="00E20DDC">
        <w:rPr>
          <w:lang w:val="en-AU" w:eastAsia="en-AU"/>
        </w:rPr>
        <w:t>The following section explores whether projected psychology and psychiatry workforces are adequate to meet projected need.</w:t>
      </w:r>
    </w:p>
    <w:p w14:paraId="5979B2CC" w14:textId="40B79F73" w:rsidR="00473649" w:rsidRDefault="00473649">
      <w:pPr>
        <w:suppressAutoHyphens w:val="0"/>
        <w:autoSpaceDE/>
        <w:autoSpaceDN/>
        <w:adjustRightInd/>
        <w:spacing w:after="0" w:line="240" w:lineRule="auto"/>
        <w:textAlignment w:val="auto"/>
        <w:rPr>
          <w:lang w:val="en-AU" w:eastAsia="en-AU"/>
        </w:rPr>
      </w:pPr>
      <w:r>
        <w:rPr>
          <w:noProof/>
        </w:rPr>
        <w:drawing>
          <wp:anchor distT="0" distB="0" distL="114300" distR="114300" simplePos="0" relativeHeight="251716750" behindDoc="0" locked="0" layoutInCell="1" allowOverlap="1" wp14:anchorId="7477AC1A" wp14:editId="70F5EEDA">
            <wp:simplePos x="0" y="0"/>
            <wp:positionH relativeFrom="column">
              <wp:posOffset>-922020</wp:posOffset>
            </wp:positionH>
            <wp:positionV relativeFrom="paragraph">
              <wp:posOffset>854986</wp:posOffset>
            </wp:positionV>
            <wp:extent cx="7559675" cy="5039783"/>
            <wp:effectExtent l="0" t="0" r="0" b="2540"/>
            <wp:wrapNone/>
            <wp:docPr id="464398586" name="Picture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98586" name="Picture 201">
                      <a:extLst>
                        <a:ext uri="{C183D7F6-B498-43B3-948B-1728B52AA6E4}">
                          <adec:decorative xmlns:adec="http://schemas.microsoft.com/office/drawing/2017/decorative" val="1"/>
                        </a:ext>
                      </a:extLst>
                    </pic:cNvPr>
                    <pic:cNvPicPr/>
                  </pic:nvPicPr>
                  <pic:blipFill>
                    <a:blip r:embed="rId169">
                      <a:extLst>
                        <a:ext uri="{28A0092B-C50C-407E-A947-70E740481C1C}">
                          <a14:useLocalDpi xmlns:a14="http://schemas.microsoft.com/office/drawing/2010/main" val="0"/>
                        </a:ext>
                      </a:extLst>
                    </a:blip>
                    <a:stretch>
                      <a:fillRect/>
                    </a:stretch>
                  </pic:blipFill>
                  <pic:spPr>
                    <a:xfrm>
                      <a:off x="0" y="0"/>
                      <a:ext cx="7559675" cy="5039783"/>
                    </a:xfrm>
                    <a:prstGeom prst="rect">
                      <a:avLst/>
                    </a:prstGeom>
                  </pic:spPr>
                </pic:pic>
              </a:graphicData>
            </a:graphic>
            <wp14:sizeRelH relativeFrom="page">
              <wp14:pctWidth>0</wp14:pctWidth>
            </wp14:sizeRelH>
            <wp14:sizeRelV relativeFrom="page">
              <wp14:pctHeight>0</wp14:pctHeight>
            </wp14:sizeRelV>
          </wp:anchor>
        </w:drawing>
      </w:r>
      <w:r>
        <w:rPr>
          <w:lang w:val="en-AU" w:eastAsia="en-AU"/>
        </w:rPr>
        <w:br w:type="page"/>
      </w:r>
    </w:p>
    <w:p w14:paraId="561776B4" w14:textId="77777777" w:rsidR="009C373F" w:rsidRDefault="009C373F" w:rsidP="00E20DDC">
      <w:pPr>
        <w:rPr>
          <w:lang w:val="en-AU" w:eastAsia="en-AU"/>
        </w:rPr>
      </w:pPr>
    </w:p>
    <w:p w14:paraId="22EF856F" w14:textId="53AEE5A0" w:rsidR="00E94BB2" w:rsidRPr="0089083A" w:rsidRDefault="00E439AE" w:rsidP="00E94BB2">
      <w:pPr>
        <w:pStyle w:val="Heading2"/>
      </w:pPr>
      <w:r w:rsidRPr="002F7DA4">
        <w:rPr>
          <w:rStyle w:val="Hyperlink"/>
          <w:noProof/>
        </w:rPr>
        <mc:AlternateContent>
          <mc:Choice Requires="wps">
            <w:drawing>
              <wp:anchor distT="0" distB="0" distL="114300" distR="114300" simplePos="0" relativeHeight="251658360" behindDoc="1" locked="0" layoutInCell="1" allowOverlap="1" wp14:anchorId="488529FB" wp14:editId="2BDBA089">
                <wp:simplePos x="0" y="0"/>
                <wp:positionH relativeFrom="page">
                  <wp:posOffset>715617</wp:posOffset>
                </wp:positionH>
                <wp:positionV relativeFrom="page">
                  <wp:posOffset>1351722</wp:posOffset>
                </wp:positionV>
                <wp:extent cx="6147435" cy="6316621"/>
                <wp:effectExtent l="0" t="0" r="12065" b="8255"/>
                <wp:wrapNone/>
                <wp:docPr id="756349089" name="Rectangle 7563490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6316621"/>
                        </a:xfrm>
                        <a:prstGeom prst="rect">
                          <a:avLst/>
                        </a:prstGeom>
                        <a:solidFill>
                          <a:srgbClr val="F9F9E5">
                            <a:alpha val="50196"/>
                          </a:srgbClr>
                        </a:solidFill>
                        <a:ln>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461D635" id="Rectangle 756349089" o:spid="_x0000_s1026" alt="&quot;&quot;" style="position:absolute;margin-left:56.35pt;margin-top:106.45pt;width:484.05pt;height:497.35pt;z-index:-251658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" fillcolor="#f9f9e5" strokecolor="#008142 [3208]" strokeweight="1pt">
                <v:fill opacity="32896f"/>
                <w10:wrap anchorx="page" anchory="page"/>
              </v:rect>
            </w:pict>
          </mc:Fallback>
        </mc:AlternateContent>
      </w:r>
      <w:r w:rsidR="00E94BB2">
        <w:br/>
        <w:t>B</w:t>
      </w:r>
      <w:r w:rsidR="00945740">
        <w:t>ox</w:t>
      </w:r>
      <w:r w:rsidR="00E94BB2">
        <w:t xml:space="preserve"> 10 - </w:t>
      </w:r>
      <w:r w:rsidR="00E94BB2" w:rsidRPr="0089083A">
        <w:t>Workforce Supply and</w:t>
      </w:r>
      <w:r w:rsidR="00E94BB2">
        <w:t xml:space="preserve"> </w:t>
      </w:r>
      <w:r w:rsidR="00E94BB2" w:rsidRPr="0089083A">
        <w:t xml:space="preserve">Demand - Psychology and Psychiatry workforces </w:t>
      </w:r>
    </w:p>
    <w:p w14:paraId="59DEBF86" w14:textId="77777777" w:rsidR="00E94BB2" w:rsidRPr="00BE0A2B" w:rsidRDefault="00E94BB2" w:rsidP="00E94BB2">
      <w:pPr>
        <w:framePr w:hSpace="180" w:wrap="around" w:vAnchor="text" w:hAnchor="margin" w:y="103"/>
      </w:pPr>
      <w:r>
        <w:t>Since the release of</w:t>
      </w:r>
      <w:r w:rsidRPr="00BE0A2B">
        <w:t xml:space="preserve"> Report Card 2024, the Department of Health, Disability and Ageing has published two reports providing estimates of supply and demand for professionals in the mental health workforce. </w:t>
      </w:r>
      <w:r>
        <w:t>These</w:t>
      </w:r>
      <w:r w:rsidRPr="00BE0A2B">
        <w:t xml:space="preserve"> inform the ongoing evidence-base for future mental health workforce planning and policies:</w:t>
      </w:r>
    </w:p>
    <w:p w14:paraId="51666D77" w14:textId="6FC8C195" w:rsidR="00E94BB2" w:rsidRPr="00BE0A2B" w:rsidRDefault="00E94BB2" w:rsidP="00E94BB2">
      <w:pPr>
        <w:pStyle w:val="ListBullet"/>
        <w:framePr w:hSpace="180" w:wrap="around" w:vAnchor="text" w:hAnchor="margin" w:y="103"/>
      </w:pPr>
      <w:r w:rsidRPr="00BE0A2B">
        <w:t xml:space="preserve">The </w:t>
      </w:r>
      <w:hyperlink r:id="rId170" w:history="1">
        <w:r w:rsidRPr="004215D5">
          <w:rPr>
            <w:rStyle w:val="Hyperlink"/>
          </w:rPr>
          <w:t>Psychology Supply and Demand Compendium Report</w:t>
        </w:r>
      </w:hyperlink>
      <w:r w:rsidRPr="00BE0A2B">
        <w:t xml:space="preserve"> (April 2026) produced long term projections of supply and demand for psychologists working in health settings from 2025 to 2038. This report</w:t>
      </w:r>
      <w:r>
        <w:t xml:space="preserve"> projected</w:t>
      </w:r>
      <w:r w:rsidRPr="00BE0A2B">
        <w:t xml:space="preserve"> an overall shortfall of psychologists over the next 15 years, </w:t>
      </w:r>
      <w:r>
        <w:t>with demand expected to exceed available workforce supply</w:t>
      </w:r>
      <w:r w:rsidRPr="00BE0A2B">
        <w:t>. The report</w:t>
      </w:r>
      <w:r w:rsidR="001145E7">
        <w:t>’s</w:t>
      </w:r>
      <w:r w:rsidR="00B76A04">
        <w:t xml:space="preserve"> baseline demand</w:t>
      </w:r>
      <w:r w:rsidRPr="00BE0A2B">
        <w:t xml:space="preserve"> project</w:t>
      </w:r>
      <w:r w:rsidR="001145E7">
        <w:t>ions</w:t>
      </w:r>
      <w:r w:rsidRPr="00BE0A2B">
        <w:t xml:space="preserve"> </w:t>
      </w:r>
      <w:r w:rsidR="00B76A04">
        <w:t>indicate</w:t>
      </w:r>
      <w:r w:rsidRPr="00BE0A2B">
        <w:t xml:space="preserve"> </w:t>
      </w:r>
      <w:r>
        <w:t>the</w:t>
      </w:r>
      <w:r w:rsidRPr="00BE0A2B">
        <w:t xml:space="preserve"> psychology workforce in health settings will face a 3% shortfall in 2025</w:t>
      </w:r>
      <w:r w:rsidR="00B76A04">
        <w:t>, rising</w:t>
      </w:r>
      <w:r>
        <w:t xml:space="preserve"> </w:t>
      </w:r>
      <w:r w:rsidRPr="00BE0A2B">
        <w:t>to 28.4% by 2038. When unmet demand is considered, the findings highlight a much larger shortage of psychologists in health settings across Australia.</w:t>
      </w:r>
    </w:p>
    <w:p w14:paraId="61825CBF" w14:textId="03B7718F" w:rsidR="00E94BB2" w:rsidRPr="00BE0A2B" w:rsidRDefault="002A6AB2" w:rsidP="00E94BB2">
      <w:pPr>
        <w:pStyle w:val="ListBullet"/>
        <w:framePr w:hSpace="180" w:wrap="around" w:vAnchor="text" w:hAnchor="margin" w:y="103"/>
      </w:pPr>
      <w:r>
        <w:t>Unmet demand p</w:t>
      </w:r>
      <w:r w:rsidR="00E94BB2" w:rsidRPr="00BE0A2B">
        <w:t>rojections indicated a 57.3% undersupply</w:t>
      </w:r>
      <w:r w:rsidR="00E94BB2">
        <w:t xml:space="preserve"> of psychologists</w:t>
      </w:r>
      <w:r w:rsidR="00E94BB2" w:rsidRPr="00BE0A2B">
        <w:t xml:space="preserve"> in 2025, increasing to an alarming 96.6% </w:t>
      </w:r>
      <w:r w:rsidR="00F1039B">
        <w:t>undersupply</w:t>
      </w:r>
      <w:r w:rsidR="00E94BB2" w:rsidRPr="00BE0A2B">
        <w:t xml:space="preserve"> by 2038. </w:t>
      </w:r>
    </w:p>
    <w:p w14:paraId="612D0884" w14:textId="77777777" w:rsidR="00E94BB2" w:rsidRDefault="00E94BB2" w:rsidP="00E94BB2">
      <w:pPr>
        <w:pStyle w:val="ListBullet"/>
        <w:framePr w:hSpace="180" w:wrap="around" w:vAnchor="text" w:hAnchor="margin" w:y="103"/>
      </w:pPr>
      <w:r>
        <w:t>T</w:t>
      </w:r>
      <w:r w:rsidRPr="00BE0A2B">
        <w:t xml:space="preserve">he </w:t>
      </w:r>
      <w:hyperlink r:id="rId171" w:history="1">
        <w:r w:rsidRPr="004215D5">
          <w:rPr>
            <w:rStyle w:val="Hyperlink"/>
          </w:rPr>
          <w:t>Psychiatry Supply and Demand Compendium Report</w:t>
        </w:r>
      </w:hyperlink>
      <w:r w:rsidRPr="00BE0A2B">
        <w:t xml:space="preserve"> (November 2025) indicated a likely undersupply of psychiatrists over the next 25 years. The demand for psychiatric services delivered in the community will likely exceed the supply of psychiatrists available in the workforce. The report’s baseline demand projections indicated an undersupply of psychiatrists in 2024 (2.7%), with a peak at 7.4% in 2033, declining to 4.3% in 2048. </w:t>
      </w:r>
      <w:r>
        <w:t>Considering unmet need</w:t>
      </w:r>
      <w:r w:rsidRPr="00BE0A2B">
        <w:t>, the findings highlight a much larger shortage of psychiatrists across Australia. Projections indicate a 19.6% undersupply of psychiatrists in 2024, with an expected increase to 20.7% in 2048.</w:t>
      </w:r>
    </w:p>
    <w:p w14:paraId="17AC96D5" w14:textId="77777777" w:rsidR="00E94BB2" w:rsidRPr="00BE0A2B" w:rsidRDefault="00E94BB2" w:rsidP="00E94BB2">
      <w:pPr>
        <w:pStyle w:val="ListBullet"/>
        <w:framePr w:hSpace="180" w:wrap="around" w:vAnchor="text" w:hAnchor="margin" w:y="103"/>
      </w:pPr>
      <w:r w:rsidRPr="00BE0A2B">
        <w:t>Crucially, psychiatrists are one of the only professions authorised to prescribe mental health</w:t>
      </w:r>
      <w:r>
        <w:t>-</w:t>
      </w:r>
      <w:r w:rsidRPr="00BE0A2B">
        <w:t>related medications</w:t>
      </w:r>
      <w:r>
        <w:t>. Psychiatry workforce shortages</w:t>
      </w:r>
      <w:r w:rsidRPr="00BE0A2B">
        <w:t xml:space="preserve"> can have implications for this type of treatment now and into the future.</w:t>
      </w:r>
    </w:p>
    <w:p w14:paraId="53232BEA" w14:textId="77777777" w:rsidR="00E94BB2" w:rsidRPr="00BE0A2B" w:rsidRDefault="00E94BB2" w:rsidP="00E94BB2">
      <w:pPr>
        <w:framePr w:hSpace="180" w:wrap="around" w:vAnchor="text" w:hAnchor="margin" w:y="103"/>
      </w:pPr>
      <w:r w:rsidRPr="00BE0A2B">
        <w:t xml:space="preserve">Both studies used the </w:t>
      </w:r>
      <w:hyperlink r:id="rId172">
        <w:r w:rsidRPr="004215D5">
          <w:rPr>
            <w:rStyle w:val="Hyperlink"/>
          </w:rPr>
          <w:t>National Mental Health Service Planning Framework</w:t>
        </w:r>
      </w:hyperlink>
      <w:r w:rsidRPr="00BE0A2B">
        <w:rPr>
          <w:vertAlign w:val="superscript"/>
        </w:rPr>
        <w:footnoteReference w:id="18"/>
      </w:r>
      <w:r w:rsidRPr="00BE0A2B">
        <w:t xml:space="preserve"> (NMHSPF) to estimate the level of unmet demand for psychology and psychiatry services, respectively. Going forward, both models will be refreshed every two years using the most current available data. </w:t>
      </w:r>
    </w:p>
    <w:p w14:paraId="2E6C72E1" w14:textId="0758953D" w:rsidR="0089083A" w:rsidRPr="00E20DDC" w:rsidRDefault="00E94BB2" w:rsidP="00E94BB2">
      <w:pPr>
        <w:rPr>
          <w:lang w:val="en-AU" w:eastAsia="en-AU"/>
        </w:rPr>
      </w:pPr>
      <w:r w:rsidRPr="00BE0A2B">
        <w:t>Although the number of new psychologists and psychiatrists are gradually increasing, this is generally not at a rate expected to keep up with projected demand for services. Australia’s</w:t>
      </w:r>
      <w:r w:rsidRPr="00BE0A2B">
        <w:rPr>
          <w:rFonts w:eastAsia="Times New Roman" w:cs="Segoe UI"/>
          <w:lang w:eastAsia="en-AU"/>
        </w:rPr>
        <w:t xml:space="preserve"> </w:t>
      </w:r>
      <w:r w:rsidRPr="00BE0A2B">
        <w:t xml:space="preserve">ageing and growing population is expected to increase demand and shift the types of mental health services needed in the future. Findings from both studies acknowledge that the psychology and psychiatry workforces are ageing. </w:t>
      </w:r>
      <w:r>
        <w:t>T</w:t>
      </w:r>
      <w:r w:rsidRPr="00BE0A2B">
        <w:t>here is a need to increase the respective workforces where feasible and seek opportunities to enhance the capability and capacity of the broader multidisciplinary mental health workforce.</w:t>
      </w:r>
      <w:r w:rsidRPr="00BE0A2B">
        <w:rPr>
          <w:vertAlign w:val="superscript"/>
        </w:rPr>
        <w:endnoteReference w:id="155"/>
      </w:r>
      <w:r w:rsidRPr="00BE0A2B">
        <w:t xml:space="preserve"> </w:t>
      </w:r>
      <w:r w:rsidRPr="00BE0A2B">
        <w:rPr>
          <w:vertAlign w:val="superscript"/>
        </w:rPr>
        <w:endnoteReference w:id="156"/>
      </w:r>
      <w:r w:rsidR="00C27F0C">
        <w:rPr>
          <w:noProof/>
        </w:rPr>
        <mc:AlternateContent>
          <mc:Choice Requires="wps">
            <w:drawing>
              <wp:anchor distT="0" distB="0" distL="114300" distR="114300" simplePos="0" relativeHeight="251658307" behindDoc="1" locked="0" layoutInCell="1" allowOverlap="1" wp14:anchorId="377EE8C7" wp14:editId="7FDC3CF3">
                <wp:simplePos x="0" y="0"/>
                <wp:positionH relativeFrom="page">
                  <wp:posOffset>-13349</wp:posOffset>
                </wp:positionH>
                <wp:positionV relativeFrom="page">
                  <wp:posOffset>13729</wp:posOffset>
                </wp:positionV>
                <wp:extent cx="7560000" cy="153909"/>
                <wp:effectExtent l="0" t="0" r="0" b="0"/>
                <wp:wrapNone/>
                <wp:docPr id="1181151576" name="Rectangle 11811515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A7D1BC1" id="Rectangle 1181151576" o:spid="_x0000_s1026" alt="&quot;&quot;" style="position:absolute;margin-left:-1.05pt;margin-top:1.1pt;width:595.3pt;height:12.1pt;z-index:-2516581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" fillcolor="#008142 [3208]" stroked="f" strokeweight="1pt">
                <w10:wrap anchorx="page" anchory="page"/>
              </v:rect>
            </w:pict>
          </mc:Fallback>
        </mc:AlternateContent>
      </w:r>
    </w:p>
    <w:p w14:paraId="6D968446" w14:textId="362E37BC" w:rsidR="009C373F" w:rsidRPr="00E20DDC" w:rsidRDefault="007A3D91" w:rsidP="00E20DDC">
      <w:pPr>
        <w:rPr>
          <w:color w:val="000000"/>
        </w:rPr>
      </w:pPr>
      <w:r w:rsidRPr="004A3613">
        <w:rPr>
          <w:noProof/>
          <w:color w:val="008142" w:themeColor="accent5"/>
        </w:rPr>
        <mc:AlternateContent>
          <mc:Choice Requires="wps">
            <w:drawing>
              <wp:anchor distT="0" distB="0" distL="114300" distR="114300" simplePos="0" relativeHeight="251658353" behindDoc="1" locked="0" layoutInCell="1" allowOverlap="1" wp14:anchorId="23543216" wp14:editId="7C4F4968">
                <wp:simplePos x="0" y="0"/>
                <wp:positionH relativeFrom="page">
                  <wp:posOffset>0</wp:posOffset>
                </wp:positionH>
                <wp:positionV relativeFrom="page">
                  <wp:posOffset>7444</wp:posOffset>
                </wp:positionV>
                <wp:extent cx="7560000" cy="153909"/>
                <wp:effectExtent l="0" t="0" r="0" b="0"/>
                <wp:wrapNone/>
                <wp:docPr id="1238174930" name="Rectangle 12381749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F6EDBDE" id="Rectangle 1238174930" o:spid="_x0000_s1026" alt="&quot;&quot;" style="position:absolute;margin-left:0;margin-top:.6pt;width:595.3pt;height:12.1pt;z-index:-2516581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" fillcolor="#008142 [3208]" stroked="f" strokeweight="1pt">
                <w10:wrap anchorx="page" anchory="page"/>
              </v:rect>
            </w:pict>
          </mc:Fallback>
        </mc:AlternateContent>
      </w:r>
      <w:r w:rsidR="009C373F" w:rsidRPr="00E20DDC">
        <w:t>As previous Report Cards have highlighted, there is no co-ordinated, national data representing the activity and impact of the NGO workforce across a range of settings. This includes the community-managed mental health and psychosocial support workforce, the peer workforce and early intervention/digital support workers. However, there are encouraging signs of a developing national picture on the peer workforce, noted in the indicator below.</w:t>
      </w:r>
    </w:p>
    <w:p w14:paraId="437584CD" w14:textId="77777777" w:rsidR="00473649" w:rsidRDefault="00473649">
      <w:pPr>
        <w:suppressAutoHyphens w:val="0"/>
        <w:autoSpaceDE/>
        <w:autoSpaceDN/>
        <w:adjustRightInd/>
        <w:spacing w:after="0" w:line="240" w:lineRule="auto"/>
        <w:textAlignment w:val="auto"/>
        <w:rPr>
          <w:rFonts w:eastAsiaTheme="majorEastAsia" w:cstheme="majorBidi"/>
          <w:color w:val="171717" w:themeColor="background2" w:themeShade="1A"/>
          <w:sz w:val="24"/>
          <w:szCs w:val="26"/>
          <w:lang w:eastAsia="en-AU"/>
        </w:rPr>
      </w:pPr>
      <w:r>
        <w:br w:type="page"/>
      </w:r>
    </w:p>
    <w:p w14:paraId="425D6724" w14:textId="31C68749" w:rsidR="009C373F" w:rsidRPr="00E20DDC" w:rsidRDefault="00941EBF" w:rsidP="009F46B4">
      <w:pPr>
        <w:pStyle w:val="Heading2"/>
      </w:pPr>
      <w:r>
        <w:rPr>
          <w:noProof/>
        </w:rPr>
        <w:lastRenderedPageBreak/>
        <mc:AlternateContent>
          <mc:Choice Requires="wps">
            <w:drawing>
              <wp:anchor distT="0" distB="0" distL="114300" distR="114300" simplePos="0" relativeHeight="251724942" behindDoc="1" locked="0" layoutInCell="1" allowOverlap="1" wp14:anchorId="1E2C76A7" wp14:editId="6E3F3E5D">
                <wp:simplePos x="0" y="0"/>
                <wp:positionH relativeFrom="page">
                  <wp:posOffset>0</wp:posOffset>
                </wp:positionH>
                <wp:positionV relativeFrom="page">
                  <wp:posOffset>-773</wp:posOffset>
                </wp:positionV>
                <wp:extent cx="7560000" cy="153909"/>
                <wp:effectExtent l="0" t="0" r="0" b="0"/>
                <wp:wrapNone/>
                <wp:docPr id="2065491669" name="Rectangle 20654916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73DA4C8" id="Rectangle 2065491669" o:spid="_x0000_s1026" alt="&quot;&quot;" style="position:absolute;margin-left:0;margin-top:-.05pt;width:595.3pt;height:12.1pt;z-index:-2515915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" fillcolor="#008142 [3208]" stroked="f" strokeweight="1pt">
                <w10:wrap anchorx="page" anchory="page"/>
              </v:rect>
            </w:pict>
          </mc:Fallback>
        </mc:AlternateContent>
      </w:r>
      <w:r w:rsidR="00553E41">
        <w:rPr>
          <w:noProof/>
        </w:rPr>
        <w:drawing>
          <wp:inline distT="0" distB="0" distL="0" distR="0" wp14:anchorId="7487639D" wp14:editId="3C0E2831">
            <wp:extent cx="387350" cy="387350"/>
            <wp:effectExtent l="0" t="0" r="6350" b="6350"/>
            <wp:docPr id="1348009434"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09434" name="Picture 100">
                      <a:extLst>
                        <a:ext uri="{C183D7F6-B498-43B3-948B-1728B52AA6E4}">
                          <adec:decorative xmlns:adec="http://schemas.microsoft.com/office/drawing/2017/decorative" val="1"/>
                        </a:ext>
                      </a:extLst>
                    </pic:cNvPr>
                    <pic:cNvPicPr/>
                  </pic:nvPicPr>
                  <pic:blipFill>
                    <a:blip r:embed="rId173">
                      <a:extLst>
                        <a:ext uri="{96DAC541-7B7A-43D3-8B79-37D633B846F1}">
                          <asvg:svgBlip xmlns:asvg="http://schemas.microsoft.com/office/drawing/2016/SVG/main" r:embed="rId174"/>
                        </a:ext>
                      </a:extLst>
                    </a:blip>
                    <a:stretch>
                      <a:fillRect/>
                    </a:stretch>
                  </pic:blipFill>
                  <pic:spPr>
                    <a:xfrm>
                      <a:off x="0" y="0"/>
                      <a:ext cx="387350" cy="387350"/>
                    </a:xfrm>
                    <a:prstGeom prst="rect">
                      <a:avLst/>
                    </a:prstGeom>
                  </pic:spPr>
                </pic:pic>
              </a:graphicData>
            </a:graphic>
          </wp:inline>
        </w:drawing>
      </w:r>
      <w:r w:rsidR="00553E41">
        <w:t xml:space="preserve"> </w:t>
      </w:r>
      <w:r w:rsidR="009C373F" w:rsidRPr="00E20DDC">
        <w:t>Participation of peer workers in the mental health workforce</w:t>
      </w:r>
    </w:p>
    <w:p w14:paraId="144AB7B5" w14:textId="77777777" w:rsidR="009C373F" w:rsidRPr="00BE0A2B" w:rsidRDefault="009C373F" w:rsidP="00E20DDC">
      <w:pPr>
        <w:rPr>
          <w:lang w:val="en-AU"/>
        </w:rPr>
      </w:pPr>
      <w:r w:rsidRPr="0090200E">
        <w:t xml:space="preserve">The peer workforce plays a uniquely valuable role in mental health care and support for consumers, carers, families and kin; however national data is limited to specific service settings. </w:t>
      </w:r>
      <w:r>
        <w:t>Monitoring peer workforce participation</w:t>
      </w:r>
      <w:r w:rsidRPr="0090200E">
        <w:t xml:space="preserve"> can </w:t>
      </w:r>
      <w:r>
        <w:t>help us understand the</w:t>
      </w:r>
      <w:r w:rsidRPr="0090200E">
        <w:t xml:space="preserve"> growing involvement of the lived experience workforce </w:t>
      </w:r>
      <w:r>
        <w:t>in</w:t>
      </w:r>
      <w:r w:rsidRPr="0090200E">
        <w:t xml:space="preserve"> </w:t>
      </w:r>
      <w:r>
        <w:t xml:space="preserve">the </w:t>
      </w:r>
      <w:r w:rsidRPr="0090200E">
        <w:t>mental health system.</w:t>
      </w:r>
      <w:r>
        <w:t xml:space="preserve"> </w:t>
      </w:r>
    </w:p>
    <w:p w14:paraId="03D79146" w14:textId="78CA316A" w:rsidR="009C373F" w:rsidRPr="00E20DDC" w:rsidRDefault="009C373F" w:rsidP="00E20DDC">
      <w:r w:rsidRPr="0090200E">
        <w:t>From a national view, we are largely limited to data about public sector services who employ consumer and carer workers.</w:t>
      </w:r>
      <w:r>
        <w:t xml:space="preserve"> However, across these services, </w:t>
      </w:r>
      <w:r w:rsidRPr="0090200E">
        <w:t>data indicates strong growth.</w:t>
      </w:r>
    </w:p>
    <w:p w14:paraId="7FECCA7F" w14:textId="77777777" w:rsidR="009C373F" w:rsidRPr="0090200E" w:rsidRDefault="009C373F" w:rsidP="00E20DDC">
      <w:pPr>
        <w:pStyle w:val="NormalBeforeBullet"/>
      </w:pPr>
      <w:r w:rsidRPr="0090200E">
        <w:t xml:space="preserve">Nationally in 2023-24, 53% of specialised mental health organisations employed </w:t>
      </w:r>
      <w:r w:rsidRPr="0090200E">
        <w:rPr>
          <w:i/>
          <w:iCs/>
        </w:rPr>
        <w:t xml:space="preserve">consumer workers, </w:t>
      </w:r>
      <w:r w:rsidRPr="0090200E">
        <w:t xml:space="preserve">who are engaged based on their lived experience expertise and </w:t>
      </w:r>
      <w:r>
        <w:t xml:space="preserve">are </w:t>
      </w:r>
      <w:r w:rsidRPr="0090200E">
        <w:t>often involved in peer support roles and service planning</w:t>
      </w:r>
      <w:r>
        <w:t>:</w:t>
      </w:r>
    </w:p>
    <w:p w14:paraId="3A216073" w14:textId="12F8F72D" w:rsidR="009C373F" w:rsidRPr="0090200E" w:rsidRDefault="009C373F" w:rsidP="00E20DDC">
      <w:pPr>
        <w:pStyle w:val="ListBullet"/>
      </w:pPr>
      <w:r>
        <w:t>B</w:t>
      </w:r>
      <w:r w:rsidRPr="0090200E">
        <w:t xml:space="preserve">etween 2014-15 and 2023-24, the rate of FTE </w:t>
      </w:r>
      <w:r w:rsidRPr="007441BB">
        <w:rPr>
          <w:b/>
          <w:bCs/>
        </w:rPr>
        <w:t>consumer</w:t>
      </w:r>
      <w:r w:rsidRPr="0090200E">
        <w:t xml:space="preserve"> workers </w:t>
      </w:r>
      <w:r w:rsidRPr="0090200E">
        <w:rPr>
          <w:b/>
          <w:bCs/>
        </w:rPr>
        <w:t xml:space="preserve">increased </w:t>
      </w:r>
      <w:r w:rsidRPr="0090200E">
        <w:t xml:space="preserve">from 37 to 139 (per 10,000 mental health care provider FTE). This increase remained relatively steady from 2014-15 to 2019-20, with a </w:t>
      </w:r>
      <w:r w:rsidRPr="0090200E">
        <w:rPr>
          <w:b/>
          <w:bCs/>
        </w:rPr>
        <w:t>large increase</w:t>
      </w:r>
      <w:r w:rsidRPr="0090200E">
        <w:t xml:space="preserve"> in 2020-21 (</w:t>
      </w:r>
      <w:r>
        <w:t>from</w:t>
      </w:r>
      <w:r w:rsidR="00BF0FE4">
        <w:t xml:space="preserve"> </w:t>
      </w:r>
      <w:r w:rsidRPr="0090200E">
        <w:t>70 in 2019-20 to 104 in 2020-21).</w:t>
      </w:r>
    </w:p>
    <w:p w14:paraId="2D7DEE6D" w14:textId="77777777" w:rsidR="009C373F" w:rsidRPr="0090200E" w:rsidRDefault="009C373F" w:rsidP="00E20DDC">
      <w:pPr>
        <w:pStyle w:val="ListBullet"/>
      </w:pPr>
      <w:r>
        <w:t>I</w:t>
      </w:r>
      <w:r w:rsidRPr="0090200E">
        <w:t xml:space="preserve">n 2023-24, 35% of specialised mental health organisations employed </w:t>
      </w:r>
      <w:r w:rsidRPr="007441BB">
        <w:rPr>
          <w:b/>
          <w:bCs/>
        </w:rPr>
        <w:t>carer</w:t>
      </w:r>
      <w:r w:rsidRPr="0090200E">
        <w:t xml:space="preserve"> workers, who draw on their lived experience </w:t>
      </w:r>
      <w:r>
        <w:t xml:space="preserve">of </w:t>
      </w:r>
      <w:r w:rsidRPr="0090200E">
        <w:t>caring for someone with a mental health challenge, and are largely involved in advocacy and support roles.</w:t>
      </w:r>
    </w:p>
    <w:p w14:paraId="088A566E" w14:textId="5C02F902" w:rsidR="009C373F" w:rsidRPr="00E20DDC" w:rsidRDefault="009C373F" w:rsidP="00E20DDC">
      <w:pPr>
        <w:pStyle w:val="ListBullet"/>
      </w:pPr>
      <w:r w:rsidRPr="0090200E">
        <w:t xml:space="preserve">Nationally, between 2014-15 and 2023-24, </w:t>
      </w:r>
      <w:r w:rsidRPr="0090200E">
        <w:rPr>
          <w:b/>
          <w:bCs/>
        </w:rPr>
        <w:t>the rate of FTE carer workers greatly increased</w:t>
      </w:r>
      <w:r w:rsidRPr="0090200E">
        <w:t xml:space="preserve"> from 13 to 59 (per 10,000 mental health care provider FTE).</w:t>
      </w:r>
    </w:p>
    <w:p w14:paraId="3E226439" w14:textId="77777777" w:rsidR="009C373F" w:rsidRPr="00BE0A2B" w:rsidRDefault="009C373F" w:rsidP="00E20DDC">
      <w:r w:rsidRPr="007441BB">
        <w:t>T</w:t>
      </w:r>
      <w:r w:rsidRPr="0090200E">
        <w:t>here is limited national data about the activity and impact of peer workers in the non-government mental health sector, although there are some examples seen in national programs. As reported in headspace’s 2024-2025 Annual Report, their peer work team has grown to 98 workers across 61 headspace centres, supported by continued training and development activities for the peer workforce.</w:t>
      </w:r>
      <w:r w:rsidRPr="0090200E">
        <w:rPr>
          <w:vertAlign w:val="superscript"/>
        </w:rPr>
        <w:endnoteReference w:id="157"/>
      </w:r>
      <w:r w:rsidRPr="0090200E">
        <w:t xml:space="preserve"> </w:t>
      </w:r>
    </w:p>
    <w:p w14:paraId="486BA344" w14:textId="77777777" w:rsidR="009C373F" w:rsidRPr="00BE0A2B" w:rsidRDefault="009C373F" w:rsidP="00E20DDC">
      <w:r w:rsidRPr="007441BB">
        <w:t>There are promising signs that</w:t>
      </w:r>
      <w:r>
        <w:t xml:space="preserve"> peer workforce</w:t>
      </w:r>
      <w:r w:rsidRPr="007441BB">
        <w:t xml:space="preserve"> data is set to improve</w:t>
      </w:r>
      <w:r>
        <w:t xml:space="preserve">. </w:t>
      </w:r>
      <w:r w:rsidRPr="00BE0A2B">
        <w:t xml:space="preserve">In 2026 the first Australian National Mental Health and Suicide Prevention Lived Experience (Peer) Workforce Census was fielded from 15 March </w:t>
      </w:r>
      <w:r>
        <w:t>to</w:t>
      </w:r>
      <w:r w:rsidRPr="00BE0A2B">
        <w:t xml:space="preserve"> 18 April 2026. The Census is being delivered by the Social Research Centre on behalf of the Department of Health, Disability and Ageing,</w:t>
      </w:r>
      <w:r w:rsidRPr="00BE0A2B">
        <w:rPr>
          <w:vertAlign w:val="superscript"/>
        </w:rPr>
        <w:endnoteReference w:id="158"/>
      </w:r>
      <w:r w:rsidRPr="00BE0A2B">
        <w:rPr>
          <w:vertAlign w:val="superscript"/>
        </w:rPr>
        <w:t xml:space="preserve"> </w:t>
      </w:r>
      <w:r>
        <w:rPr>
          <w:vertAlign w:val="superscript"/>
        </w:rPr>
        <w:t xml:space="preserve"> </w:t>
      </w:r>
      <w:r w:rsidRPr="00BE0A2B">
        <w:t>and is anticipated to provide valuable insights into this growing and essential workforce.</w:t>
      </w:r>
    </w:p>
    <w:p w14:paraId="64634942" w14:textId="77777777" w:rsidR="009C373F" w:rsidRDefault="009C373F" w:rsidP="00E20DDC">
      <w:pPr>
        <w:rPr>
          <w:color w:val="008143"/>
          <w:sz w:val="24"/>
          <w:szCs w:val="24"/>
          <w:lang w:val="en-AU" w:eastAsia="en-AU"/>
        </w:rPr>
      </w:pPr>
      <w:r w:rsidRPr="00BE0A2B">
        <w:t>Another recent development that will help build understanding of the value and impact of the peer workforce is the establishment of the Australian Association of Peer Workers by the National Mental Health Consumer Alliance in partnership with the Indigenous Australian Lived Experience Centre (I</w:t>
      </w:r>
      <w:r>
        <w:t>AL</w:t>
      </w:r>
      <w:r w:rsidRPr="00BE0A2B">
        <w:t>EC) and Mental Health Carers Australia (MHCA). The Association’s leadership roles, governance design and membership are centred on peer workers.</w:t>
      </w:r>
      <w:r w:rsidRPr="00BE0A2B">
        <w:rPr>
          <w:vertAlign w:val="superscript"/>
        </w:rPr>
        <w:endnoteReference w:id="159"/>
      </w:r>
      <w:r w:rsidRPr="00BE0A2B">
        <w:t xml:space="preserve"> This represents an important step in embedding lived</w:t>
      </w:r>
      <w:r>
        <w:t xml:space="preserve"> </w:t>
      </w:r>
      <w:r w:rsidRPr="00BE0A2B">
        <w:t>experience expertise and practice across the mental health and suicide prevention systems.</w:t>
      </w:r>
    </w:p>
    <w:p w14:paraId="53C7D576" w14:textId="001FB882" w:rsidR="002E5CEE" w:rsidRDefault="002E5CEE">
      <w:pPr>
        <w:suppressAutoHyphens w:val="0"/>
        <w:autoSpaceDE/>
        <w:autoSpaceDN/>
        <w:adjustRightInd/>
        <w:spacing w:after="0" w:line="240" w:lineRule="auto"/>
        <w:textAlignment w:val="auto"/>
        <w:rPr>
          <w:rFonts w:eastAsiaTheme="majorEastAsia" w:cstheme="majorBidi"/>
          <w:color w:val="008143"/>
          <w:sz w:val="24"/>
          <w:szCs w:val="26"/>
          <w:lang w:val="en-AU" w:eastAsia="en-AU"/>
        </w:rPr>
      </w:pPr>
      <w:r>
        <w:rPr>
          <w:lang w:val="en-AU"/>
        </w:rPr>
        <w:br w:type="page"/>
      </w:r>
    </w:p>
    <w:p w14:paraId="4FFE55D9" w14:textId="58B38E33" w:rsidR="009C373F" w:rsidRPr="00DF5471" w:rsidRDefault="004A1320" w:rsidP="009F46B4">
      <w:pPr>
        <w:pStyle w:val="Heading2"/>
        <w:rPr>
          <w:color w:val="008142" w:themeColor="accent5"/>
          <w:lang w:val="en-AU"/>
        </w:rPr>
      </w:pPr>
      <w:r w:rsidRPr="009D015F">
        <w:rPr>
          <w:color w:val="5C626C"/>
          <w:lang w:val="en-AU"/>
        </w:rPr>
        <w:lastRenderedPageBreak/>
        <w:t>Theme</w:t>
      </w:r>
      <w:r>
        <w:rPr>
          <w:noProof/>
        </w:rPr>
        <w:t xml:space="preserve"> </w:t>
      </w:r>
      <w:r>
        <w:rPr>
          <w:noProof/>
        </w:rPr>
        <w:drawing>
          <wp:inline distT="0" distB="0" distL="0" distR="0" wp14:anchorId="2FDB6D51" wp14:editId="5B1D825E">
            <wp:extent cx="234095" cy="331470"/>
            <wp:effectExtent l="0" t="0" r="0" b="0"/>
            <wp:docPr id="936094043"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94043" name="Graphic 189">
                      <a:extLst>
                        <a:ext uri="{C183D7F6-B498-43B3-948B-1728B52AA6E4}">
                          <adec:decorative xmlns:adec="http://schemas.microsoft.com/office/drawing/2017/decorative" val="1"/>
                        </a:ext>
                      </a:extLst>
                    </pic:cNvPr>
                    <pic:cNvPicPr/>
                  </pic:nvPicPr>
                  <pic:blipFill rotWithShape="1">
                    <a:blip r:embed="rId137">
                      <a:extLst>
                        <a:ext uri="{96DAC541-7B7A-43D3-8B79-37D633B846F1}">
                          <asvg:svgBlip xmlns:asvg="http://schemas.microsoft.com/office/drawing/2016/SVG/main" r:embed="rId138"/>
                        </a:ext>
                      </a:extLst>
                    </a:blip>
                    <a:srcRect l="25327" t="12625" r="24153" b="15841"/>
                    <a:stretch>
                      <a:fillRect/>
                    </a:stretch>
                  </pic:blipFill>
                  <pic:spPr bwMode="auto">
                    <a:xfrm>
                      <a:off x="0" y="0"/>
                      <a:ext cx="237395" cy="336143"/>
                    </a:xfrm>
                    <a:prstGeom prst="rect">
                      <a:avLst/>
                    </a:prstGeom>
                    <a:ln>
                      <a:noFill/>
                    </a:ln>
                    <a:extLst>
                      <a:ext uri="{53640926-AAD7-44D8-BBD7-CCE9431645EC}">
                        <a14:shadowObscured xmlns:a14="http://schemas.microsoft.com/office/drawing/2010/main"/>
                      </a:ext>
                    </a:extLst>
                  </pic:spPr>
                </pic:pic>
              </a:graphicData>
            </a:graphic>
          </wp:inline>
        </w:drawing>
      </w:r>
      <w:r>
        <w:rPr>
          <w:color w:val="C00000"/>
          <w:lang w:val="en-AU"/>
        </w:rPr>
        <w:t xml:space="preserve"> </w:t>
      </w:r>
      <w:r w:rsidRPr="00E67438">
        <w:rPr>
          <w:noProof/>
          <w:color w:val="008142" w:themeColor="accent5"/>
        </w:rPr>
        <mc:AlternateContent>
          <mc:Choice Requires="wps">
            <w:drawing>
              <wp:anchor distT="0" distB="0" distL="114300" distR="114300" simplePos="0" relativeHeight="251658308" behindDoc="1" locked="0" layoutInCell="1" allowOverlap="1" wp14:anchorId="133690BA" wp14:editId="6667BD9A">
                <wp:simplePos x="0" y="0"/>
                <wp:positionH relativeFrom="page">
                  <wp:posOffset>-13335</wp:posOffset>
                </wp:positionH>
                <wp:positionV relativeFrom="page">
                  <wp:posOffset>-1334</wp:posOffset>
                </wp:positionV>
                <wp:extent cx="7560000" cy="153909"/>
                <wp:effectExtent l="0" t="0" r="0" b="0"/>
                <wp:wrapNone/>
                <wp:docPr id="190539174" name="Rectangle 1905391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86E3260" id="Rectangle 190539174" o:spid="_x0000_s1026" alt="&quot;&quot;" style="position:absolute;margin-left:-1.05pt;margin-top:-.1pt;width:595.3pt;height:12.1pt;z-index:-2516581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" fillcolor="#008142 [3208]" stroked="f" strokeweight="1pt">
                <w10:wrap anchorx="page" anchory="page"/>
              </v:rect>
            </w:pict>
          </mc:Fallback>
        </mc:AlternateContent>
      </w:r>
      <w:r w:rsidR="009C373F" w:rsidRPr="004E5D44">
        <w:rPr>
          <w:color w:val="008142" w:themeColor="accent5"/>
        </w:rPr>
        <w:t>Sustainability and Efficiency - Indicators with identified data gaps</w:t>
      </w:r>
      <w:r w:rsidR="009C373F" w:rsidRPr="00DF5471">
        <w:rPr>
          <w:color w:val="008142" w:themeColor="accent5"/>
          <w:lang w:val="en-AU"/>
        </w:rPr>
        <w:t xml:space="preserve"> </w:t>
      </w:r>
    </w:p>
    <w:p w14:paraId="6B303CBF" w14:textId="77777777" w:rsidR="009C373F" w:rsidRPr="00E20DDC" w:rsidRDefault="009C373F" w:rsidP="00E20DDC">
      <w:r w:rsidRPr="00E20DDC">
        <w:t>The indicators in this theme which do not have robust, reliable national data sets on which to assess performance over time are explored below.</w:t>
      </w:r>
    </w:p>
    <w:tbl>
      <w:tblPr>
        <w:tblStyle w:val="TableGrid"/>
        <w:tblpPr w:leftFromText="180" w:rightFromText="180" w:vertAnchor="text" w:horzAnchor="margin" w:tblpY="103"/>
        <w:tblW w:w="0" w:type="auto"/>
        <w:tblLook w:val="04A0" w:firstRow="1" w:lastRow="0" w:firstColumn="1" w:lastColumn="0" w:noHBand="0" w:noVBand="1"/>
      </w:tblPr>
      <w:tblGrid>
        <w:gridCol w:w="2694"/>
        <w:gridCol w:w="6322"/>
      </w:tblGrid>
      <w:tr w:rsidR="009C373F" w:rsidRPr="00074489" w14:paraId="2A0381ED" w14:textId="77777777" w:rsidTr="009C5D35">
        <w:trPr>
          <w:trHeight w:val="341"/>
        </w:trPr>
        <w:tc>
          <w:tcPr>
            <w:tcW w:w="2694" w:type="dxa"/>
          </w:tcPr>
          <w:p w14:paraId="34976033" w14:textId="77777777" w:rsidR="009C373F" w:rsidRPr="004A3613" w:rsidRDefault="009C373F" w:rsidP="00E20DDC">
            <w:pPr>
              <w:pStyle w:val="Heading3"/>
              <w:rPr>
                <w:color w:val="008142" w:themeColor="accent5"/>
              </w:rPr>
            </w:pPr>
            <w:r w:rsidRPr="004A3613">
              <w:rPr>
                <w:color w:val="008142" w:themeColor="accent5"/>
              </w:rPr>
              <w:t xml:space="preserve">Indicators  </w:t>
            </w:r>
          </w:p>
        </w:tc>
        <w:tc>
          <w:tcPr>
            <w:tcW w:w="6322" w:type="dxa"/>
          </w:tcPr>
          <w:p w14:paraId="2E526543" w14:textId="20F5889C" w:rsidR="009C373F" w:rsidRPr="004A3613" w:rsidRDefault="006220E0" w:rsidP="00E20DDC">
            <w:pPr>
              <w:pStyle w:val="Heading3"/>
              <w:rPr>
                <w:color w:val="008142" w:themeColor="accent5"/>
              </w:rPr>
            </w:pPr>
            <w:r w:rsidRPr="00DE3039">
              <w:rPr>
                <w:color w:val="008142" w:themeColor="accent5"/>
              </w:rPr>
              <w:t>Why these indicators matter despite limited data</w:t>
            </w:r>
            <w:r>
              <w:rPr>
                <w:color w:val="008142" w:themeColor="accent5"/>
              </w:rPr>
              <w:t xml:space="preserve"> </w:t>
            </w:r>
            <w:r>
              <w:rPr>
                <w:noProof/>
              </w:rPr>
              <w:drawing>
                <wp:inline distT="0" distB="0" distL="0" distR="0" wp14:anchorId="317B344E" wp14:editId="161C95A8">
                  <wp:extent cx="232117" cy="232117"/>
                  <wp:effectExtent l="0" t="0" r="0" b="0"/>
                  <wp:docPr id="698137821" name="Graphic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137821" name="Graphic 182">
                            <a:extLst>
                              <a:ext uri="{C183D7F6-B498-43B3-948B-1728B52AA6E4}">
                                <adec:decorative xmlns:adec="http://schemas.microsoft.com/office/drawing/2017/decorative" val="1"/>
                              </a:ext>
                            </a:extLst>
                          </pic:cNvPr>
                          <pic:cNvPicPr/>
                        </pic:nvPicPr>
                        <pic:blipFill>
                          <a:blip r:embed="rId154">
                            <a:extLst>
                              <a:ext uri="{96DAC541-7B7A-43D3-8B79-37D633B846F1}">
                                <asvg:svgBlip xmlns:asvg="http://schemas.microsoft.com/office/drawing/2016/SVG/main" r:embed="rId155"/>
                              </a:ext>
                            </a:extLst>
                          </a:blip>
                          <a:stretch>
                            <a:fillRect/>
                          </a:stretch>
                        </pic:blipFill>
                        <pic:spPr>
                          <a:xfrm>
                            <a:off x="0" y="0"/>
                            <a:ext cx="247691" cy="247691"/>
                          </a:xfrm>
                          <a:prstGeom prst="rect">
                            <a:avLst/>
                          </a:prstGeom>
                        </pic:spPr>
                      </pic:pic>
                    </a:graphicData>
                  </a:graphic>
                </wp:inline>
              </w:drawing>
            </w:r>
          </w:p>
        </w:tc>
      </w:tr>
      <w:tr w:rsidR="009C373F" w:rsidRPr="00074489" w14:paraId="42189163" w14:textId="77777777" w:rsidTr="009C5D35">
        <w:trPr>
          <w:trHeight w:val="650"/>
        </w:trPr>
        <w:tc>
          <w:tcPr>
            <w:tcW w:w="2694" w:type="dxa"/>
          </w:tcPr>
          <w:p w14:paraId="639C189E" w14:textId="77777777" w:rsidR="009C373F" w:rsidRPr="004A3613" w:rsidRDefault="009C373F" w:rsidP="004E5D44">
            <w:pPr>
              <w:pStyle w:val="Heading3"/>
              <w:spacing w:before="0"/>
              <w:rPr>
                <w:b w:val="0"/>
                <w:bCs/>
                <w:sz w:val="20"/>
                <w:szCs w:val="20"/>
              </w:rPr>
            </w:pPr>
            <w:r w:rsidRPr="004A3613">
              <w:rPr>
                <w:b w:val="0"/>
                <w:bCs/>
                <w:lang w:eastAsia="en-AU"/>
              </w:rPr>
              <w:t>Participation of peer workers in the mental health workforce</w:t>
            </w:r>
          </w:p>
        </w:tc>
        <w:tc>
          <w:tcPr>
            <w:tcW w:w="6322" w:type="dxa"/>
          </w:tcPr>
          <w:p w14:paraId="76695616" w14:textId="77777777" w:rsidR="009C373F" w:rsidRPr="00E20DDC" w:rsidRDefault="009C373F" w:rsidP="00E20DDC">
            <w:r w:rsidRPr="00E20DDC">
              <w:t xml:space="preserve">From a national view, we are largely limited to data about public sector services who employ consumer and carer workers. Future reporting of this indicator will look to draw on broader sources of evidence about the participation of this workforce. </w:t>
            </w:r>
          </w:p>
        </w:tc>
      </w:tr>
      <w:tr w:rsidR="009C373F" w:rsidRPr="00074489" w14:paraId="36B97BEF" w14:textId="77777777" w:rsidTr="009C5D35">
        <w:tc>
          <w:tcPr>
            <w:tcW w:w="2694" w:type="dxa"/>
          </w:tcPr>
          <w:p w14:paraId="438E657F" w14:textId="77777777" w:rsidR="009C373F" w:rsidRPr="004A3613" w:rsidRDefault="009C373F" w:rsidP="004E5D44">
            <w:pPr>
              <w:pStyle w:val="Heading3"/>
              <w:spacing w:before="0"/>
              <w:rPr>
                <w:b w:val="0"/>
                <w:bCs/>
                <w:lang w:eastAsia="en-AU"/>
              </w:rPr>
            </w:pPr>
            <w:r w:rsidRPr="004A3613">
              <w:rPr>
                <w:b w:val="0"/>
                <w:bCs/>
                <w:lang w:eastAsia="en-AU"/>
              </w:rPr>
              <w:t>Involvement of consumers and people with lived experience in national mental health research activities</w:t>
            </w:r>
          </w:p>
        </w:tc>
        <w:tc>
          <w:tcPr>
            <w:tcW w:w="6322" w:type="dxa"/>
          </w:tcPr>
          <w:p w14:paraId="48D88D81" w14:textId="77777777" w:rsidR="009C373F" w:rsidRPr="00E20DDC" w:rsidRDefault="009C373F" w:rsidP="00E20DDC">
            <w:r w:rsidRPr="00E20DDC">
              <w:t>It is widely recognised that consumers should have opportunities to be involved in all levels of the co-design, delivery, evaluation and service quality and improvement research of mental health services. Despite pockets of activity underway, there is limited data at a national level to inform this picture. The Commission will look to increase its capability to report on the extent to which consumers and people with lived and living experience are involved in research and evaluation activities that ultimately can inform service design and system improvement.</w:t>
            </w:r>
          </w:p>
        </w:tc>
      </w:tr>
      <w:tr w:rsidR="009C373F" w:rsidRPr="00074489" w14:paraId="24A978DD" w14:textId="77777777" w:rsidTr="009C5D35">
        <w:tc>
          <w:tcPr>
            <w:tcW w:w="2694" w:type="dxa"/>
          </w:tcPr>
          <w:p w14:paraId="04D45326" w14:textId="77777777" w:rsidR="009C373F" w:rsidRPr="004A3613" w:rsidRDefault="009C373F" w:rsidP="004E5D44">
            <w:pPr>
              <w:pStyle w:val="Heading3"/>
              <w:spacing w:before="0"/>
              <w:rPr>
                <w:b w:val="0"/>
                <w:bCs/>
                <w:lang w:eastAsia="en-AU"/>
              </w:rPr>
            </w:pPr>
            <w:r w:rsidRPr="004A3613">
              <w:rPr>
                <w:b w:val="0"/>
                <w:bCs/>
                <w:lang w:eastAsia="en-AU"/>
              </w:rPr>
              <w:t>Consumers have meaningful, decision-making power in the governance, design delivery and evaluation of the mental health system</w:t>
            </w:r>
          </w:p>
        </w:tc>
        <w:tc>
          <w:tcPr>
            <w:tcW w:w="6322" w:type="dxa"/>
          </w:tcPr>
          <w:p w14:paraId="60868BAE" w14:textId="77777777" w:rsidR="009C373F" w:rsidRPr="00E20DDC" w:rsidRDefault="009C373F" w:rsidP="00E20DDC">
            <w:r w:rsidRPr="00E20DDC">
              <w:t xml:space="preserve">Consumer participation in the governance and decision-making in the mental health system are important activities that remain underdeveloped in measurement terms. </w:t>
            </w:r>
          </w:p>
        </w:tc>
      </w:tr>
    </w:tbl>
    <w:p w14:paraId="3B5BB763" w14:textId="4D3E6B99" w:rsidR="009C373F" w:rsidRPr="00E20DDC" w:rsidRDefault="004A1320" w:rsidP="009F46B4">
      <w:pPr>
        <w:pStyle w:val="Heading2"/>
      </w:pPr>
      <w:r w:rsidRPr="009D015F">
        <w:rPr>
          <w:color w:val="5C626C"/>
          <w:lang w:val="en-AU"/>
        </w:rPr>
        <w:t>Theme</w:t>
      </w:r>
      <w:r>
        <w:rPr>
          <w:noProof/>
        </w:rPr>
        <w:t xml:space="preserve"> </w:t>
      </w:r>
      <w:r>
        <w:rPr>
          <w:noProof/>
        </w:rPr>
        <w:drawing>
          <wp:inline distT="0" distB="0" distL="0" distR="0" wp14:anchorId="12748999" wp14:editId="49FDB70D">
            <wp:extent cx="234095" cy="331470"/>
            <wp:effectExtent l="0" t="0" r="0" b="0"/>
            <wp:docPr id="1377690003"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690003" name="Graphic 189">
                      <a:extLst>
                        <a:ext uri="{C183D7F6-B498-43B3-948B-1728B52AA6E4}">
                          <adec:decorative xmlns:adec="http://schemas.microsoft.com/office/drawing/2017/decorative" val="1"/>
                        </a:ext>
                      </a:extLst>
                    </pic:cNvPr>
                    <pic:cNvPicPr/>
                  </pic:nvPicPr>
                  <pic:blipFill rotWithShape="1">
                    <a:blip r:embed="rId137">
                      <a:extLst>
                        <a:ext uri="{96DAC541-7B7A-43D3-8B79-37D633B846F1}">
                          <asvg:svgBlip xmlns:asvg="http://schemas.microsoft.com/office/drawing/2016/SVG/main" r:embed="rId138"/>
                        </a:ext>
                      </a:extLst>
                    </a:blip>
                    <a:srcRect l="25327" t="12625" r="24153" b="15841"/>
                    <a:stretch>
                      <a:fillRect/>
                    </a:stretch>
                  </pic:blipFill>
                  <pic:spPr bwMode="auto">
                    <a:xfrm>
                      <a:off x="0" y="0"/>
                      <a:ext cx="237395" cy="336143"/>
                    </a:xfrm>
                    <a:prstGeom prst="rect">
                      <a:avLst/>
                    </a:prstGeom>
                    <a:ln>
                      <a:noFill/>
                    </a:ln>
                    <a:extLst>
                      <a:ext uri="{53640926-AAD7-44D8-BBD7-CCE9431645EC}">
                        <a14:shadowObscured xmlns:a14="http://schemas.microsoft.com/office/drawing/2010/main"/>
                      </a:ext>
                    </a:extLst>
                  </pic:spPr>
                </pic:pic>
              </a:graphicData>
            </a:graphic>
          </wp:inline>
        </w:drawing>
      </w:r>
      <w:r>
        <w:rPr>
          <w:color w:val="C00000"/>
          <w:lang w:val="en-AU"/>
        </w:rPr>
        <w:t xml:space="preserve"> </w:t>
      </w:r>
      <w:r w:rsidR="009C373F" w:rsidRPr="00DF5471">
        <w:rPr>
          <w:color w:val="008142" w:themeColor="accent5"/>
        </w:rPr>
        <w:t>Effectiveness</w:t>
      </w:r>
    </w:p>
    <w:p w14:paraId="48971287" w14:textId="77777777" w:rsidR="009C373F" w:rsidRPr="00E20DDC" w:rsidRDefault="009C373F" w:rsidP="002E5CEE">
      <w:r w:rsidRPr="00E20DDC">
        <w:t>To understand this theme, we consider the following guiding question:</w:t>
      </w:r>
    </w:p>
    <w:p w14:paraId="66AE9C68" w14:textId="6C4C74B5" w:rsidR="009C373F" w:rsidRDefault="004A5109">
      <w:pPr>
        <w:pStyle w:val="GuidingQuestion"/>
      </w:pPr>
      <w:r>
        <w:rPr>
          <w:noProof/>
        </w:rPr>
        <w:drawing>
          <wp:inline distT="0" distB="0" distL="0" distR="0" wp14:anchorId="1F48C26D" wp14:editId="77805C43">
            <wp:extent cx="369631" cy="260916"/>
            <wp:effectExtent l="0" t="0" r="0" b="6350"/>
            <wp:docPr id="572328000"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8000" name="Graphic 189">
                      <a:extLst>
                        <a:ext uri="{C183D7F6-B498-43B3-948B-1728B52AA6E4}">
                          <adec:decorative xmlns:adec="http://schemas.microsoft.com/office/drawing/2017/decorative" val="1"/>
                        </a:ext>
                      </a:extLst>
                    </pic:cNvPr>
                    <pic:cNvPicPr/>
                  </pic:nvPicPr>
                  <pic:blipFill>
                    <a:blip r:embed="rId127">
                      <a:extLst>
                        <a:ext uri="{96DAC541-7B7A-43D3-8B79-37D633B846F1}">
                          <asvg:svgBlip xmlns:asvg="http://schemas.microsoft.com/office/drawing/2016/SVG/main" r:embed="rId128"/>
                        </a:ext>
                      </a:extLst>
                    </a:blip>
                    <a:stretch>
                      <a:fillRect/>
                    </a:stretch>
                  </pic:blipFill>
                  <pic:spPr>
                    <a:xfrm>
                      <a:off x="0" y="0"/>
                      <a:ext cx="369631" cy="260916"/>
                    </a:xfrm>
                    <a:prstGeom prst="rect">
                      <a:avLst/>
                    </a:prstGeom>
                  </pic:spPr>
                </pic:pic>
              </a:graphicData>
            </a:graphic>
          </wp:inline>
        </w:drawing>
      </w:r>
      <w:r>
        <w:br/>
      </w:r>
      <w:r w:rsidR="009C373F" w:rsidRPr="002E5CEE">
        <w:t xml:space="preserve">To what extent do consumers, carers, family and kin experience </w:t>
      </w:r>
      <w:r>
        <w:br/>
      </w:r>
      <w:r w:rsidR="009C373F" w:rsidRPr="002E5CEE">
        <w:t>improved outcomes after interacting with the mental health system?</w:t>
      </w:r>
    </w:p>
    <w:p w14:paraId="1AB854DE" w14:textId="71B37F6E" w:rsidR="009F1FFF" w:rsidRPr="002E5CEE" w:rsidRDefault="009F1FFF" w:rsidP="004E5D44">
      <w:pPr>
        <w:pStyle w:val="GuidingQuestion"/>
      </w:pPr>
      <w:r w:rsidRPr="00063D4E">
        <w:t>To what extent is mental health care for</w:t>
      </w:r>
      <w:r w:rsidRPr="00063D4E">
        <w:rPr>
          <w:rFonts w:ascii="Arial" w:hAnsi="Arial" w:cs="Arial"/>
        </w:rPr>
        <w:t> </w:t>
      </w:r>
      <w:r w:rsidRPr="00063D4E">
        <w:t>consumers, carers,</w:t>
      </w:r>
      <w:r w:rsidRPr="00063D4E">
        <w:br/>
      </w:r>
      <w:r w:rsidRPr="00063D4E">
        <w:rPr>
          <w:rFonts w:ascii="Arial" w:hAnsi="Arial" w:cs="Arial"/>
        </w:rPr>
        <w:t> </w:t>
      </w:r>
      <w:r w:rsidRPr="00063D4E">
        <w:t>family</w:t>
      </w:r>
      <w:r w:rsidRPr="00063D4E">
        <w:rPr>
          <w:rFonts w:ascii="Arial" w:hAnsi="Arial" w:cs="Arial"/>
        </w:rPr>
        <w:t> </w:t>
      </w:r>
      <w:r w:rsidRPr="00063D4E">
        <w:t>and kin informed by</w:t>
      </w:r>
      <w:r w:rsidRPr="00063D4E">
        <w:rPr>
          <w:rFonts w:ascii="Arial" w:hAnsi="Arial" w:cs="Arial"/>
        </w:rPr>
        <w:t> </w:t>
      </w:r>
      <w:r w:rsidRPr="00063D4E">
        <w:t>best available and emerging evidence?</w:t>
      </w:r>
    </w:p>
    <w:p w14:paraId="53B33A0A" w14:textId="77777777" w:rsidR="009C373F" w:rsidRPr="002E5CEE" w:rsidRDefault="009C373F" w:rsidP="00341C7A">
      <w:pPr>
        <w:pStyle w:val="Heading3"/>
      </w:pPr>
      <w:r w:rsidRPr="002E5CEE">
        <w:t>The Commission draws on the following indicators:</w:t>
      </w:r>
    </w:p>
    <w:p w14:paraId="29E3BEAA" w14:textId="731F6E29" w:rsidR="00390D63" w:rsidRDefault="00341C7A" w:rsidP="00390D63">
      <w:pPr>
        <w:pStyle w:val="ListBullet"/>
        <w:numPr>
          <w:ilvl w:val="0"/>
          <w:numId w:val="0"/>
        </w:numPr>
        <w:ind w:left="170" w:hanging="170"/>
      </w:pPr>
      <w:r>
        <w:rPr>
          <w:noProof/>
        </w:rPr>
        <w:drawing>
          <wp:anchor distT="0" distB="0" distL="114300" distR="114300" simplePos="0" relativeHeight="251800718" behindDoc="0" locked="0" layoutInCell="1" allowOverlap="1" wp14:anchorId="602076E5" wp14:editId="4A922814">
            <wp:simplePos x="0" y="0"/>
            <wp:positionH relativeFrom="column">
              <wp:posOffset>0</wp:posOffset>
            </wp:positionH>
            <wp:positionV relativeFrom="paragraph">
              <wp:posOffset>137160</wp:posOffset>
            </wp:positionV>
            <wp:extent cx="262890" cy="262890"/>
            <wp:effectExtent l="0" t="0" r="3810" b="3810"/>
            <wp:wrapSquare wrapText="bothSides"/>
            <wp:docPr id="1296933158"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33158" name="Picture 100">
                      <a:extLst>
                        <a:ext uri="{C183D7F6-B498-43B3-948B-1728B52AA6E4}">
                          <adec:decorative xmlns:adec="http://schemas.microsoft.com/office/drawing/2017/decorative" val="1"/>
                        </a:ext>
                      </a:extLst>
                    </pic:cNvPr>
                    <pic:cNvPicPr/>
                  </pic:nvPicPr>
                  <pic:blipFill>
                    <a:blip r:embed="rId175">
                      <a:extLst>
                        <a:ext uri="{96DAC541-7B7A-43D3-8B79-37D633B846F1}">
                          <asvg:svgBlip xmlns:asvg="http://schemas.microsoft.com/office/drawing/2016/SVG/main" r:embed="rId176"/>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1DC67FEE" w14:textId="42B9F601" w:rsidR="009C373F" w:rsidRPr="00E20DDC" w:rsidRDefault="009C373F" w:rsidP="00390D63">
      <w:pPr>
        <w:pStyle w:val="ListBullet"/>
        <w:numPr>
          <w:ilvl w:val="0"/>
          <w:numId w:val="0"/>
        </w:numPr>
        <w:ind w:left="170" w:hanging="170"/>
      </w:pPr>
      <w:r w:rsidRPr="00E20DDC">
        <w:t xml:space="preserve">Consumer, carer, family and kin experiences of mental health services </w:t>
      </w:r>
    </w:p>
    <w:p w14:paraId="704D21B3" w14:textId="2849EA65" w:rsidR="00390D63" w:rsidRDefault="00341C7A" w:rsidP="00390D63">
      <w:pPr>
        <w:pStyle w:val="ListBullet"/>
        <w:numPr>
          <w:ilvl w:val="0"/>
          <w:numId w:val="0"/>
        </w:numPr>
        <w:ind w:left="170" w:hanging="170"/>
      </w:pPr>
      <w:r>
        <w:rPr>
          <w:noProof/>
        </w:rPr>
        <w:drawing>
          <wp:anchor distT="0" distB="0" distL="114300" distR="114300" simplePos="0" relativeHeight="251798670" behindDoc="0" locked="0" layoutInCell="1" allowOverlap="1" wp14:anchorId="75A4B517" wp14:editId="73F939D8">
            <wp:simplePos x="0" y="0"/>
            <wp:positionH relativeFrom="column">
              <wp:posOffset>0</wp:posOffset>
            </wp:positionH>
            <wp:positionV relativeFrom="paragraph">
              <wp:posOffset>133985</wp:posOffset>
            </wp:positionV>
            <wp:extent cx="262890" cy="262890"/>
            <wp:effectExtent l="0" t="0" r="3810" b="3810"/>
            <wp:wrapSquare wrapText="bothSides"/>
            <wp:docPr id="283887729"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87729" name="Picture 100">
                      <a:extLst>
                        <a:ext uri="{C183D7F6-B498-43B3-948B-1728B52AA6E4}">
                          <adec:decorative xmlns:adec="http://schemas.microsoft.com/office/drawing/2017/decorative" val="1"/>
                        </a:ext>
                      </a:extLst>
                    </pic:cNvPr>
                    <pic:cNvPicPr/>
                  </pic:nvPicPr>
                  <pic:blipFill>
                    <a:blip r:embed="rId177">
                      <a:extLst>
                        <a:ext uri="{96DAC541-7B7A-43D3-8B79-37D633B846F1}">
                          <asvg:svgBlip xmlns:asvg="http://schemas.microsoft.com/office/drawing/2016/SVG/main" r:embed="rId178"/>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63268F52" w14:textId="4A15256F" w:rsidR="009C373F" w:rsidRPr="00E20DDC" w:rsidRDefault="009C373F" w:rsidP="00390D63">
      <w:pPr>
        <w:pStyle w:val="ListBullet"/>
        <w:numPr>
          <w:ilvl w:val="0"/>
          <w:numId w:val="0"/>
        </w:numPr>
        <w:ind w:left="170" w:hanging="170"/>
      </w:pPr>
      <w:r w:rsidRPr="00E20DDC">
        <w:t>Clinical measures of mental health outcomes</w:t>
      </w:r>
    </w:p>
    <w:p w14:paraId="1FB6EE94" w14:textId="77777777" w:rsidR="00390D63" w:rsidRDefault="00390D63" w:rsidP="00390D63">
      <w:pPr>
        <w:pStyle w:val="ListBullet"/>
        <w:numPr>
          <w:ilvl w:val="0"/>
          <w:numId w:val="0"/>
        </w:numPr>
        <w:ind w:left="170" w:hanging="170"/>
      </w:pPr>
    </w:p>
    <w:p w14:paraId="59553007" w14:textId="06B5CA11" w:rsidR="009C373F" w:rsidRPr="00E20DDC" w:rsidRDefault="00341C7A" w:rsidP="00390D63">
      <w:pPr>
        <w:pStyle w:val="ListBullet"/>
        <w:numPr>
          <w:ilvl w:val="0"/>
          <w:numId w:val="0"/>
        </w:numPr>
        <w:ind w:left="170" w:hanging="170"/>
      </w:pPr>
      <w:r>
        <w:rPr>
          <w:noProof/>
        </w:rPr>
        <w:drawing>
          <wp:anchor distT="0" distB="0" distL="114300" distR="114300" simplePos="0" relativeHeight="251796622" behindDoc="0" locked="0" layoutInCell="1" allowOverlap="1" wp14:anchorId="07159EF5" wp14:editId="6086D369">
            <wp:simplePos x="0" y="0"/>
            <wp:positionH relativeFrom="column">
              <wp:posOffset>0</wp:posOffset>
            </wp:positionH>
            <wp:positionV relativeFrom="paragraph">
              <wp:posOffset>44450</wp:posOffset>
            </wp:positionV>
            <wp:extent cx="262890" cy="262890"/>
            <wp:effectExtent l="0" t="0" r="3810" b="3810"/>
            <wp:wrapSquare wrapText="bothSides"/>
            <wp:docPr id="673954649"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54649" name="Picture 100">
                      <a:extLst>
                        <a:ext uri="{C183D7F6-B498-43B3-948B-1728B52AA6E4}">
                          <adec:decorative xmlns:adec="http://schemas.microsoft.com/office/drawing/2017/decorative" val="1"/>
                        </a:ext>
                      </a:extLst>
                    </pic:cNvPr>
                    <pic:cNvPicPr/>
                  </pic:nvPicPr>
                  <pic:blipFill>
                    <a:blip r:embed="rId134">
                      <a:extLst>
                        <a:ext uri="{96DAC541-7B7A-43D3-8B79-37D633B846F1}">
                          <asvg:svgBlip xmlns:asvg="http://schemas.microsoft.com/office/drawing/2016/SVG/main" r:embed="rId135"/>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r w:rsidR="009C373F" w:rsidRPr="00E20DDC">
        <w:t xml:space="preserve">Proportion of people who present to a hospital emergency department (ED) with a mental </w:t>
      </w:r>
      <w:r w:rsidR="00390D63">
        <w:br/>
      </w:r>
      <w:r w:rsidR="009C373F" w:rsidRPr="00E20DDC">
        <w:t xml:space="preserve">health related care need who are seen within clinically recommended waiting times </w:t>
      </w:r>
    </w:p>
    <w:p w14:paraId="2C927F46" w14:textId="041DCFB3" w:rsidR="00390D63" w:rsidRDefault="00341C7A" w:rsidP="00390D63">
      <w:pPr>
        <w:pStyle w:val="ListBullet"/>
        <w:numPr>
          <w:ilvl w:val="0"/>
          <w:numId w:val="0"/>
        </w:numPr>
        <w:ind w:left="170" w:hanging="170"/>
      </w:pPr>
      <w:r>
        <w:rPr>
          <w:noProof/>
        </w:rPr>
        <w:drawing>
          <wp:anchor distT="0" distB="0" distL="114300" distR="114300" simplePos="0" relativeHeight="251794574" behindDoc="0" locked="0" layoutInCell="1" allowOverlap="1" wp14:anchorId="0127D7BD" wp14:editId="6892E7F0">
            <wp:simplePos x="0" y="0"/>
            <wp:positionH relativeFrom="column">
              <wp:posOffset>0</wp:posOffset>
            </wp:positionH>
            <wp:positionV relativeFrom="paragraph">
              <wp:posOffset>134809</wp:posOffset>
            </wp:positionV>
            <wp:extent cx="262890" cy="262890"/>
            <wp:effectExtent l="0" t="0" r="3810" b="3810"/>
            <wp:wrapSquare wrapText="bothSides"/>
            <wp:docPr id="576512094"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34206452" w14:textId="1C04EDA7" w:rsidR="009C373F" w:rsidRPr="00E20DDC" w:rsidRDefault="009C373F" w:rsidP="00390D63">
      <w:pPr>
        <w:pStyle w:val="ListBullet"/>
        <w:numPr>
          <w:ilvl w:val="0"/>
          <w:numId w:val="0"/>
        </w:numPr>
        <w:ind w:left="170" w:hanging="170"/>
      </w:pPr>
      <w:r w:rsidRPr="00E20DDC">
        <w:t>Person-centred outcomes that matter to consumers</w:t>
      </w:r>
      <w:r w:rsidR="00452074">
        <w:t xml:space="preserve"> </w:t>
      </w:r>
      <w:r w:rsidR="00C103D4" w:rsidRPr="009D015F">
        <w:rPr>
          <w:b/>
          <w:bCs/>
          <w:color w:val="008142" w:themeColor="accent5"/>
        </w:rPr>
        <w:t>Identified data gap</w:t>
      </w:r>
    </w:p>
    <w:p w14:paraId="4C2E5553" w14:textId="058ECE09" w:rsidR="00390D63" w:rsidRDefault="00341C7A" w:rsidP="00390D63">
      <w:pPr>
        <w:pStyle w:val="ListBullet"/>
        <w:numPr>
          <w:ilvl w:val="0"/>
          <w:numId w:val="0"/>
        </w:numPr>
        <w:ind w:left="170" w:hanging="170"/>
      </w:pPr>
      <w:r>
        <w:rPr>
          <w:noProof/>
        </w:rPr>
        <w:drawing>
          <wp:anchor distT="0" distB="0" distL="114300" distR="114300" simplePos="0" relativeHeight="251792526" behindDoc="0" locked="0" layoutInCell="1" allowOverlap="1" wp14:anchorId="3EDD5B46" wp14:editId="34733B59">
            <wp:simplePos x="0" y="0"/>
            <wp:positionH relativeFrom="column">
              <wp:posOffset>0</wp:posOffset>
            </wp:positionH>
            <wp:positionV relativeFrom="paragraph">
              <wp:posOffset>129636</wp:posOffset>
            </wp:positionV>
            <wp:extent cx="262890" cy="262890"/>
            <wp:effectExtent l="0" t="0" r="3810" b="3810"/>
            <wp:wrapSquare wrapText="bothSides"/>
            <wp:docPr id="1324381934"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5330" name="Picture 100">
                      <a:extLst>
                        <a:ext uri="{C183D7F6-B498-43B3-948B-1728B52AA6E4}">
                          <adec:decorative xmlns:adec="http://schemas.microsoft.com/office/drawing/2017/decorative" val="1"/>
                        </a:ext>
                      </a:extLst>
                    </pic:cNvPr>
                    <pic:cNvPicPr/>
                  </pic:nvPicPr>
                  <pic:blipFill>
                    <a:blip r:embed="rId143">
                      <a:extLst>
                        <a:ext uri="{96DAC541-7B7A-43D3-8B79-37D633B846F1}">
                          <asvg:svgBlip xmlns:asvg="http://schemas.microsoft.com/office/drawing/2016/SVG/main" r:embed="rId14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1F45A97C" w14:textId="230B5A2A" w:rsidR="009C373F" w:rsidRPr="00E20DDC" w:rsidRDefault="009C373F" w:rsidP="00390D63">
      <w:pPr>
        <w:pStyle w:val="ListBullet"/>
        <w:numPr>
          <w:ilvl w:val="0"/>
          <w:numId w:val="0"/>
        </w:numPr>
        <w:ind w:left="170" w:hanging="170"/>
        <w:rPr>
          <w:color w:val="auto"/>
        </w:rPr>
      </w:pPr>
      <w:r w:rsidRPr="00E20DDC">
        <w:t>Research and evaluation of service effectiveness and improvement </w:t>
      </w:r>
      <w:r w:rsidR="00C103D4" w:rsidRPr="009D015F">
        <w:rPr>
          <w:b/>
          <w:bCs/>
          <w:color w:val="008142" w:themeColor="accent5"/>
        </w:rPr>
        <w:t>Identified data gap</w:t>
      </w:r>
    </w:p>
    <w:p w14:paraId="4E83C13A" w14:textId="77777777" w:rsidR="009C373F" w:rsidRPr="000B61C7" w:rsidRDefault="009C373F" w:rsidP="000B61C7">
      <w:pPr>
        <w:rPr>
          <w:lang w:eastAsia="en-AU"/>
        </w:rPr>
      </w:pPr>
      <w:r w:rsidRPr="000B61C7">
        <w:rPr>
          <w:lang w:eastAsia="en-AU"/>
        </w:rPr>
        <w:lastRenderedPageBreak/>
        <w:t xml:space="preserve">While monitoring access to treatment, support services and mental health investment and expenditure are important indicators of system performance, they do not provide the full picture. Understanding people’s experiences of services and support, alongside the experiences of their families, carers, and kin is essential. As highlighted in previous Report Cards, available data continues to provide a limited view of the extent to which consumers receive quality care aligned with their needs and preferences. The following sections draw on latest available data used to measure experiences and outcomes. These key components are used to assess the effectiveness of the mental health system. Substantial data and information gaps remain in measuring the needs, experiences and outcomes of people in Australia, particularly those accessing services and supports outside the public health system. </w:t>
      </w:r>
    </w:p>
    <w:p w14:paraId="2F98BD57" w14:textId="5346967C" w:rsidR="009C373F" w:rsidRPr="000B61C7" w:rsidRDefault="005D75AB" w:rsidP="009F46B4">
      <w:pPr>
        <w:pStyle w:val="Heading2"/>
        <w:rPr>
          <w:rStyle w:val="normaltextrun"/>
        </w:rPr>
      </w:pPr>
      <w:r>
        <w:rPr>
          <w:noProof/>
        </w:rPr>
        <w:drawing>
          <wp:inline distT="0" distB="0" distL="0" distR="0" wp14:anchorId="142EFE0E" wp14:editId="3B5AF1E7">
            <wp:extent cx="387350" cy="387350"/>
            <wp:effectExtent l="0" t="0" r="6350" b="6350"/>
            <wp:docPr id="242745582"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45582" name="Picture 100">
                      <a:extLst>
                        <a:ext uri="{C183D7F6-B498-43B3-948B-1728B52AA6E4}">
                          <adec:decorative xmlns:adec="http://schemas.microsoft.com/office/drawing/2017/decorative" val="1"/>
                        </a:ext>
                      </a:extLst>
                    </pic:cNvPr>
                    <pic:cNvPicPr/>
                  </pic:nvPicPr>
                  <pic:blipFill>
                    <a:blip r:embed="rId175">
                      <a:extLst>
                        <a:ext uri="{96DAC541-7B7A-43D3-8B79-37D633B846F1}">
                          <asvg:svgBlip xmlns:asvg="http://schemas.microsoft.com/office/drawing/2016/SVG/main" r:embed="rId176"/>
                        </a:ext>
                      </a:extLst>
                    </a:blip>
                    <a:stretch>
                      <a:fillRect/>
                    </a:stretch>
                  </pic:blipFill>
                  <pic:spPr>
                    <a:xfrm>
                      <a:off x="0" y="0"/>
                      <a:ext cx="387350" cy="387350"/>
                    </a:xfrm>
                    <a:prstGeom prst="rect">
                      <a:avLst/>
                    </a:prstGeom>
                  </pic:spPr>
                </pic:pic>
              </a:graphicData>
            </a:graphic>
          </wp:inline>
        </w:drawing>
      </w:r>
      <w:r w:rsidR="007547E6">
        <w:t xml:space="preserve"> </w:t>
      </w:r>
      <w:r w:rsidR="00C27F0C">
        <w:rPr>
          <w:noProof/>
        </w:rPr>
        <mc:AlternateContent>
          <mc:Choice Requires="wps">
            <w:drawing>
              <wp:anchor distT="0" distB="0" distL="114300" distR="114300" simplePos="0" relativeHeight="251658309" behindDoc="1" locked="0" layoutInCell="1" allowOverlap="1" wp14:anchorId="2B3F459A" wp14:editId="0A893F40">
                <wp:simplePos x="0" y="0"/>
                <wp:positionH relativeFrom="page">
                  <wp:posOffset>-13011</wp:posOffset>
                </wp:positionH>
                <wp:positionV relativeFrom="page">
                  <wp:posOffset>6985</wp:posOffset>
                </wp:positionV>
                <wp:extent cx="7560000" cy="153909"/>
                <wp:effectExtent l="0" t="0" r="0" b="0"/>
                <wp:wrapNone/>
                <wp:docPr id="345000747" name="Rectangle 3450007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3594526" id="Rectangle 345000747" o:spid="_x0000_s1026" alt="&quot;&quot;" style="position:absolute;margin-left:-1pt;margin-top:.55pt;width:595.3pt;height:12.1pt;z-index:-2516581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" fillcolor="#008142 [3208]" stroked="f" strokeweight="1pt">
                <w10:wrap anchorx="page" anchory="page"/>
              </v:rect>
            </w:pict>
          </mc:Fallback>
        </mc:AlternateContent>
      </w:r>
      <w:r w:rsidR="009C373F" w:rsidRPr="000B61C7">
        <w:rPr>
          <w:rStyle w:val="normaltextrun"/>
        </w:rPr>
        <w:t xml:space="preserve">Consumer, carer family and kin experiences of mental health services </w:t>
      </w:r>
    </w:p>
    <w:p w14:paraId="6F28B48B" w14:textId="56080397" w:rsidR="009C373F" w:rsidRPr="00BA1489" w:rsidRDefault="00390D63" w:rsidP="00BA1489">
      <w:r w:rsidRPr="002F7DA4">
        <w:rPr>
          <w:rStyle w:val="Hyperlink"/>
          <w:noProof/>
        </w:rPr>
        <mc:AlternateContent>
          <mc:Choice Requires="wps">
            <w:drawing>
              <wp:anchor distT="0" distB="0" distL="114300" distR="114300" simplePos="0" relativeHeight="251658374" behindDoc="1" locked="0" layoutInCell="1" allowOverlap="1" wp14:anchorId="6BA7135C" wp14:editId="4C8F3205">
                <wp:simplePos x="0" y="0"/>
                <wp:positionH relativeFrom="page">
                  <wp:posOffset>790575</wp:posOffset>
                </wp:positionH>
                <wp:positionV relativeFrom="page">
                  <wp:posOffset>3848100</wp:posOffset>
                </wp:positionV>
                <wp:extent cx="6147435" cy="2276475"/>
                <wp:effectExtent l="0" t="0" r="24765" b="28575"/>
                <wp:wrapNone/>
                <wp:docPr id="1020428354" name="Rectangle 10204283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2276475"/>
                        </a:xfrm>
                        <a:prstGeom prst="rect">
                          <a:avLst/>
                        </a:prstGeom>
                        <a:noFill/>
                        <a:ln>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8E8C4" id="Rectangle 1020428354" o:spid="_x0000_s1026" alt="&quot;&quot;" style="position:absolute;margin-left:62.25pt;margin-top:303pt;width:484.05pt;height:179.25pt;z-index:-2516581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" filled="f" strokecolor="#008142 [3208]" strokeweight="1pt">
                <w10:wrap anchorx="page" anchory="page"/>
              </v:rect>
            </w:pict>
          </mc:Fallback>
        </mc:AlternateContent>
      </w:r>
      <w:r w:rsidR="009C373F" w:rsidRPr="00BA1489">
        <w:t>Monitoring and reporting on consumer, carer, family and kin experiences helps us to understand whether the mental health service system is effectively meeting the needs of those it serves.  In Australia, there is ongoing work to improve the collection and reporting of experiences from consumers and carers and the mental health care they receive.</w:t>
      </w:r>
      <w:r w:rsidR="009C373F" w:rsidRPr="00BA1489">
        <w:rPr>
          <w:vertAlign w:val="superscript"/>
        </w:rPr>
        <w:endnoteReference w:id="160"/>
      </w:r>
      <w:r w:rsidR="009C373F" w:rsidRPr="00BA1489">
        <w:t xml:space="preserve"> </w:t>
      </w:r>
      <w:r w:rsidR="0008513C">
        <w:br/>
      </w:r>
    </w:p>
    <w:p w14:paraId="78825891" w14:textId="3AFD3445" w:rsidR="003E200E" w:rsidRDefault="009C373F" w:rsidP="007D4476">
      <w:r w:rsidRPr="008232A6">
        <w:t>The Your Experience of Service (YES) Survey collects information from consumers’ self-reported experiences of publicly funded mental health care. These settings include ambulatory (non-admitted) services, admitted (hospital) services and residential (overnight) services. The YES Survey was developed in partnership with mental health consumers across Australia and first became available in 2015.</w:t>
      </w:r>
      <w:r w:rsidRPr="003E200E">
        <w:rPr>
          <w:vertAlign w:val="superscript"/>
        </w:rPr>
        <w:endnoteReference w:id="161"/>
      </w:r>
      <w:r w:rsidRPr="003E200E">
        <w:rPr>
          <w:vertAlign w:val="superscript"/>
        </w:rPr>
        <w:t> </w:t>
      </w:r>
      <w:r w:rsidRPr="008232A6">
        <w:t>The YES Survey measure</w:t>
      </w:r>
      <w:r w:rsidR="00160DFD">
        <w:t>s</w:t>
      </w:r>
      <w:r w:rsidRPr="008232A6">
        <w:t xml:space="preserve"> experience of</w:t>
      </w:r>
      <w:r w:rsidR="00160DFD">
        <w:t xml:space="preserve"> mental health</w:t>
      </w:r>
      <w:r w:rsidRPr="008232A6">
        <w:t xml:space="preserve"> service</w:t>
      </w:r>
      <w:r w:rsidR="00160DFD">
        <w:t>s</w:t>
      </w:r>
      <w:r w:rsidRPr="008232A6">
        <w:t xml:space="preserve"> across six domains (i.e., Making a Difference, Information and Support, Individuality,</w:t>
      </w:r>
      <w:r w:rsidR="008232A6">
        <w:t xml:space="preserve"> </w:t>
      </w:r>
      <w:r w:rsidRPr="008232A6">
        <w:t>Participation, Respect, and Safety and Fairness).</w:t>
      </w:r>
    </w:p>
    <w:p w14:paraId="50ABD4E8" w14:textId="5CD8E36D" w:rsidR="005A3808" w:rsidRDefault="009C373F" w:rsidP="007D4476">
      <w:r w:rsidRPr="008232A6">
        <w:t xml:space="preserve">The intent of </w:t>
      </w:r>
      <w:r w:rsidR="00160DFD">
        <w:t xml:space="preserve">the </w:t>
      </w:r>
      <w:r w:rsidRPr="008232A6">
        <w:t>YES Survey is to provide a</w:t>
      </w:r>
      <w:r w:rsidR="008232A6">
        <w:t xml:space="preserve"> </w:t>
      </w:r>
      <w:r w:rsidRPr="008232A6">
        <w:t>way for consumers to give feedback about their experiences of care</w:t>
      </w:r>
      <w:r w:rsidR="00E37AB7">
        <w:t xml:space="preserve"> </w:t>
      </w:r>
      <w:r w:rsidRPr="008232A6">
        <w:t>and have that feedback </w:t>
      </w:r>
      <w:proofErr w:type="gramStart"/>
      <w:r w:rsidRPr="008232A6">
        <w:t>inform</w:t>
      </w:r>
      <w:proofErr w:type="gramEnd"/>
      <w:r w:rsidRPr="008232A6">
        <w:t> service quality and improvement. </w:t>
      </w:r>
      <w:r w:rsidR="00160DFD">
        <w:t>While survey results</w:t>
      </w:r>
      <w:r w:rsidRPr="008232A6">
        <w:t> are</w:t>
      </w:r>
      <w:r w:rsidR="00160DFD" w:rsidRPr="008232A6" w:rsidDel="00160DFD">
        <w:t xml:space="preserve"> </w:t>
      </w:r>
      <w:r w:rsidRPr="008232A6">
        <w:t>ava</w:t>
      </w:r>
      <w:r w:rsidR="002D1B26">
        <w:t>i</w:t>
      </w:r>
      <w:r w:rsidRPr="008232A6">
        <w:t>lable for New South Wales, Victoria and Queensland</w:t>
      </w:r>
      <w:r w:rsidR="00160DFD">
        <w:t>, comparison across jurisdictions is difficult given differences in</w:t>
      </w:r>
      <w:r w:rsidRPr="008232A6">
        <w:t xml:space="preserve"> survey collection frequency</w:t>
      </w:r>
      <w:r w:rsidR="00160DFD">
        <w:t>.</w:t>
      </w:r>
      <w:r w:rsidRPr="008232A6">
        <w:t> </w:t>
      </w:r>
      <w:r w:rsidR="00160DFD">
        <w:t>It</w:t>
      </w:r>
      <w:r w:rsidRPr="008232A6">
        <w:t xml:space="preserve"> is important to acknowledge that the YES Survey is often administered following experiences of care that ha</w:t>
      </w:r>
      <w:r w:rsidR="00A22CD4">
        <w:t>ve</w:t>
      </w:r>
      <w:r w:rsidRPr="008232A6">
        <w:t xml:space="preserve"> involved involuntary treatment. </w:t>
      </w:r>
      <w:r w:rsidR="00F57F2E">
        <w:t>As reflected in the data below, e</w:t>
      </w:r>
      <w:r w:rsidRPr="008232A6">
        <w:t xml:space="preserve">xperience surveys from </w:t>
      </w:r>
      <w:r w:rsidR="00F57F2E">
        <w:t>respondents</w:t>
      </w:r>
      <w:r w:rsidR="00E425C6">
        <w:t xml:space="preserve"> </w:t>
      </w:r>
      <w:r w:rsidRPr="008232A6">
        <w:t>who receive</w:t>
      </w:r>
      <w:r w:rsidR="00E85587">
        <w:t>d</w:t>
      </w:r>
      <w:r w:rsidRPr="008232A6">
        <w:t xml:space="preserve"> involuntary treatment are less likely to indicate a positive experience of care score.</w:t>
      </w:r>
      <w:r w:rsidRPr="00A75941">
        <w:rPr>
          <w:vertAlign w:val="superscript"/>
        </w:rPr>
        <w:footnoteReference w:id="19"/>
      </w:r>
      <w:r w:rsidR="0008513C">
        <w:br/>
      </w:r>
    </w:p>
    <w:p w14:paraId="13F9DF30" w14:textId="532F0F90" w:rsidR="00473649" w:rsidRDefault="00747B4B">
      <w:pPr>
        <w:suppressAutoHyphens w:val="0"/>
        <w:autoSpaceDE/>
        <w:autoSpaceDN/>
        <w:adjustRightInd/>
        <w:spacing w:after="0" w:line="240" w:lineRule="auto"/>
        <w:textAlignment w:val="auto"/>
        <w:rPr>
          <w:rStyle w:val="normaltextrun"/>
        </w:rPr>
      </w:pPr>
      <w:r>
        <w:rPr>
          <w:noProof/>
        </w:rPr>
        <w:drawing>
          <wp:anchor distT="0" distB="0" distL="114300" distR="114300" simplePos="0" relativeHeight="251822222" behindDoc="0" locked="0" layoutInCell="1" allowOverlap="1" wp14:anchorId="4F74EB7E" wp14:editId="017BE648">
            <wp:simplePos x="0" y="0"/>
            <wp:positionH relativeFrom="column">
              <wp:posOffset>3755036</wp:posOffset>
            </wp:positionH>
            <wp:positionV relativeFrom="paragraph">
              <wp:posOffset>520274</wp:posOffset>
            </wp:positionV>
            <wp:extent cx="2201708" cy="2150505"/>
            <wp:effectExtent l="0" t="0" r="0" b="0"/>
            <wp:wrapNone/>
            <wp:docPr id="586815159" name="Graphic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15159" name="Graphic 201">
                      <a:extLst>
                        <a:ext uri="{C183D7F6-B498-43B3-948B-1728B52AA6E4}">
                          <adec:decorative xmlns:adec="http://schemas.microsoft.com/office/drawing/2017/decorative" val="1"/>
                        </a:ext>
                      </a:extLst>
                    </pic:cNvPr>
                    <pic:cNvPicPr/>
                  </pic:nvPicPr>
                  <pic:blipFill>
                    <a:blip r:embed="rId179">
                      <a:extLst>
                        <a:ext uri="{96DAC541-7B7A-43D3-8B79-37D633B846F1}">
                          <asvg:svgBlip xmlns:asvg="http://schemas.microsoft.com/office/drawing/2016/SVG/main" r:embed="rId180"/>
                        </a:ext>
                      </a:extLst>
                    </a:blip>
                    <a:stretch>
                      <a:fillRect/>
                    </a:stretch>
                  </pic:blipFill>
                  <pic:spPr>
                    <a:xfrm>
                      <a:off x="0" y="0"/>
                      <a:ext cx="2213376" cy="2161902"/>
                    </a:xfrm>
                    <a:prstGeom prst="rect">
                      <a:avLst/>
                    </a:prstGeom>
                  </pic:spPr>
                </pic:pic>
              </a:graphicData>
            </a:graphic>
            <wp14:sizeRelH relativeFrom="page">
              <wp14:pctWidth>0</wp14:pctWidth>
            </wp14:sizeRelH>
            <wp14:sizeRelV relativeFrom="page">
              <wp14:pctHeight>0</wp14:pctHeight>
            </wp14:sizeRelV>
          </wp:anchor>
        </w:drawing>
      </w:r>
      <w:r w:rsidR="00473649">
        <w:rPr>
          <w:rStyle w:val="normaltextrun"/>
        </w:rPr>
        <w:br w:type="page"/>
      </w:r>
    </w:p>
    <w:p w14:paraId="342BE901" w14:textId="0799C337" w:rsidR="001B639F" w:rsidRPr="00A75941" w:rsidRDefault="00160DFD" w:rsidP="007140DC">
      <w:pPr>
        <w:suppressAutoHyphens w:val="0"/>
        <w:autoSpaceDE/>
        <w:autoSpaceDN/>
        <w:adjustRightInd/>
        <w:spacing w:line="240" w:lineRule="auto"/>
        <w:textAlignment w:val="auto"/>
      </w:pPr>
      <w:r>
        <w:rPr>
          <w:rStyle w:val="normaltextrun"/>
        </w:rPr>
        <w:lastRenderedPageBreak/>
        <w:t>During</w:t>
      </w:r>
      <w:r w:rsidR="001B639F" w:rsidRPr="00A75941">
        <w:rPr>
          <w:rStyle w:val="normaltextrun"/>
        </w:rPr>
        <w:t xml:space="preserve"> 2023-2024:</w:t>
      </w:r>
    </w:p>
    <w:p w14:paraId="1396AAAD" w14:textId="0487C0D4" w:rsidR="001B639F" w:rsidRPr="00BA1489" w:rsidRDefault="00160DFD" w:rsidP="001B639F">
      <w:pPr>
        <w:pStyle w:val="ListBullet"/>
        <w:rPr>
          <w:rStyle w:val="normaltextrun"/>
        </w:rPr>
      </w:pPr>
      <w:r>
        <w:rPr>
          <w:rStyle w:val="normaltextrun"/>
        </w:rPr>
        <w:t>In admitted mental health care services, the proportion of consumers who had a positive experience of care ranged from 49% of consumers reporting a positive experience in Victoria, 51% of consumers in Queensland, and 72% of consumers in NSW.</w:t>
      </w:r>
    </w:p>
    <w:p w14:paraId="161E6420" w14:textId="66FD49A6" w:rsidR="001B639F" w:rsidRDefault="00F70B52" w:rsidP="001B639F">
      <w:pPr>
        <w:pStyle w:val="ListBullet"/>
        <w:rPr>
          <w:rStyle w:val="normaltextrun"/>
        </w:rPr>
      </w:pPr>
      <w:r>
        <w:rPr>
          <w:rStyle w:val="normaltextrun"/>
        </w:rPr>
        <w:t xml:space="preserve">In ambulatory mental health services, the proportion of consumers who had positive experiences of their care was higher across all jurisdictions, with 75% of consumers </w:t>
      </w:r>
      <w:r w:rsidR="000444B4">
        <w:rPr>
          <w:rStyle w:val="normaltextrun"/>
        </w:rPr>
        <w:t>reporting positive experiences in Victoria, 80% in NSW and 83% in Queensland.</w:t>
      </w:r>
      <w:r w:rsidR="001B639F" w:rsidRPr="00BA1489">
        <w:rPr>
          <w:rStyle w:val="normaltextrun"/>
        </w:rPr>
        <w:t xml:space="preserve"> </w:t>
      </w:r>
    </w:p>
    <w:p w14:paraId="26F3D8B9" w14:textId="6659A6C3" w:rsidR="001B639F" w:rsidRPr="00920B14" w:rsidRDefault="008249BD" w:rsidP="001B639F">
      <w:r>
        <w:t>The</w:t>
      </w:r>
      <w:r w:rsidR="001B639F" w:rsidRPr="00920B14">
        <w:t xml:space="preserve"> YES survey provides other information on consumer experience, such as ratings of care</w:t>
      </w:r>
      <w:r w:rsidR="000444B4">
        <w:t xml:space="preserve"> they received</w:t>
      </w:r>
      <w:r w:rsidR="001B639F" w:rsidRPr="00920B14">
        <w:t>. During 2023-24: </w:t>
      </w:r>
    </w:p>
    <w:p w14:paraId="73CDF46A" w14:textId="53EB7BA4" w:rsidR="001B639F" w:rsidRPr="00BA1489" w:rsidRDefault="001B639F" w:rsidP="001B639F">
      <w:pPr>
        <w:pStyle w:val="ListBullet"/>
        <w:rPr>
          <w:rStyle w:val="normaltextrun"/>
        </w:rPr>
      </w:pPr>
      <w:r w:rsidRPr="00BA1489">
        <w:rPr>
          <w:rStyle w:val="normaltextrun"/>
        </w:rPr>
        <w:t>87% of respondents in admitted care rated their care as ‘Good’, ‘Very Good’ or ‘Excellent’ in NSW, 77% in Q</w:t>
      </w:r>
      <w:r w:rsidR="00A22E87">
        <w:rPr>
          <w:rStyle w:val="normaltextrun"/>
        </w:rPr>
        <w:t>ueens</w:t>
      </w:r>
      <w:r w:rsidRPr="00BA1489">
        <w:rPr>
          <w:rStyle w:val="normaltextrun"/>
        </w:rPr>
        <w:t>l</w:t>
      </w:r>
      <w:r w:rsidR="00A22E87">
        <w:rPr>
          <w:rStyle w:val="normaltextrun"/>
        </w:rPr>
        <w:t>an</w:t>
      </w:r>
      <w:r w:rsidRPr="00BA1489">
        <w:rPr>
          <w:rStyle w:val="normaltextrun"/>
        </w:rPr>
        <w:t>d and 76% in Vic</w:t>
      </w:r>
      <w:r w:rsidR="00A22E87">
        <w:rPr>
          <w:rStyle w:val="normaltextrun"/>
        </w:rPr>
        <w:t>toria</w:t>
      </w:r>
      <w:r w:rsidRPr="00BA1489">
        <w:rPr>
          <w:rStyle w:val="normaltextrun"/>
        </w:rPr>
        <w:t>. </w:t>
      </w:r>
    </w:p>
    <w:p w14:paraId="3F268417" w14:textId="3E53A42A" w:rsidR="001B639F" w:rsidRPr="00BA7739" w:rsidRDefault="001B639F" w:rsidP="001B639F">
      <w:pPr>
        <w:pStyle w:val="ListBullet"/>
        <w:rPr>
          <w:color w:val="auto"/>
        </w:rPr>
      </w:pPr>
      <w:r w:rsidRPr="00BA1489">
        <w:rPr>
          <w:rStyle w:val="normaltextrun"/>
        </w:rPr>
        <w:t>94% of respondents in ambulatory care rated their care as ‘Good’, ‘Very Good’ or ‘Excellent’ in Qld, 90% in Vic</w:t>
      </w:r>
      <w:r w:rsidR="00A22E87">
        <w:rPr>
          <w:rStyle w:val="normaltextrun"/>
        </w:rPr>
        <w:t>toria</w:t>
      </w:r>
      <w:r w:rsidRPr="00BA1489">
        <w:rPr>
          <w:rStyle w:val="normaltextrun"/>
        </w:rPr>
        <w:t xml:space="preserve"> and 89% in NSW. </w:t>
      </w:r>
    </w:p>
    <w:p w14:paraId="43A62A51" w14:textId="185F847F" w:rsidR="001B639F" w:rsidRPr="00BA1489" w:rsidRDefault="000444B4" w:rsidP="001B639F">
      <w:pPr>
        <w:pStyle w:val="NormalBeforeBullet"/>
      </w:pPr>
      <w:r>
        <w:t>When asked to rate the effect the admitted care service had on the consumer responding to the survey during 2023-24:</w:t>
      </w:r>
    </w:p>
    <w:p w14:paraId="58B23599" w14:textId="418AA7C5" w:rsidR="001B639F" w:rsidRPr="00BA1489" w:rsidRDefault="001B639F" w:rsidP="001B639F">
      <w:pPr>
        <w:pStyle w:val="ListBullet"/>
        <w:rPr>
          <w:rStyle w:val="normaltextrun"/>
        </w:rPr>
      </w:pPr>
      <w:r w:rsidRPr="00BA1489">
        <w:rPr>
          <w:rStyle w:val="normaltextrun"/>
        </w:rPr>
        <w:t>84% of respondents rated their ‘hopefulness for the future’ as ‘Good’, ‘Very Good’ or ‘Excellent’ in NSW and 73% in both Vic</w:t>
      </w:r>
      <w:r w:rsidR="00A22E87">
        <w:rPr>
          <w:rStyle w:val="normaltextrun"/>
        </w:rPr>
        <w:t>toria</w:t>
      </w:r>
      <w:r w:rsidRPr="00BA1489">
        <w:rPr>
          <w:rStyle w:val="normaltextrun"/>
        </w:rPr>
        <w:t xml:space="preserve"> and Q</w:t>
      </w:r>
      <w:r w:rsidR="00A22E87">
        <w:rPr>
          <w:rStyle w:val="normaltextrun"/>
        </w:rPr>
        <w:t>ueenslan</w:t>
      </w:r>
      <w:r w:rsidRPr="00BA1489">
        <w:rPr>
          <w:rStyle w:val="normaltextrun"/>
        </w:rPr>
        <w:t>d. </w:t>
      </w:r>
    </w:p>
    <w:p w14:paraId="47BF160F" w14:textId="7F53150B" w:rsidR="001B639F" w:rsidRPr="00BA1489" w:rsidRDefault="001B639F" w:rsidP="001B639F">
      <w:pPr>
        <w:pStyle w:val="ListBullet"/>
        <w:rPr>
          <w:rStyle w:val="normaltextrun"/>
        </w:rPr>
      </w:pPr>
      <w:r w:rsidRPr="00BA1489">
        <w:rPr>
          <w:rStyle w:val="normaltextrun"/>
        </w:rPr>
        <w:t>83% of respondents rated their ‘ability to manage day to day life’ as ‘Good’, ‘Very Good’ or ‘Excellent’ in NSW, 74% in Vic</w:t>
      </w:r>
      <w:r w:rsidR="00A22E87">
        <w:rPr>
          <w:rStyle w:val="normaltextrun"/>
        </w:rPr>
        <w:t>toria</w:t>
      </w:r>
      <w:r w:rsidRPr="00BA1489">
        <w:rPr>
          <w:rStyle w:val="normaltextrun"/>
        </w:rPr>
        <w:t xml:space="preserve"> and 71% in Q</w:t>
      </w:r>
      <w:r w:rsidR="00A22E87">
        <w:rPr>
          <w:rStyle w:val="normaltextrun"/>
        </w:rPr>
        <w:t>ueensland</w:t>
      </w:r>
      <w:r w:rsidRPr="00BA1489">
        <w:rPr>
          <w:rStyle w:val="normaltextrun"/>
        </w:rPr>
        <w:t>. </w:t>
      </w:r>
    </w:p>
    <w:p w14:paraId="08BE115F" w14:textId="135D3D02" w:rsidR="001B639F" w:rsidRPr="00B66B13" w:rsidRDefault="001B639F" w:rsidP="001B639F">
      <w:pPr>
        <w:pStyle w:val="ListBullet"/>
        <w:rPr>
          <w:rStyle w:val="normaltextrun"/>
          <w:color w:val="auto"/>
        </w:rPr>
      </w:pPr>
      <w:r>
        <w:rPr>
          <w:noProof/>
        </w:rPr>
        <mc:AlternateContent>
          <mc:Choice Requires="wps">
            <w:drawing>
              <wp:anchor distT="0" distB="0" distL="114300" distR="114300" simplePos="0" relativeHeight="251658362" behindDoc="1" locked="0" layoutInCell="1" allowOverlap="1" wp14:anchorId="7EAD2DC5" wp14:editId="5376FE29">
                <wp:simplePos x="0" y="0"/>
                <wp:positionH relativeFrom="page">
                  <wp:posOffset>-8201</wp:posOffset>
                </wp:positionH>
                <wp:positionV relativeFrom="page">
                  <wp:posOffset>-12301</wp:posOffset>
                </wp:positionV>
                <wp:extent cx="7560000" cy="178272"/>
                <wp:effectExtent l="0" t="0" r="0" b="0"/>
                <wp:wrapNone/>
                <wp:docPr id="245353283" name="Rectangle 2453532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78272"/>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F548AF4" id="Rectangle 245353283" o:spid="_x0000_s1026" alt="&quot;&quot;" style="position:absolute;margin-left:-.65pt;margin-top:-.95pt;width:595.3pt;height:14.05pt;z-index:-2516581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" fillcolor="#008142 [3208]" stroked="f" strokeweight="1pt">
                <w10:wrap anchorx="page" anchory="page"/>
              </v:rect>
            </w:pict>
          </mc:Fallback>
        </mc:AlternateContent>
      </w:r>
      <w:r w:rsidRPr="00BA1489">
        <w:rPr>
          <w:rStyle w:val="normaltextrun"/>
        </w:rPr>
        <w:t>84% of respondents rated their ‘overall wellbeing’ as ‘Good’, ‘Very Good’ or ‘Excellent’ in NSW, 73% in Vic</w:t>
      </w:r>
      <w:r w:rsidR="00A22E87">
        <w:rPr>
          <w:rStyle w:val="normaltextrun"/>
        </w:rPr>
        <w:t>toria</w:t>
      </w:r>
      <w:r w:rsidRPr="00BA1489">
        <w:rPr>
          <w:rStyle w:val="normaltextrun"/>
        </w:rPr>
        <w:t xml:space="preserve"> and 72% in Q</w:t>
      </w:r>
      <w:r w:rsidR="00A22E87">
        <w:rPr>
          <w:rStyle w:val="normaltextrun"/>
        </w:rPr>
        <w:t>ueensland</w:t>
      </w:r>
      <w:r w:rsidRPr="00BA1489">
        <w:rPr>
          <w:rStyle w:val="normaltextrun"/>
        </w:rPr>
        <w:t>. </w:t>
      </w:r>
    </w:p>
    <w:p w14:paraId="2242AEB2" w14:textId="5263A33A" w:rsidR="00B66B13" w:rsidRPr="00BA1489" w:rsidRDefault="000444B4" w:rsidP="00B66B13">
      <w:pPr>
        <w:pStyle w:val="NormalBeforeBullet"/>
      </w:pPr>
      <w:r>
        <w:rPr>
          <w:rStyle w:val="normaltextrun"/>
        </w:rPr>
        <w:t xml:space="preserve">When asked to rate the effect the ambulatory care service </w:t>
      </w:r>
      <w:r w:rsidR="00B66B13" w:rsidRPr="00BA1489">
        <w:rPr>
          <w:rStyle w:val="normaltextrun"/>
        </w:rPr>
        <w:t>had on</w:t>
      </w:r>
      <w:r>
        <w:rPr>
          <w:rStyle w:val="normaltextrun"/>
        </w:rPr>
        <w:t xml:space="preserve"> the consumer responding to the survey during 2023-24:</w:t>
      </w:r>
      <w:r w:rsidR="00B66B13" w:rsidRPr="00BA1489">
        <w:rPr>
          <w:rStyle w:val="normaltextrun"/>
        </w:rPr>
        <w:t xml:space="preserve"> </w:t>
      </w:r>
    </w:p>
    <w:p w14:paraId="73349CA8" w14:textId="35109124" w:rsidR="00B66B13" w:rsidRPr="00BA1489" w:rsidRDefault="00B66B13" w:rsidP="00B66B13">
      <w:pPr>
        <w:pStyle w:val="ListBullet"/>
        <w:rPr>
          <w:rStyle w:val="normaltextrun"/>
        </w:rPr>
      </w:pPr>
      <w:r w:rsidRPr="00BA1489">
        <w:rPr>
          <w:rStyle w:val="normaltextrun"/>
        </w:rPr>
        <w:t>89% of respondents rated their ‘hopefulness for the future’ as ‘Good’, ‘Very Good’ or ‘Excellent’ in Q</w:t>
      </w:r>
      <w:r w:rsidR="00A22E87">
        <w:rPr>
          <w:rStyle w:val="normaltextrun"/>
        </w:rPr>
        <w:t>ueens</w:t>
      </w:r>
      <w:r w:rsidRPr="00BA1489">
        <w:rPr>
          <w:rStyle w:val="normaltextrun"/>
        </w:rPr>
        <w:t>l</w:t>
      </w:r>
      <w:r w:rsidR="00A22E87">
        <w:rPr>
          <w:rStyle w:val="normaltextrun"/>
        </w:rPr>
        <w:t>an</w:t>
      </w:r>
      <w:r w:rsidRPr="00BA1489">
        <w:rPr>
          <w:rStyle w:val="normaltextrun"/>
        </w:rPr>
        <w:t>d and 85% in both NSW and Vic</w:t>
      </w:r>
      <w:r w:rsidR="00A22E87">
        <w:rPr>
          <w:rStyle w:val="normaltextrun"/>
        </w:rPr>
        <w:t>toria</w:t>
      </w:r>
      <w:r w:rsidRPr="00BA1489">
        <w:rPr>
          <w:rStyle w:val="normaltextrun"/>
        </w:rPr>
        <w:t>. </w:t>
      </w:r>
    </w:p>
    <w:p w14:paraId="446AC980" w14:textId="7AFA2C6C" w:rsidR="00B66B13" w:rsidRPr="00BA1489" w:rsidRDefault="00B66B13" w:rsidP="00B66B13">
      <w:pPr>
        <w:pStyle w:val="ListBullet"/>
        <w:rPr>
          <w:rStyle w:val="normaltextrun"/>
        </w:rPr>
      </w:pPr>
      <w:r w:rsidRPr="00BA1489">
        <w:rPr>
          <w:rStyle w:val="normaltextrun"/>
        </w:rPr>
        <w:t>88% of respondents in ambulatory care rated their ‘ability to manage day to day life’ as ‘Good’, ‘Very Good’ or ‘Excellent’ in Q</w:t>
      </w:r>
      <w:r w:rsidR="00A22E87">
        <w:rPr>
          <w:rStyle w:val="normaltextrun"/>
        </w:rPr>
        <w:t>ueensland</w:t>
      </w:r>
      <w:r w:rsidRPr="00BA1489">
        <w:rPr>
          <w:rStyle w:val="normaltextrun"/>
        </w:rPr>
        <w:t>, 86% in NSW and 85% in Vic</w:t>
      </w:r>
      <w:r w:rsidR="00A22E87">
        <w:rPr>
          <w:rStyle w:val="normaltextrun"/>
        </w:rPr>
        <w:t>toria</w:t>
      </w:r>
      <w:r w:rsidRPr="00BA1489">
        <w:rPr>
          <w:rStyle w:val="normaltextrun"/>
        </w:rPr>
        <w:t>. </w:t>
      </w:r>
    </w:p>
    <w:p w14:paraId="4FC0FFB4" w14:textId="6A871C00" w:rsidR="00B66B13" w:rsidRPr="00BA1489" w:rsidRDefault="00991AA0" w:rsidP="00B66B13">
      <w:pPr>
        <w:pStyle w:val="ListBullet"/>
        <w:rPr>
          <w:color w:val="auto"/>
        </w:rPr>
      </w:pPr>
      <w:r>
        <w:rPr>
          <w:noProof/>
        </w:rPr>
        <mc:AlternateContent>
          <mc:Choice Requires="wps">
            <w:drawing>
              <wp:anchor distT="0" distB="0" distL="114300" distR="114300" simplePos="0" relativeHeight="251711630" behindDoc="1" locked="0" layoutInCell="1" allowOverlap="1" wp14:anchorId="38F567B8" wp14:editId="6B731216">
                <wp:simplePos x="0" y="0"/>
                <wp:positionH relativeFrom="page">
                  <wp:posOffset>0</wp:posOffset>
                </wp:positionH>
                <wp:positionV relativeFrom="page">
                  <wp:posOffset>-2788</wp:posOffset>
                </wp:positionV>
                <wp:extent cx="7560000" cy="178272"/>
                <wp:effectExtent l="0" t="0" r="0" b="0"/>
                <wp:wrapNone/>
                <wp:docPr id="1911725758" name="Rectangle 19117257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78272"/>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F3A7EAD" id="Rectangle 1911725758" o:spid="_x0000_s1026" alt="&quot;&quot;" style="position:absolute;margin-left:0;margin-top:-.2pt;width:595.3pt;height:14.05pt;z-index:-2516048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" fillcolor="#008142 [3208]" stroked="f" strokeweight="1pt">
                <w10:wrap anchorx="page" anchory="page"/>
              </v:rect>
            </w:pict>
          </mc:Fallback>
        </mc:AlternateContent>
      </w:r>
      <w:r w:rsidR="00B66B13" w:rsidRPr="00BA1489">
        <w:rPr>
          <w:rStyle w:val="normaltextrun"/>
        </w:rPr>
        <w:t>90% of respondents in ambulatory care rated their ‘overall wellbeing’ as ‘Good’, ‘Very Good’ or ‘Excellent’ in Q</w:t>
      </w:r>
      <w:r w:rsidR="00A22E87">
        <w:rPr>
          <w:rStyle w:val="normaltextrun"/>
        </w:rPr>
        <w:t>ueensland</w:t>
      </w:r>
      <w:r w:rsidR="00B66B13" w:rsidRPr="00BA1489">
        <w:rPr>
          <w:rStyle w:val="normaltextrun"/>
        </w:rPr>
        <w:t xml:space="preserve"> and 87% in both NSW and Vic</w:t>
      </w:r>
      <w:r w:rsidR="00A22E87">
        <w:rPr>
          <w:rStyle w:val="normaltextrun"/>
        </w:rPr>
        <w:t>toria</w:t>
      </w:r>
      <w:r w:rsidR="00B66B13" w:rsidRPr="00BA1489">
        <w:rPr>
          <w:rStyle w:val="normaltextrun"/>
        </w:rPr>
        <w:t>.</w:t>
      </w:r>
    </w:p>
    <w:p w14:paraId="28C4B3E9" w14:textId="5C4A1413" w:rsidR="00511065" w:rsidRPr="00BA1489" w:rsidRDefault="00511065" w:rsidP="00B66B13">
      <w:pPr>
        <w:pStyle w:val="ListBullet"/>
        <w:numPr>
          <w:ilvl w:val="0"/>
          <w:numId w:val="0"/>
        </w:numPr>
        <w:ind w:left="170"/>
        <w:rPr>
          <w:color w:val="auto"/>
        </w:rPr>
      </w:pPr>
    </w:p>
    <w:p w14:paraId="53CFB855" w14:textId="5CB7A485" w:rsidR="00406C56" w:rsidRDefault="005142DA" w:rsidP="00B12459">
      <w:pPr>
        <w:pStyle w:val="ListBullet"/>
        <w:numPr>
          <w:ilvl w:val="0"/>
          <w:numId w:val="0"/>
        </w:numPr>
        <w:ind w:left="170"/>
      </w:pPr>
      <w:r w:rsidRPr="00BA1489">
        <w:t xml:space="preserve">The Mental Health Carer Experience Survey (CES) is offered to carers of a mental health consumer to rate their experience of a public sector specialised mental health service including hospitals, community mental health settings and residential mental health settings. The CES was released for use in 2018 and is currently available for New South Wales (see latest Mental Health Carers NSW 2024-2025 survey </w:t>
      </w:r>
      <w:hyperlink r:id="rId181" w:history="1">
        <w:r w:rsidRPr="00BA1489">
          <w:rPr>
            <w:rStyle w:val="Hyperlink"/>
          </w:rPr>
          <w:t>here</w:t>
        </w:r>
      </w:hyperlink>
      <w:r w:rsidRPr="00BA1489">
        <w:t xml:space="preserve">) and South Australia (see the latest SA Mental Health Carer Experience Survey Report </w:t>
      </w:r>
      <w:hyperlink r:id="rId182" w:history="1">
        <w:r w:rsidRPr="00BA1489">
          <w:rPr>
            <w:rStyle w:val="Hyperlink"/>
          </w:rPr>
          <w:t>here</w:t>
        </w:r>
      </w:hyperlink>
      <w:r w:rsidRPr="00BA1489">
        <w:t>). Going forward, the Commission aims to continue to grow our understanding of consumer and carer experience in the mental health care system, including through the CES.</w:t>
      </w:r>
    </w:p>
    <w:p w14:paraId="3C019D77" w14:textId="0C2F5929" w:rsidR="00406C56" w:rsidRPr="00FF3325" w:rsidRDefault="00830421" w:rsidP="00C51C87">
      <w:pPr>
        <w:pStyle w:val="Heading2"/>
        <w:rPr>
          <w:color w:val="008143"/>
        </w:rPr>
      </w:pPr>
      <w:r>
        <w:rPr>
          <w:noProof/>
        </w:rPr>
        <w:drawing>
          <wp:anchor distT="0" distB="0" distL="114300" distR="114300" simplePos="0" relativeHeight="251827342" behindDoc="1" locked="0" layoutInCell="1" allowOverlap="1" wp14:anchorId="13A29BD2" wp14:editId="681731C7">
            <wp:simplePos x="0" y="0"/>
            <wp:positionH relativeFrom="column">
              <wp:posOffset>-906780</wp:posOffset>
            </wp:positionH>
            <wp:positionV relativeFrom="paragraph">
              <wp:posOffset>217170</wp:posOffset>
            </wp:positionV>
            <wp:extent cx="7551420" cy="2263775"/>
            <wp:effectExtent l="0" t="0" r="5080" b="0"/>
            <wp:wrapNone/>
            <wp:docPr id="584549448" name="Picture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49448" name="Picture 112">
                      <a:extLst>
                        <a:ext uri="{C183D7F6-B498-43B3-948B-1728B52AA6E4}">
                          <adec:decorative xmlns:adec="http://schemas.microsoft.com/office/drawing/2017/decorative" val="1"/>
                        </a:ext>
                      </a:extLst>
                    </pic:cNvPr>
                    <pic:cNvPicPr/>
                  </pic:nvPicPr>
                  <pic:blipFill rotWithShape="1">
                    <a:blip r:embed="rId183">
                      <a:extLst>
                        <a:ext uri="{28A0092B-C50C-407E-A947-70E740481C1C}">
                          <a14:useLocalDpi xmlns:a14="http://schemas.microsoft.com/office/drawing/2010/main" val="0"/>
                        </a:ext>
                      </a:extLst>
                    </a:blip>
                    <a:srcRect l="211" t="41838" r="-211" b="4867"/>
                    <a:stretch>
                      <a:fillRect/>
                    </a:stretch>
                  </pic:blipFill>
                  <pic:spPr bwMode="auto">
                    <a:xfrm>
                      <a:off x="0" y="0"/>
                      <a:ext cx="7551420" cy="2263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6C56">
        <w:br w:type="page"/>
      </w:r>
      <w:r w:rsidR="00991AA0">
        <w:rPr>
          <w:noProof/>
        </w:rPr>
        <w:lastRenderedPageBreak/>
        <mc:AlternateContent>
          <mc:Choice Requires="wps">
            <w:drawing>
              <wp:anchor distT="0" distB="0" distL="114300" distR="114300" simplePos="0" relativeHeight="251713678" behindDoc="1" locked="0" layoutInCell="1" allowOverlap="1" wp14:anchorId="6B85D4DB" wp14:editId="14898AD5">
                <wp:simplePos x="0" y="0"/>
                <wp:positionH relativeFrom="page">
                  <wp:posOffset>1877</wp:posOffset>
                </wp:positionH>
                <wp:positionV relativeFrom="page">
                  <wp:posOffset>801</wp:posOffset>
                </wp:positionV>
                <wp:extent cx="7560000" cy="178272"/>
                <wp:effectExtent l="0" t="0" r="0" b="0"/>
                <wp:wrapNone/>
                <wp:docPr id="1549051115" name="Rectangle 15490511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78272"/>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F26C854" id="Rectangle 1549051115" o:spid="_x0000_s1026" alt="&quot;&quot;" style="position:absolute;margin-left:.15pt;margin-top:.05pt;width:595.3pt;height:14.05pt;z-index:-2516028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" fillcolor="#008142 [3208]" stroked="f" strokeweight="1pt">
                <w10:wrap anchorx="page" anchory="page"/>
              </v:rect>
            </w:pict>
          </mc:Fallback>
        </mc:AlternateContent>
      </w:r>
      <w:r w:rsidR="0045120A">
        <w:rPr>
          <w:noProof/>
        </w:rPr>
        <w:drawing>
          <wp:inline distT="0" distB="0" distL="0" distR="0" wp14:anchorId="100DF530" wp14:editId="7AAF1280">
            <wp:extent cx="387350" cy="387350"/>
            <wp:effectExtent l="0" t="0" r="6350" b="6350"/>
            <wp:docPr id="660329646"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29646" name="Picture 100">
                      <a:extLst>
                        <a:ext uri="{C183D7F6-B498-43B3-948B-1728B52AA6E4}">
                          <adec:decorative xmlns:adec="http://schemas.microsoft.com/office/drawing/2017/decorative" val="1"/>
                        </a:ext>
                      </a:extLst>
                    </pic:cNvPr>
                    <pic:cNvPicPr/>
                  </pic:nvPicPr>
                  <pic:blipFill>
                    <a:blip r:embed="rId177">
                      <a:extLst>
                        <a:ext uri="{96DAC541-7B7A-43D3-8B79-37D633B846F1}">
                          <asvg:svgBlip xmlns:asvg="http://schemas.microsoft.com/office/drawing/2016/SVG/main" r:embed="rId178"/>
                        </a:ext>
                      </a:extLst>
                    </a:blip>
                    <a:stretch>
                      <a:fillRect/>
                    </a:stretch>
                  </pic:blipFill>
                  <pic:spPr>
                    <a:xfrm>
                      <a:off x="0" y="0"/>
                      <a:ext cx="387350" cy="387350"/>
                    </a:xfrm>
                    <a:prstGeom prst="rect">
                      <a:avLst/>
                    </a:prstGeom>
                  </pic:spPr>
                </pic:pic>
              </a:graphicData>
            </a:graphic>
          </wp:inline>
        </w:drawing>
      </w:r>
      <w:r w:rsidR="0045120A">
        <w:t xml:space="preserve"> </w:t>
      </w:r>
      <w:r w:rsidR="00406C56" w:rsidRPr="00BA1489">
        <w:t>Clinical measures of mental health outcomes </w:t>
      </w:r>
    </w:p>
    <w:p w14:paraId="2502A6EA" w14:textId="77777777" w:rsidR="00406C56" w:rsidRPr="00BA1489" w:rsidRDefault="00406C56" w:rsidP="00406C56">
      <w:pPr>
        <w:rPr>
          <w:rStyle w:val="normaltextrun"/>
        </w:rPr>
      </w:pPr>
      <w:r w:rsidRPr="00BA1489">
        <w:t>Outcomes data is critical for consistently monitoring, evaluating and improving services. However, nationally available mental health outcomes data is currently based on clinician-rated measures collected within state and territory public specialised mental health services only.</w:t>
      </w:r>
      <w:r w:rsidRPr="004E5D44">
        <w:rPr>
          <w:vertAlign w:val="superscript"/>
        </w:rPr>
        <w:footnoteReference w:id="20"/>
      </w:r>
      <w:r w:rsidRPr="004E5D44">
        <w:rPr>
          <w:vertAlign w:val="superscript"/>
        </w:rPr>
        <w:t> </w:t>
      </w:r>
      <w:r w:rsidRPr="00BA1489">
        <w:t>This limits our understanding of outcomes across the wider mental health system and, significantly, does not capture outcomes as reported by consumers themselves. </w:t>
      </w:r>
    </w:p>
    <w:p w14:paraId="71CA19D3" w14:textId="77777777" w:rsidR="00406C56" w:rsidRPr="00BA1489" w:rsidRDefault="00406C56" w:rsidP="00406C56">
      <w:pPr>
        <w:pStyle w:val="NormalBeforeBullet"/>
      </w:pPr>
      <w:r w:rsidRPr="00BA1489">
        <w:t>In terms of clinical outcomes for people accessing specialised public mental health care, for every year between 2013-14 and 2023-24:</w:t>
      </w:r>
    </w:p>
    <w:p w14:paraId="714DA40B" w14:textId="77777777" w:rsidR="00406C56" w:rsidRPr="00BA1489" w:rsidRDefault="00406C56" w:rsidP="00406C56">
      <w:pPr>
        <w:pStyle w:val="ListBullet"/>
      </w:pPr>
      <w:r w:rsidRPr="00BA1489">
        <w:t>Between 71% and 74% of completed acute inpatient episodes showed ‘significant improvement’. </w:t>
      </w:r>
    </w:p>
    <w:p w14:paraId="4A9B2585" w14:textId="77777777" w:rsidR="00406C56" w:rsidRPr="00BA1489" w:rsidRDefault="00406C56" w:rsidP="00406C56">
      <w:pPr>
        <w:pStyle w:val="ListBullet"/>
      </w:pPr>
      <w:r w:rsidRPr="00BA1489">
        <w:t>Between 49% and 52% of completed ambulatory episodes showed ‘significant improvement’.</w:t>
      </w:r>
    </w:p>
    <w:p w14:paraId="3CFB2BF8" w14:textId="4F07D753" w:rsidR="00406C56" w:rsidRPr="00BA1489" w:rsidRDefault="005A2D6E" w:rsidP="00406C56">
      <w:r>
        <w:t>T</w:t>
      </w:r>
      <w:r w:rsidR="00406C56" w:rsidRPr="00BA1489">
        <w:t>his national data is impacted by the relative acuity of presenting symptoms and experiences of involuntary admission across settings. </w:t>
      </w:r>
    </w:p>
    <w:p w14:paraId="0AD29BF8" w14:textId="7ADC6C55" w:rsidR="00406C56" w:rsidRDefault="00406C56" w:rsidP="00406C56">
      <w:r w:rsidRPr="00BA1489">
        <w:t xml:space="preserve">While the YES and CES surveys, alongside data on clinical outcomes in a specialised public mental health care context provide some insight, this is far from providing a holistic picture. This is explored further below. </w:t>
      </w:r>
    </w:p>
    <w:p w14:paraId="4CB62886" w14:textId="704216E9" w:rsidR="00406C56" w:rsidRDefault="00B12459" w:rsidP="00406C56">
      <w:pPr>
        <w:pStyle w:val="Heading3"/>
      </w:pPr>
      <w:r w:rsidRPr="002F7DA4">
        <w:rPr>
          <w:rStyle w:val="Hyperlink"/>
          <w:noProof/>
        </w:rPr>
        <mc:AlternateContent>
          <mc:Choice Requires="wps">
            <w:drawing>
              <wp:anchor distT="0" distB="0" distL="114300" distR="114300" simplePos="0" relativeHeight="251658370" behindDoc="1" locked="0" layoutInCell="1" allowOverlap="1" wp14:anchorId="096691AC" wp14:editId="4F6623C2">
                <wp:simplePos x="0" y="0"/>
                <wp:positionH relativeFrom="page">
                  <wp:posOffset>731520</wp:posOffset>
                </wp:positionH>
                <wp:positionV relativeFrom="page">
                  <wp:posOffset>4068810</wp:posOffset>
                </wp:positionV>
                <wp:extent cx="6138249" cy="5148775"/>
                <wp:effectExtent l="0" t="0" r="8890" b="7620"/>
                <wp:wrapNone/>
                <wp:docPr id="395308530" name="Rectangle 3953085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38249" cy="5148775"/>
                        </a:xfrm>
                        <a:prstGeom prst="rect">
                          <a:avLst/>
                        </a:prstGeom>
                        <a:solidFill>
                          <a:srgbClr val="F9F9E5">
                            <a:alpha val="50196"/>
                          </a:srgbClr>
                        </a:solidFill>
                        <a:ln>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1B4C758" id="Rectangle 395308530" o:spid="_x0000_s1026" alt="&quot;&quot;" style="position:absolute;margin-left:57.6pt;margin-top:320.4pt;width:483.35pt;height:405.4pt;z-index:-2516581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" fillcolor="#f9f9e5" strokecolor="#008142 [3208]" strokeweight="1pt">
                <v:fill opacity="32896f"/>
                <w10:wrap anchorx="page" anchory="page"/>
              </v:rect>
            </w:pict>
          </mc:Fallback>
        </mc:AlternateContent>
      </w:r>
    </w:p>
    <w:p w14:paraId="033D75B3" w14:textId="39A45448" w:rsidR="00406C56" w:rsidRPr="00EA2E5C" w:rsidRDefault="00406C56" w:rsidP="00406C56">
      <w:pPr>
        <w:pStyle w:val="Heading2"/>
      </w:pPr>
      <w:r w:rsidRPr="00EA2E5C">
        <w:t xml:space="preserve">Box 11 - Gap in understanding experiences and outcomes from </w:t>
      </w:r>
      <w:r>
        <w:br/>
      </w:r>
      <w:r w:rsidRPr="00EA2E5C">
        <w:t>people about mental health services </w:t>
      </w:r>
    </w:p>
    <w:p w14:paraId="67D8FF69" w14:textId="77777777" w:rsidR="00406C56" w:rsidRPr="0089083A" w:rsidRDefault="00406C56" w:rsidP="00406C56">
      <w:r w:rsidRPr="0089083A">
        <w:t>Measuring the effectiveness of the system must reflect consumer and carer experiences, not only clinical or systemic outcomes. As highlighted, most national experiences and outcomes data used to measure effectiveness of mental health services do not capture the full spectrum of care including experiences and outcomes in settings providing non-clinical, psychosocial and community-managed services. Currently reported quantitative measures alone cannot capture person-defined experiences and outcomes. In addition to these gaps, there are inherent complexities in attributing improvements from standardised measures to the performance of the mental health system. This is because there are a range of potential factors that can contribute to improved mental health, beyond the influence of a service or support provided by the system. To continue to improve this picture,</w:t>
      </w:r>
      <w:r w:rsidRPr="0089083A" w:rsidDel="00A67A0B">
        <w:t xml:space="preserve"> </w:t>
      </w:r>
      <w:r w:rsidRPr="0089083A">
        <w:t>the following issues require consideration:</w:t>
      </w:r>
    </w:p>
    <w:p w14:paraId="0ACB3F82" w14:textId="77777777" w:rsidR="00406C56" w:rsidRPr="0089083A" w:rsidRDefault="00406C56" w:rsidP="00406C56">
      <w:pPr>
        <w:pStyle w:val="ListBullet"/>
      </w:pPr>
      <w:r w:rsidRPr="0089083A">
        <w:rPr>
          <w:rStyle w:val="normaltextrun"/>
        </w:rPr>
        <w:t>Carer, family and kin experiences and outcomes are an important indicator of how well services are working; however, </w:t>
      </w:r>
      <w:r w:rsidRPr="0089083A">
        <w:rPr>
          <w:rStyle w:val="normaltextrun"/>
          <w:b/>
          <w:bCs/>
        </w:rPr>
        <w:t>the broader impacts of mental health challenges on families, carers and kin are not consistently measured. </w:t>
      </w:r>
      <w:r w:rsidRPr="0089083A">
        <w:rPr>
          <w:rStyle w:val="normaltextrun"/>
        </w:rPr>
        <w:t>This limits our ability to fully quantify need and to effectively plan and deliver supports. When care is not accessible or is delayed, families and carers may take on additional caring and system-navigation responsibilities, which can in turn impact their own wellbeing. </w:t>
      </w:r>
    </w:p>
    <w:p w14:paraId="325018F9" w14:textId="77777777" w:rsidR="00406C56" w:rsidRPr="0089083A" w:rsidRDefault="00406C56" w:rsidP="00406C56">
      <w:pPr>
        <w:pStyle w:val="ListBullet"/>
      </w:pPr>
      <w:r w:rsidRPr="0089083A">
        <w:rPr>
          <w:rStyle w:val="normaltextrun"/>
        </w:rPr>
        <w:t>Existing nationally representative outcome measures largely assess publicly funded services, highlighting the need for </w:t>
      </w:r>
      <w:r w:rsidRPr="0089083A">
        <w:rPr>
          <w:rStyle w:val="normaltextrun"/>
          <w:b/>
          <w:bCs/>
        </w:rPr>
        <w:t>experiences and outcome measurements</w:t>
      </w:r>
      <w:r w:rsidRPr="0089083A">
        <w:rPr>
          <w:rStyle w:val="normaltextrun"/>
        </w:rPr>
        <w:t xml:space="preserve"> across a broader range of care settings to better understand the extent to which mental health services are improving outcomes for people. This includes data about </w:t>
      </w:r>
      <w:r w:rsidRPr="0089083A">
        <w:rPr>
          <w:rStyle w:val="normaltextrun"/>
          <w:b/>
          <w:bCs/>
        </w:rPr>
        <w:t>experiences and outcomes</w:t>
      </w:r>
      <w:r w:rsidRPr="0089083A">
        <w:rPr>
          <w:rStyle w:val="normaltextrun"/>
        </w:rPr>
        <w:t> for people in Australia who: </w:t>
      </w:r>
    </w:p>
    <w:p w14:paraId="45DACB85" w14:textId="77777777" w:rsidR="00406C56" w:rsidRPr="0089083A" w:rsidRDefault="00406C56" w:rsidP="00406C56">
      <w:pPr>
        <w:pStyle w:val="ListBullet2"/>
      </w:pPr>
      <w:r w:rsidRPr="0089083A">
        <w:rPr>
          <w:rStyle w:val="normaltextrun"/>
        </w:rPr>
        <w:t>see a GP for their mental health; </w:t>
      </w:r>
    </w:p>
    <w:p w14:paraId="75BE7698" w14:textId="77777777" w:rsidR="00406C56" w:rsidRPr="0089083A" w:rsidRDefault="00406C56" w:rsidP="00406C56">
      <w:pPr>
        <w:pStyle w:val="ListBullet2"/>
        <w:rPr>
          <w:rStyle w:val="normaltextrun"/>
        </w:rPr>
      </w:pPr>
      <w:r w:rsidRPr="0089083A">
        <w:rPr>
          <w:rStyle w:val="normaltextrun"/>
        </w:rPr>
        <w:t>interact with mental health services delivered by non-government services, as</w:t>
      </w:r>
    </w:p>
    <w:p w14:paraId="26D897C9" w14:textId="77777777" w:rsidR="00406C56" w:rsidRPr="0089083A" w:rsidRDefault="00406C56" w:rsidP="00406C56">
      <w:pPr>
        <w:pStyle w:val="ListBullet2"/>
        <w:rPr>
          <w:rStyle w:val="normaltextrun"/>
        </w:rPr>
      </w:pPr>
      <w:r w:rsidRPr="0089083A">
        <w:rPr>
          <w:rStyle w:val="normaltextrun"/>
        </w:rPr>
        <w:t>highlighted through the work of MHA; and</w:t>
      </w:r>
    </w:p>
    <w:p w14:paraId="5E43C984" w14:textId="77777777" w:rsidR="00406C56" w:rsidRPr="0089083A" w:rsidRDefault="00406C56" w:rsidP="00406C56">
      <w:pPr>
        <w:pStyle w:val="ListBullet2"/>
      </w:pPr>
      <w:r w:rsidRPr="0089083A">
        <w:rPr>
          <w:rStyle w:val="normaltextrun"/>
        </w:rPr>
        <w:t>manage severe and/or complex mental health needs. </w:t>
      </w:r>
    </w:p>
    <w:p w14:paraId="6996C270" w14:textId="77777777" w:rsidR="00406C56" w:rsidRDefault="00406C56" w:rsidP="00406C56">
      <w:r w:rsidRPr="0089083A">
        <w:rPr>
          <w:rStyle w:val="normaltextrun"/>
        </w:rPr>
        <w:t>Lack of national data that measures service navigation, care continuity and movement between services is preventing </w:t>
      </w:r>
      <w:r w:rsidRPr="0089083A">
        <w:rPr>
          <w:rStyle w:val="normaltextrun"/>
          <w:b/>
          <w:bCs/>
        </w:rPr>
        <w:t>a holistic understanding of how well the system supports people</w:t>
      </w:r>
      <w:r w:rsidRPr="0089083A">
        <w:rPr>
          <w:rStyle w:val="normaltextrun"/>
        </w:rPr>
        <w:t>.</w:t>
      </w:r>
    </w:p>
    <w:p w14:paraId="43B90FE9" w14:textId="1254589D" w:rsidR="00385FD2" w:rsidRDefault="00385FD2" w:rsidP="00406C56">
      <w:pPr>
        <w:pStyle w:val="Heading2"/>
        <w:rPr>
          <w:sz w:val="23"/>
          <w:szCs w:val="23"/>
        </w:rPr>
      </w:pPr>
      <w:r>
        <w:rPr>
          <w:rFonts w:ascii="Aptos" w:hAnsi="Aptos"/>
          <w:noProof/>
          <w:color w:val="008143"/>
          <w:szCs w:val="24"/>
          <w:lang w:val="en-AU"/>
        </w:rPr>
        <w:lastRenderedPageBreak/>
        <w:drawing>
          <wp:anchor distT="0" distB="0" distL="114300" distR="114300" simplePos="0" relativeHeight="251720846" behindDoc="0" locked="0" layoutInCell="1" allowOverlap="0" wp14:anchorId="48D83A87" wp14:editId="5CD456C3">
            <wp:simplePos x="0" y="0"/>
            <wp:positionH relativeFrom="column">
              <wp:posOffset>-906780</wp:posOffset>
            </wp:positionH>
            <wp:positionV relativeFrom="page">
              <wp:posOffset>158750</wp:posOffset>
            </wp:positionV>
            <wp:extent cx="7559675" cy="3696970"/>
            <wp:effectExtent l="0" t="0" r="0" b="0"/>
            <wp:wrapTopAndBottom/>
            <wp:docPr id="2132242184" name="Picture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42184" name="Picture 203">
                      <a:extLst>
                        <a:ext uri="{C183D7F6-B498-43B3-948B-1728B52AA6E4}">
                          <adec:decorative xmlns:adec="http://schemas.microsoft.com/office/drawing/2017/decorative" val="1"/>
                        </a:ext>
                      </a:extLst>
                    </pic:cNvPr>
                    <pic:cNvPicPr/>
                  </pic:nvPicPr>
                  <pic:blipFill rotWithShape="1">
                    <a:blip r:embed="rId184">
                      <a:extLst>
                        <a:ext uri="{28A0092B-C50C-407E-A947-70E740481C1C}">
                          <a14:useLocalDpi xmlns:a14="http://schemas.microsoft.com/office/drawing/2010/main" val="0"/>
                        </a:ext>
                      </a:extLst>
                    </a:blip>
                    <a:srcRect t="3158" b="23437"/>
                    <a:stretch>
                      <a:fillRect/>
                    </a:stretch>
                  </pic:blipFill>
                  <pic:spPr bwMode="auto">
                    <a:xfrm>
                      <a:off x="0" y="0"/>
                      <a:ext cx="7559675" cy="3696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BDB062" w14:textId="4791452B" w:rsidR="00406C56" w:rsidRPr="004E5D44" w:rsidRDefault="0045120A" w:rsidP="00406C56">
      <w:pPr>
        <w:pStyle w:val="Heading2"/>
        <w:rPr>
          <w:sz w:val="23"/>
          <w:szCs w:val="23"/>
        </w:rPr>
      </w:pPr>
      <w:r w:rsidRPr="004E5D44">
        <w:rPr>
          <w:noProof/>
          <w:sz w:val="23"/>
          <w:szCs w:val="23"/>
        </w:rPr>
        <w:drawing>
          <wp:anchor distT="0" distB="0" distL="114300" distR="114300" simplePos="0" relativeHeight="251702414" behindDoc="0" locked="0" layoutInCell="1" allowOverlap="1" wp14:anchorId="4DFF2918" wp14:editId="4BF17759">
            <wp:simplePos x="0" y="0"/>
            <wp:positionH relativeFrom="column">
              <wp:posOffset>-31750</wp:posOffset>
            </wp:positionH>
            <wp:positionV relativeFrom="paragraph">
              <wp:posOffset>127856</wp:posOffset>
            </wp:positionV>
            <wp:extent cx="387350" cy="387350"/>
            <wp:effectExtent l="0" t="0" r="6350" b="6350"/>
            <wp:wrapSquare wrapText="bothSides"/>
            <wp:docPr id="105527212"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7212" name="Picture 100">
                      <a:extLst>
                        <a:ext uri="{C183D7F6-B498-43B3-948B-1728B52AA6E4}">
                          <adec:decorative xmlns:adec="http://schemas.microsoft.com/office/drawing/2017/decorative" val="1"/>
                        </a:ext>
                      </a:extLst>
                    </pic:cNvPr>
                    <pic:cNvPicPr/>
                  </pic:nvPicPr>
                  <pic:blipFill>
                    <a:blip r:embed="rId134">
                      <a:extLst>
                        <a:ext uri="{96DAC541-7B7A-43D3-8B79-37D633B846F1}">
                          <asvg:svgBlip xmlns:asvg="http://schemas.microsoft.com/office/drawing/2016/SVG/main" r:embed="rId135"/>
                        </a:ext>
                      </a:extLst>
                    </a:blip>
                    <a:stretch>
                      <a:fillRect/>
                    </a:stretch>
                  </pic:blipFill>
                  <pic:spPr>
                    <a:xfrm>
                      <a:off x="0" y="0"/>
                      <a:ext cx="387350" cy="387350"/>
                    </a:xfrm>
                    <a:prstGeom prst="rect">
                      <a:avLst/>
                    </a:prstGeom>
                  </pic:spPr>
                </pic:pic>
              </a:graphicData>
            </a:graphic>
            <wp14:sizeRelH relativeFrom="page">
              <wp14:pctWidth>0</wp14:pctWidth>
            </wp14:sizeRelH>
            <wp14:sizeRelV relativeFrom="page">
              <wp14:pctHeight>0</wp14:pctHeight>
            </wp14:sizeRelV>
          </wp:anchor>
        </w:drawing>
      </w:r>
      <w:r w:rsidR="00406C56" w:rsidRPr="004E5D44">
        <w:rPr>
          <w:noProof/>
          <w:sz w:val="23"/>
          <w:szCs w:val="23"/>
        </w:rPr>
        <mc:AlternateContent>
          <mc:Choice Requires="wps">
            <w:drawing>
              <wp:anchor distT="0" distB="0" distL="114300" distR="114300" simplePos="0" relativeHeight="251658363" behindDoc="1" locked="0" layoutInCell="1" allowOverlap="1" wp14:anchorId="7AC739BB" wp14:editId="47FEAE2C">
                <wp:simplePos x="0" y="0"/>
                <wp:positionH relativeFrom="page">
                  <wp:posOffset>6674</wp:posOffset>
                </wp:positionH>
                <wp:positionV relativeFrom="page">
                  <wp:posOffset>6703</wp:posOffset>
                </wp:positionV>
                <wp:extent cx="7560000" cy="153909"/>
                <wp:effectExtent l="0" t="0" r="0" b="0"/>
                <wp:wrapNone/>
                <wp:docPr id="693271272" name="Rectangle 6932712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8A05D50" id="Rectangle 693271272" o:spid="_x0000_s1026" alt="&quot;&quot;" style="position:absolute;margin-left:.55pt;margin-top:.55pt;width:595.3pt;height:12.1pt;z-index:-2516581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" fillcolor="#008142 [3208]" stroked="f" strokeweight="1pt">
                <w10:wrap anchorx="page" anchory="page"/>
              </v:rect>
            </w:pict>
          </mc:Fallback>
        </mc:AlternateContent>
      </w:r>
      <w:r w:rsidR="00406C56" w:rsidRPr="004E5D44">
        <w:rPr>
          <w:sz w:val="23"/>
          <w:szCs w:val="23"/>
        </w:rPr>
        <w:t xml:space="preserve">Proportion of people who present to an emergency department with a </w:t>
      </w:r>
      <w:r w:rsidR="00FD266C">
        <w:rPr>
          <w:sz w:val="23"/>
          <w:szCs w:val="23"/>
        </w:rPr>
        <w:br/>
      </w:r>
      <w:r w:rsidR="00406C56" w:rsidRPr="004E5D44">
        <w:rPr>
          <w:sz w:val="23"/>
          <w:szCs w:val="23"/>
        </w:rPr>
        <w:t>mental health related </w:t>
      </w:r>
      <w:r w:rsidR="005A2D6E">
        <w:rPr>
          <w:sz w:val="23"/>
          <w:szCs w:val="23"/>
        </w:rPr>
        <w:t xml:space="preserve">care </w:t>
      </w:r>
      <w:r w:rsidR="00406C56" w:rsidRPr="004E5D44">
        <w:rPr>
          <w:sz w:val="23"/>
          <w:szCs w:val="23"/>
        </w:rPr>
        <w:t>need who are seen within clinically recommended waiting times.</w:t>
      </w:r>
    </w:p>
    <w:p w14:paraId="46249696" w14:textId="30169AD2" w:rsidR="00406C56" w:rsidRPr="00BA1489" w:rsidRDefault="00406C56" w:rsidP="00406C56">
      <w:r w:rsidRPr="00BA1489">
        <w:t>Emergency Departments play a role in treating mental health conditions, and provide out-of-hours support, but are not designed for longer term care and support. Monitoring how long people with mental health-related needs</w:t>
      </w:r>
      <w:r w:rsidRPr="004E5D44">
        <w:rPr>
          <w:vertAlign w:val="superscript"/>
        </w:rPr>
        <w:footnoteReference w:id="21"/>
      </w:r>
      <w:r w:rsidRPr="004E5D44">
        <w:rPr>
          <w:vertAlign w:val="superscript"/>
        </w:rPr>
        <w:t xml:space="preserve"> </w:t>
      </w:r>
      <w:r w:rsidRPr="00BA1489">
        <w:t>wait to be seen in emergency departments provides some insight into how effectively the system is responding to mental-health related needs.</w:t>
      </w:r>
    </w:p>
    <w:p w14:paraId="04B1E36B" w14:textId="44C30836" w:rsidR="00406C56" w:rsidRPr="00BA1489" w:rsidRDefault="00406C56" w:rsidP="00406C56">
      <w:r w:rsidRPr="00BA1489">
        <w:t xml:space="preserve">Latest available data shows that people with a mental health-related need are less likely to be seen within the clinically recommended wait time, compared to people presenting at emergency departments in general: </w:t>
      </w:r>
    </w:p>
    <w:p w14:paraId="376E3B11" w14:textId="62019900" w:rsidR="00406C56" w:rsidRPr="004266A1" w:rsidRDefault="00406C56" w:rsidP="00406C56">
      <w:pPr>
        <w:pStyle w:val="ListBullet"/>
        <w:rPr>
          <w:rStyle w:val="normaltextrun"/>
        </w:rPr>
      </w:pPr>
      <w:r w:rsidRPr="004266A1">
        <w:rPr>
          <w:rStyle w:val="normaltextrun"/>
        </w:rPr>
        <w:t xml:space="preserve">Of people with a mental-health related need seeking care at a public emergency department, 61% were seen within clinically recommended waiting times (2024-2025). This has decreased from 71% of people with a mental-health related need seen within the recommended wait times over 10 years ago (2014-15).  </w:t>
      </w:r>
    </w:p>
    <w:p w14:paraId="1ADCC1B0" w14:textId="77777777" w:rsidR="00406C56" w:rsidRPr="004266A1" w:rsidRDefault="00406C56" w:rsidP="00406C56">
      <w:pPr>
        <w:pStyle w:val="ListBullet"/>
        <w:rPr>
          <w:rStyle w:val="normaltextrun"/>
        </w:rPr>
      </w:pPr>
      <w:r w:rsidRPr="004266A1">
        <w:rPr>
          <w:rStyle w:val="normaltextrun"/>
        </w:rPr>
        <w:t>In contrast, the overall proportion of people presenting at emergency departments seen within clinically recommended waiting times was slightly higher at 67% (2024-25).</w:t>
      </w:r>
    </w:p>
    <w:p w14:paraId="21FF2D7E" w14:textId="24DDC5EB" w:rsidR="00406C56" w:rsidRPr="004266A1" w:rsidRDefault="00406C56" w:rsidP="00406C56">
      <w:r w:rsidRPr="004266A1">
        <w:rPr>
          <w:rStyle w:val="normaltextrun"/>
        </w:rPr>
        <w:t>Similarly, a descriptive longitudinal analysis of mental health</w:t>
      </w:r>
      <w:r w:rsidR="000444B4">
        <w:rPr>
          <w:rStyle w:val="normaltextrun"/>
        </w:rPr>
        <w:t>-</w:t>
      </w:r>
      <w:r w:rsidRPr="004266A1">
        <w:rPr>
          <w:rStyle w:val="normaltextrun"/>
        </w:rPr>
        <w:t xml:space="preserve">related ED </w:t>
      </w:r>
      <w:r w:rsidR="005A2D6E">
        <w:rPr>
          <w:rStyle w:val="normaltextrun"/>
        </w:rPr>
        <w:t>presentations</w:t>
      </w:r>
      <w:r w:rsidR="005A2D6E" w:rsidRPr="004266A1">
        <w:rPr>
          <w:rStyle w:val="normaltextrun"/>
        </w:rPr>
        <w:t xml:space="preserve"> </w:t>
      </w:r>
      <w:r w:rsidRPr="004266A1">
        <w:rPr>
          <w:rStyle w:val="normaltextrun"/>
        </w:rPr>
        <w:t>in Australian public hospitals between 2016-17 and 2020-21</w:t>
      </w:r>
      <w:r w:rsidR="005A2D6E">
        <w:rPr>
          <w:rStyle w:val="normaltextrun"/>
        </w:rPr>
        <w:t xml:space="preserve"> fo</w:t>
      </w:r>
      <w:r w:rsidR="005A2D6E" w:rsidRPr="004266A1">
        <w:rPr>
          <w:rStyle w:val="normaltextrun"/>
        </w:rPr>
        <w:t xml:space="preserve">und that people with mental health-related presentations </w:t>
      </w:r>
      <w:r w:rsidR="005A2D6E">
        <w:rPr>
          <w:rStyle w:val="normaltextrun"/>
        </w:rPr>
        <w:t xml:space="preserve">experienced longer </w:t>
      </w:r>
      <w:r w:rsidR="005A2D6E" w:rsidRPr="004266A1">
        <w:rPr>
          <w:rStyle w:val="normaltextrun"/>
        </w:rPr>
        <w:t>stays in ED</w:t>
      </w:r>
      <w:r w:rsidR="005A2D6E">
        <w:rPr>
          <w:rStyle w:val="normaltextrun"/>
        </w:rPr>
        <w:t xml:space="preserve"> than the broader population</w:t>
      </w:r>
      <w:r w:rsidR="000444B4">
        <w:rPr>
          <w:rStyle w:val="normaltextrun"/>
        </w:rPr>
        <w:t>.</w:t>
      </w:r>
      <w:r w:rsidRPr="004E5D44">
        <w:rPr>
          <w:vertAlign w:val="superscript"/>
        </w:rPr>
        <w:endnoteReference w:id="162"/>
      </w:r>
      <w:r w:rsidRPr="004266A1">
        <w:rPr>
          <w:rStyle w:val="normaltextrun"/>
        </w:rPr>
        <w:t> Th</w:t>
      </w:r>
      <w:r w:rsidR="005A2D6E">
        <w:rPr>
          <w:rStyle w:val="normaltextrun"/>
        </w:rPr>
        <w:t>e findings</w:t>
      </w:r>
      <w:r w:rsidRPr="004266A1">
        <w:rPr>
          <w:rStyle w:val="normaltextrun"/>
        </w:rPr>
        <w:t xml:space="preserve"> highlight the</w:t>
      </w:r>
      <w:r w:rsidR="005A2D6E">
        <w:rPr>
          <w:rStyle w:val="normaltextrun"/>
        </w:rPr>
        <w:t xml:space="preserve"> importance of understanding the factors associated with </w:t>
      </w:r>
      <w:r w:rsidRPr="004266A1">
        <w:rPr>
          <w:rStyle w:val="normaltextrun"/>
        </w:rPr>
        <w:t>mental health</w:t>
      </w:r>
      <w:r w:rsidR="000444B4">
        <w:rPr>
          <w:rStyle w:val="normaltextrun"/>
        </w:rPr>
        <w:t>-</w:t>
      </w:r>
      <w:r w:rsidRPr="004266A1">
        <w:rPr>
          <w:rStyle w:val="normaltextrun"/>
        </w:rPr>
        <w:t>related</w:t>
      </w:r>
      <w:r w:rsidR="005A2D6E">
        <w:rPr>
          <w:rStyle w:val="normaltextrun"/>
        </w:rPr>
        <w:t xml:space="preserve"> demand for emergency care.</w:t>
      </w:r>
    </w:p>
    <w:p w14:paraId="55810939" w14:textId="4AF6D87C" w:rsidR="00406C56" w:rsidRPr="004266A1" w:rsidRDefault="008C6956" w:rsidP="00406C56">
      <w:pPr>
        <w:rPr>
          <w:b/>
          <w:bCs/>
        </w:rPr>
      </w:pPr>
      <w:r>
        <w:t>T</w:t>
      </w:r>
      <w:r w:rsidR="00406C56" w:rsidRPr="004266A1">
        <w:t>he Australasian College of Emergency Medicine’s report</w:t>
      </w:r>
      <w:r w:rsidR="00406C56" w:rsidRPr="004266A1">
        <w:rPr>
          <w:i/>
          <w:iCs/>
        </w:rPr>
        <w:t xml:space="preserve">, State of Emergency: Regional, Rural and Remote 2024 Report </w:t>
      </w:r>
      <w:r w:rsidR="00406C56" w:rsidRPr="004266A1">
        <w:t xml:space="preserve">found that people presenting to ED with mental health concerns experienced longer wait times than any other patient type. </w:t>
      </w:r>
      <w:r w:rsidR="00406C56" w:rsidRPr="004E5D44">
        <w:rPr>
          <w:vertAlign w:val="superscript"/>
        </w:rPr>
        <w:endnoteReference w:id="163"/>
      </w:r>
      <w:r w:rsidR="00406C56" w:rsidRPr="004E5D44">
        <w:rPr>
          <w:vertAlign w:val="superscript"/>
        </w:rPr>
        <w:t xml:space="preserve"> </w:t>
      </w:r>
      <w:r w:rsidR="00406C56" w:rsidRPr="004266A1">
        <w:t xml:space="preserve">Based on analysis of state and territory data from the 2021-2022 National Non-Admitted Patient Emergency Department Care Database, this report provided a comparison of emergency care and workforce in metropolitan and regional, rural and remote areas. </w:t>
      </w:r>
      <w:r w:rsidR="00331665">
        <w:t>The report</w:t>
      </w:r>
      <w:r w:rsidR="00D64309">
        <w:t xml:space="preserve"> </w:t>
      </w:r>
      <w:r w:rsidR="00406C56" w:rsidRPr="004266A1">
        <w:t xml:space="preserve">highlighted the </w:t>
      </w:r>
      <w:r w:rsidR="005900E4">
        <w:t xml:space="preserve">importance of accessible, </w:t>
      </w:r>
      <w:r w:rsidR="00406C56" w:rsidRPr="004266A1">
        <w:t>community-based mental health services to support people remain well in the community</w:t>
      </w:r>
      <w:r w:rsidR="005900E4">
        <w:t>, which may</w:t>
      </w:r>
      <w:r w:rsidR="00406C56" w:rsidRPr="004266A1">
        <w:t xml:space="preserve"> reduce </w:t>
      </w:r>
      <w:r w:rsidR="005900E4">
        <w:t xml:space="preserve">likelihood of crisis and </w:t>
      </w:r>
      <w:r w:rsidR="00406C56" w:rsidRPr="004266A1">
        <w:t>need for acute services through emergency departments. For further information on ED experiences refer to </w:t>
      </w:r>
      <w:r w:rsidR="00406C56" w:rsidRPr="00BA1489">
        <w:rPr>
          <w:b/>
          <w:bCs/>
        </w:rPr>
        <w:t>disparities across cohorts for emergency department presentations in Box 7).</w:t>
      </w:r>
    </w:p>
    <w:p w14:paraId="3DE4ABD9" w14:textId="7B3700BF" w:rsidR="00406C56" w:rsidRPr="00FB1194" w:rsidRDefault="00406C56" w:rsidP="000B01D0">
      <w:pPr>
        <w:pStyle w:val="Heading2"/>
        <w:rPr>
          <w:lang w:val="en-AU"/>
        </w:rPr>
      </w:pPr>
      <w:r>
        <w:rPr>
          <w:lang w:val="en-AU"/>
        </w:rPr>
        <w:br w:type="page"/>
      </w:r>
      <w:r w:rsidR="004E5D44" w:rsidRPr="009D015F">
        <w:rPr>
          <w:color w:val="5C626C"/>
          <w:lang w:val="en-AU"/>
        </w:rPr>
        <w:lastRenderedPageBreak/>
        <w:t>Theme</w:t>
      </w:r>
      <w:r w:rsidR="004E5D44">
        <w:rPr>
          <w:noProof/>
        </w:rPr>
        <w:t xml:space="preserve"> </w:t>
      </w:r>
      <w:r w:rsidR="004E5D44">
        <w:rPr>
          <w:noProof/>
        </w:rPr>
        <w:drawing>
          <wp:inline distT="0" distB="0" distL="0" distR="0" wp14:anchorId="0A65BAC6" wp14:editId="7BBAFCCB">
            <wp:extent cx="234095" cy="331470"/>
            <wp:effectExtent l="0" t="0" r="0" b="0"/>
            <wp:docPr id="122652961"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690003" name="Graphic 189">
                      <a:extLst>
                        <a:ext uri="{C183D7F6-B498-43B3-948B-1728B52AA6E4}">
                          <adec:decorative xmlns:adec="http://schemas.microsoft.com/office/drawing/2017/decorative" val="1"/>
                        </a:ext>
                      </a:extLst>
                    </pic:cNvPr>
                    <pic:cNvPicPr/>
                  </pic:nvPicPr>
                  <pic:blipFill rotWithShape="1">
                    <a:blip r:embed="rId137">
                      <a:extLst>
                        <a:ext uri="{96DAC541-7B7A-43D3-8B79-37D633B846F1}">
                          <asvg:svgBlip xmlns:asvg="http://schemas.microsoft.com/office/drawing/2016/SVG/main" r:embed="rId138"/>
                        </a:ext>
                      </a:extLst>
                    </a:blip>
                    <a:srcRect l="25327" t="12625" r="24153" b="15841"/>
                    <a:stretch>
                      <a:fillRect/>
                    </a:stretch>
                  </pic:blipFill>
                  <pic:spPr bwMode="auto">
                    <a:xfrm>
                      <a:off x="0" y="0"/>
                      <a:ext cx="237395" cy="336143"/>
                    </a:xfrm>
                    <a:prstGeom prst="rect">
                      <a:avLst/>
                    </a:prstGeom>
                    <a:ln>
                      <a:noFill/>
                    </a:ln>
                    <a:extLst>
                      <a:ext uri="{53640926-AAD7-44D8-BBD7-CCE9431645EC}">
                        <a14:shadowObscured xmlns:a14="http://schemas.microsoft.com/office/drawing/2010/main"/>
                      </a:ext>
                    </a:extLst>
                  </pic:spPr>
                </pic:pic>
              </a:graphicData>
            </a:graphic>
          </wp:inline>
        </w:drawing>
      </w:r>
      <w:r w:rsidR="004E5D44">
        <w:rPr>
          <w:color w:val="C00000"/>
          <w:lang w:val="en-AU"/>
        </w:rPr>
        <w:t xml:space="preserve"> </w:t>
      </w:r>
      <w:r w:rsidRPr="004E5D44">
        <w:rPr>
          <w:noProof/>
          <w:color w:val="008142" w:themeColor="accent5"/>
        </w:rPr>
        <mc:AlternateContent>
          <mc:Choice Requires="wps">
            <w:drawing>
              <wp:anchor distT="0" distB="0" distL="114300" distR="114300" simplePos="0" relativeHeight="251658364" behindDoc="1" locked="0" layoutInCell="1" allowOverlap="1" wp14:anchorId="67A10834" wp14:editId="27C4A070">
                <wp:simplePos x="0" y="0"/>
                <wp:positionH relativeFrom="page">
                  <wp:posOffset>6674</wp:posOffset>
                </wp:positionH>
                <wp:positionV relativeFrom="page">
                  <wp:posOffset>5423</wp:posOffset>
                </wp:positionV>
                <wp:extent cx="7560000" cy="153909"/>
                <wp:effectExtent l="0" t="0" r="0" b="0"/>
                <wp:wrapNone/>
                <wp:docPr id="481715748" name="Rectangle 4817157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5EECF2A" id="Rectangle 481715748" o:spid="_x0000_s1026" alt="&quot;&quot;" style="position:absolute;margin-left:.55pt;margin-top:.45pt;width:595.3pt;height:12.1pt;z-index:-2516581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" fillcolor="#008142 [3208]" stroked="f" strokeweight="1pt">
                <w10:wrap anchorx="page" anchory="page"/>
              </v:rect>
            </w:pict>
          </mc:Fallback>
        </mc:AlternateContent>
      </w:r>
      <w:r w:rsidRPr="004E5D44">
        <w:rPr>
          <w:color w:val="008142" w:themeColor="accent5"/>
          <w:lang w:val="en-AU"/>
        </w:rPr>
        <w:t>Effectiveness - Indicators with identified data gaps</w:t>
      </w:r>
    </w:p>
    <w:p w14:paraId="08A16DCA" w14:textId="77777777" w:rsidR="00406C56" w:rsidRPr="00BA1489" w:rsidRDefault="00406C56" w:rsidP="00406C56">
      <w:pPr>
        <w:rPr>
          <w:color w:val="000000"/>
        </w:rPr>
      </w:pPr>
      <w:r>
        <w:t>The indicators in this theme which do not yet have robust, reliable national data sets on which to assess performance over time are explored below.</w:t>
      </w:r>
    </w:p>
    <w:tbl>
      <w:tblPr>
        <w:tblStyle w:val="TableGrid"/>
        <w:tblW w:w="0" w:type="auto"/>
        <w:tblLook w:val="04A0" w:firstRow="1" w:lastRow="0" w:firstColumn="1" w:lastColumn="0" w:noHBand="0" w:noVBand="1"/>
      </w:tblPr>
      <w:tblGrid>
        <w:gridCol w:w="2694"/>
        <w:gridCol w:w="6332"/>
      </w:tblGrid>
      <w:tr w:rsidR="00406C56" w14:paraId="1514A4FA" w14:textId="77777777" w:rsidTr="00CF5391">
        <w:tc>
          <w:tcPr>
            <w:tcW w:w="2694" w:type="dxa"/>
          </w:tcPr>
          <w:p w14:paraId="33FD9C93" w14:textId="77777777" w:rsidR="00406C56" w:rsidRPr="0023528B" w:rsidRDefault="00406C56" w:rsidP="00CF5391">
            <w:pPr>
              <w:pStyle w:val="Heading3"/>
              <w:rPr>
                <w:color w:val="008142" w:themeColor="accent5"/>
              </w:rPr>
            </w:pPr>
            <w:r w:rsidRPr="0023528B">
              <w:rPr>
                <w:color w:val="008142" w:themeColor="accent5"/>
              </w:rPr>
              <w:t xml:space="preserve">Indicators  </w:t>
            </w:r>
          </w:p>
        </w:tc>
        <w:tc>
          <w:tcPr>
            <w:tcW w:w="6332" w:type="dxa"/>
          </w:tcPr>
          <w:p w14:paraId="236C841A" w14:textId="5A90D3A6" w:rsidR="00406C56" w:rsidRPr="0023528B" w:rsidRDefault="006220E0" w:rsidP="00CF5391">
            <w:pPr>
              <w:pStyle w:val="Heading3"/>
              <w:rPr>
                <w:color w:val="008142" w:themeColor="accent5"/>
              </w:rPr>
            </w:pPr>
            <w:r w:rsidRPr="00DE3039">
              <w:rPr>
                <w:color w:val="008142" w:themeColor="accent5"/>
              </w:rPr>
              <w:t>Why these indicators matter despite limited data</w:t>
            </w:r>
            <w:r>
              <w:rPr>
                <w:color w:val="008142" w:themeColor="accent5"/>
              </w:rPr>
              <w:t xml:space="preserve"> </w:t>
            </w:r>
            <w:r>
              <w:rPr>
                <w:noProof/>
              </w:rPr>
              <w:drawing>
                <wp:inline distT="0" distB="0" distL="0" distR="0" wp14:anchorId="36AF6E50" wp14:editId="51DE11E1">
                  <wp:extent cx="232117" cy="232117"/>
                  <wp:effectExtent l="0" t="0" r="0" b="0"/>
                  <wp:docPr id="276729280" name="Graphic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29280" name="Graphic 182">
                            <a:extLst>
                              <a:ext uri="{C183D7F6-B498-43B3-948B-1728B52AA6E4}">
                                <adec:decorative xmlns:adec="http://schemas.microsoft.com/office/drawing/2017/decorative" val="1"/>
                              </a:ext>
                            </a:extLst>
                          </pic:cNvPr>
                          <pic:cNvPicPr/>
                        </pic:nvPicPr>
                        <pic:blipFill>
                          <a:blip r:embed="rId154">
                            <a:extLst>
                              <a:ext uri="{96DAC541-7B7A-43D3-8B79-37D633B846F1}">
                                <asvg:svgBlip xmlns:asvg="http://schemas.microsoft.com/office/drawing/2016/SVG/main" r:embed="rId155"/>
                              </a:ext>
                            </a:extLst>
                          </a:blip>
                          <a:stretch>
                            <a:fillRect/>
                          </a:stretch>
                        </pic:blipFill>
                        <pic:spPr>
                          <a:xfrm>
                            <a:off x="0" y="0"/>
                            <a:ext cx="247691" cy="247691"/>
                          </a:xfrm>
                          <a:prstGeom prst="rect">
                            <a:avLst/>
                          </a:prstGeom>
                        </pic:spPr>
                      </pic:pic>
                    </a:graphicData>
                  </a:graphic>
                </wp:inline>
              </w:drawing>
            </w:r>
          </w:p>
        </w:tc>
      </w:tr>
      <w:tr w:rsidR="00406C56" w14:paraId="26E0ED4D" w14:textId="77777777" w:rsidTr="00CF5391">
        <w:tc>
          <w:tcPr>
            <w:tcW w:w="2694" w:type="dxa"/>
          </w:tcPr>
          <w:p w14:paraId="5409C1E4" w14:textId="77777777" w:rsidR="00406C56" w:rsidRPr="0023528B" w:rsidRDefault="00406C56" w:rsidP="004E5D44">
            <w:pPr>
              <w:pStyle w:val="Heading3"/>
              <w:spacing w:before="0"/>
              <w:rPr>
                <w:b w:val="0"/>
                <w:bCs/>
              </w:rPr>
            </w:pPr>
            <w:r w:rsidRPr="0023528B">
              <w:rPr>
                <w:b w:val="0"/>
                <w:bCs/>
              </w:rPr>
              <w:t xml:space="preserve">Consumer, carer, family, and kin experiences of mental health services </w:t>
            </w:r>
          </w:p>
        </w:tc>
        <w:tc>
          <w:tcPr>
            <w:tcW w:w="6332" w:type="dxa"/>
          </w:tcPr>
          <w:p w14:paraId="15603514" w14:textId="77777777" w:rsidR="00406C56" w:rsidRPr="00980EDD" w:rsidRDefault="00406C56" w:rsidP="00CF5391">
            <w:r w:rsidRPr="00BF2DA1">
              <w:t xml:space="preserve">While there are some jurisdictions reporting the </w:t>
            </w:r>
            <w:r>
              <w:t>YES and CES surveys</w:t>
            </w:r>
            <w:r w:rsidRPr="00BF2DA1">
              <w:t xml:space="preserve">, there is not a national picture. </w:t>
            </w:r>
            <w:r w:rsidRPr="00874415">
              <w:t xml:space="preserve">Refer to </w:t>
            </w:r>
            <w:r w:rsidRPr="00874415">
              <w:rPr>
                <w:b/>
                <w:bCs/>
              </w:rPr>
              <w:t xml:space="preserve">Box 11 </w:t>
            </w:r>
            <w:r>
              <w:rPr>
                <w:b/>
                <w:bCs/>
              </w:rPr>
              <w:t xml:space="preserve">- </w:t>
            </w:r>
            <w:r w:rsidRPr="00874415">
              <w:rPr>
                <w:b/>
                <w:bCs/>
              </w:rPr>
              <w:t>Gap in understanding experiences and outcomes from people about mental health services.</w:t>
            </w:r>
            <w:r w:rsidRPr="00874415">
              <w:rPr>
                <w:rStyle w:val="normaltextrun"/>
                <w:rFonts w:ascii="Aptos" w:hAnsi="Aptos" w:cs="Segoe UI"/>
                <w:b/>
                <w:bCs/>
                <w:color w:val="008142" w:themeColor="accent5"/>
                <w:sz w:val="22"/>
              </w:rPr>
              <w:t> </w:t>
            </w:r>
            <w:r w:rsidRPr="00874415">
              <w:rPr>
                <w:b/>
                <w:bCs/>
              </w:rPr>
              <w:t xml:space="preserve"> </w:t>
            </w:r>
          </w:p>
        </w:tc>
      </w:tr>
      <w:tr w:rsidR="00406C56" w14:paraId="08F57CE0" w14:textId="77777777" w:rsidTr="00CF5391">
        <w:tc>
          <w:tcPr>
            <w:tcW w:w="2694" w:type="dxa"/>
          </w:tcPr>
          <w:p w14:paraId="1DFC5CD2" w14:textId="77777777" w:rsidR="00406C56" w:rsidRPr="0023528B" w:rsidRDefault="00406C56" w:rsidP="004E5D44">
            <w:pPr>
              <w:pStyle w:val="Heading3"/>
              <w:spacing w:before="0"/>
              <w:rPr>
                <w:b w:val="0"/>
                <w:bCs/>
              </w:rPr>
            </w:pPr>
            <w:r w:rsidRPr="0023528B">
              <w:rPr>
                <w:b w:val="0"/>
                <w:bCs/>
              </w:rPr>
              <w:t xml:space="preserve">Person-centred outcomes that matter to consumers </w:t>
            </w:r>
          </w:p>
        </w:tc>
        <w:tc>
          <w:tcPr>
            <w:tcW w:w="6332" w:type="dxa"/>
          </w:tcPr>
          <w:p w14:paraId="7581A074" w14:textId="77777777" w:rsidR="00406C56" w:rsidRPr="00BF2DA1" w:rsidRDefault="00406C56" w:rsidP="00CF5391">
            <w:pPr>
              <w:rPr>
                <w:rFonts w:cs="Segoe UI"/>
              </w:rPr>
            </w:pPr>
            <w:r w:rsidRPr="00BF2DA1">
              <w:rPr>
                <w:rFonts w:cs="Segoe UI"/>
              </w:rPr>
              <w:t>Currently reported quantitative measures alone cannot capture person-defined experiences and outcomes.</w:t>
            </w:r>
            <w:r w:rsidRPr="00BF2DA1">
              <w:rPr>
                <w:rStyle w:val="normaltextrun"/>
                <w:rFonts w:ascii="Aptos" w:hAnsi="Aptos" w:cs="Segoe UI"/>
                <w:sz w:val="20"/>
                <w:szCs w:val="20"/>
              </w:rPr>
              <w:t> </w:t>
            </w:r>
            <w:r w:rsidRPr="00BF2DA1">
              <w:t>Effectiveness of the system must reflect consumer and carer outcomes, not only clinical or systemic outcomes.</w:t>
            </w:r>
          </w:p>
        </w:tc>
      </w:tr>
      <w:tr w:rsidR="00406C56" w14:paraId="6E92A884" w14:textId="77777777" w:rsidTr="00CF5391">
        <w:tc>
          <w:tcPr>
            <w:tcW w:w="2694" w:type="dxa"/>
          </w:tcPr>
          <w:p w14:paraId="4CC46515" w14:textId="77777777" w:rsidR="00406C56" w:rsidRPr="0023528B" w:rsidRDefault="00406C56" w:rsidP="004E5D44">
            <w:pPr>
              <w:pStyle w:val="Heading3"/>
              <w:spacing w:before="0"/>
              <w:rPr>
                <w:b w:val="0"/>
                <w:bCs/>
              </w:rPr>
            </w:pPr>
            <w:r w:rsidRPr="0023528B">
              <w:rPr>
                <w:b w:val="0"/>
                <w:bCs/>
              </w:rPr>
              <w:t>Research and evaluation of service effectiveness and improvement</w:t>
            </w:r>
          </w:p>
        </w:tc>
        <w:tc>
          <w:tcPr>
            <w:tcW w:w="6332" w:type="dxa"/>
          </w:tcPr>
          <w:p w14:paraId="2566A9F3" w14:textId="77777777" w:rsidR="00406C56" w:rsidRPr="00EC0CEE" w:rsidRDefault="00406C56" w:rsidP="00CF5391">
            <w:pPr>
              <w:rPr>
                <w:rFonts w:ascii="Segoe UI" w:hAnsi="Segoe UI" w:cs="Segoe UI"/>
                <w:szCs w:val="18"/>
              </w:rPr>
            </w:pPr>
            <w:r w:rsidRPr="00603F1B">
              <w:t xml:space="preserve">Research </w:t>
            </w:r>
            <w:r>
              <w:t xml:space="preserve">and evaluation </w:t>
            </w:r>
            <w:r w:rsidRPr="00603F1B">
              <w:t>are critical</w:t>
            </w:r>
            <w:r>
              <w:t xml:space="preserve"> to improving service effectiveness and supporting a well-functioning mental health system, but this activity is not well captured nationally. Over time, the Commission will seek opportunities to incorporate data on mental health research and evaluation activity. </w:t>
            </w:r>
            <w:r w:rsidRPr="00603F1B">
              <w:t>The Commonwealth National Mental Health and Suicide Prevention Evaluation Framework provide</w:t>
            </w:r>
            <w:r>
              <w:t>s</w:t>
            </w:r>
            <w:r w:rsidRPr="00603F1B">
              <w:t xml:space="preserve"> best practice guidance on the conduct of mental health and suicide prevention </w:t>
            </w:r>
            <w:proofErr w:type="gramStart"/>
            <w:r w:rsidRPr="00603F1B">
              <w:t>evaluations</w:t>
            </w:r>
            <w:r>
              <w:t>, and</w:t>
            </w:r>
            <w:proofErr w:type="gramEnd"/>
            <w:r>
              <w:t xml:space="preserve"> promotes publication of evaluation findings where possible</w:t>
            </w:r>
            <w:r w:rsidRPr="00603F1B">
              <w:t>.</w:t>
            </w:r>
            <w:r w:rsidRPr="00603F1B">
              <w:rPr>
                <w:sz w:val="22"/>
                <w:vertAlign w:val="superscript"/>
              </w:rPr>
              <w:endnoteReference w:id="164"/>
            </w:r>
          </w:p>
        </w:tc>
      </w:tr>
    </w:tbl>
    <w:p w14:paraId="0B57B69C" w14:textId="77777777" w:rsidR="00406C56" w:rsidRPr="00BB7CF0" w:rsidRDefault="00406C56" w:rsidP="00406C56">
      <w:pPr>
        <w:rPr>
          <w:rStyle w:val="normaltextrun"/>
        </w:rPr>
      </w:pPr>
    </w:p>
    <w:p w14:paraId="3F052C4E" w14:textId="77777777" w:rsidR="00406C56" w:rsidRDefault="00406C56" w:rsidP="00406C56">
      <w:r w:rsidRPr="00BB7CF0">
        <w:rPr>
          <w:rStyle w:val="normaltextrun"/>
        </w:rPr>
        <w:t xml:space="preserve">To grow our understanding of the effectiveness of the mental health service system, the Commission is </w:t>
      </w:r>
      <w:r w:rsidRPr="00BB7CF0">
        <w:t>investing in evaluation activity. This includes commissioning a comprehensive modelling and evaluation of mental health services and supports in April 2026. Work underway is explored below.</w:t>
      </w:r>
    </w:p>
    <w:p w14:paraId="3C867687" w14:textId="77777777" w:rsidR="00406C56" w:rsidRDefault="00406C56" w:rsidP="00406C56">
      <w:pPr>
        <w:suppressAutoHyphens w:val="0"/>
        <w:autoSpaceDE/>
        <w:autoSpaceDN/>
        <w:adjustRightInd/>
        <w:spacing w:after="0" w:line="240" w:lineRule="auto"/>
        <w:textAlignment w:val="auto"/>
        <w:rPr>
          <w:rFonts w:eastAsiaTheme="majorEastAsia" w:cstheme="majorBidi"/>
          <w:color w:val="171717" w:themeColor="background2" w:themeShade="1A"/>
          <w:sz w:val="24"/>
          <w:szCs w:val="26"/>
          <w:lang w:eastAsia="en-AU"/>
        </w:rPr>
      </w:pPr>
      <w:r>
        <w:br w:type="page"/>
      </w:r>
    </w:p>
    <w:p w14:paraId="0D7DEAF1" w14:textId="77777777" w:rsidR="00406C56" w:rsidRPr="0089083A" w:rsidRDefault="00406C56" w:rsidP="00406C56">
      <w:pPr>
        <w:pStyle w:val="Heading2"/>
      </w:pPr>
      <w:r w:rsidRPr="002F7DA4">
        <w:rPr>
          <w:rStyle w:val="Hyperlink"/>
          <w:noProof/>
        </w:rPr>
        <w:lastRenderedPageBreak/>
        <mc:AlternateContent>
          <mc:Choice Requires="wps">
            <w:drawing>
              <wp:anchor distT="0" distB="0" distL="114300" distR="114300" simplePos="0" relativeHeight="251658371" behindDoc="1" locked="0" layoutInCell="1" allowOverlap="1" wp14:anchorId="3D4BB198" wp14:editId="55C28E4C">
                <wp:simplePos x="0" y="0"/>
                <wp:positionH relativeFrom="page">
                  <wp:posOffset>729406</wp:posOffset>
                </wp:positionH>
                <wp:positionV relativeFrom="page">
                  <wp:posOffset>866830</wp:posOffset>
                </wp:positionV>
                <wp:extent cx="6138249" cy="4724793"/>
                <wp:effectExtent l="0" t="0" r="8890" b="12700"/>
                <wp:wrapNone/>
                <wp:docPr id="365524081" name="Rectangle 3655240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38249" cy="4724793"/>
                        </a:xfrm>
                        <a:prstGeom prst="rect">
                          <a:avLst/>
                        </a:prstGeom>
                        <a:solidFill>
                          <a:srgbClr val="F9F9E5">
                            <a:alpha val="50196"/>
                          </a:srgbClr>
                        </a:solidFill>
                        <a:ln>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0725F52" id="Rectangle 365524081" o:spid="_x0000_s1026" alt="&quot;&quot;" style="position:absolute;margin-left:57.45pt;margin-top:68.25pt;width:483.35pt;height:372.05pt;z-index:-2516581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" fillcolor="#f9f9e5" strokecolor="#008142 [3208]" strokeweight="1pt">
                <v:fill opacity="32896f"/>
                <w10:wrap anchorx="page" anchory="page"/>
              </v:rect>
            </w:pict>
          </mc:Fallback>
        </mc:AlternateContent>
      </w:r>
      <w:r w:rsidRPr="0089083A">
        <w:t xml:space="preserve">Box 12 - Strengthening the evidence base through research and evaluation </w:t>
      </w:r>
    </w:p>
    <w:p w14:paraId="32AAE77C" w14:textId="77777777" w:rsidR="00406C56" w:rsidRPr="0089083A" w:rsidRDefault="00406C56" w:rsidP="00406C56">
      <w:pPr>
        <w:pStyle w:val="Heading3"/>
      </w:pPr>
      <w:r w:rsidRPr="0089083A">
        <w:t>Economic modelling and evaluation</w:t>
      </w:r>
    </w:p>
    <w:p w14:paraId="617F41E8" w14:textId="77777777" w:rsidR="00406C56" w:rsidRPr="0089083A" w:rsidRDefault="00406C56" w:rsidP="00406C56">
      <w:r w:rsidRPr="0089083A">
        <w:t xml:space="preserve">Understanding the economic evidence base for mental health services and supports is a longstanding gap, and increasingly important to understand in a tight fiscal environment. In April 2026, the Commission engaged Monash University to deliver a comprehensive economic modelling and evaluation of mental health services and supports in Australia. </w:t>
      </w:r>
    </w:p>
    <w:p w14:paraId="6A105485" w14:textId="77777777" w:rsidR="00406C56" w:rsidRPr="0089083A" w:rsidRDefault="00406C56" w:rsidP="00406C56">
      <w:r w:rsidRPr="0089083A">
        <w:t xml:space="preserve">This project is expected to generate </w:t>
      </w:r>
      <w:proofErr w:type="gramStart"/>
      <w:r w:rsidRPr="0089083A">
        <w:t>high quality</w:t>
      </w:r>
      <w:proofErr w:type="gramEnd"/>
      <w:r w:rsidRPr="0089083A">
        <w:t xml:space="preserve"> evidence to inform ongoing national mental health reforms, while strengthening reporting, monitoring and accountability across the mental health system. The project is being delivered in two phases, with initial findings expected later in 2026, with the final report to be delivered in 2027.</w:t>
      </w:r>
    </w:p>
    <w:p w14:paraId="0F875A18" w14:textId="77777777" w:rsidR="00406C56" w:rsidRPr="0089083A" w:rsidRDefault="00406C56" w:rsidP="00406C56">
      <w:pPr>
        <w:pStyle w:val="Heading3"/>
      </w:pPr>
      <w:r w:rsidRPr="0089083A">
        <w:t>System mapping</w:t>
      </w:r>
    </w:p>
    <w:p w14:paraId="56981426" w14:textId="77777777" w:rsidR="00406C56" w:rsidRPr="0089083A" w:rsidRDefault="00406C56" w:rsidP="00406C56">
      <w:r w:rsidRPr="0089083A">
        <w:t xml:space="preserve">In June 2026, the Commission engaged Nous Group to develop a series of clear system maps of the mental health system. These maps will help define the boundaries of the mental health system, how services interconnect and consider the consumer experience of the system. </w:t>
      </w:r>
    </w:p>
    <w:p w14:paraId="2349CFF2" w14:textId="77777777" w:rsidR="00406C56" w:rsidRPr="0089083A" w:rsidRDefault="00406C56" w:rsidP="00406C56">
      <w:r w:rsidRPr="0089083A">
        <w:t xml:space="preserve">This project addresses one of the biggest complexities in mental health: defining the “mental health system”, understanding how services operate, how individuals move through the system, and how different actors (e.g. Commonwealth, states and territories, service providers) contribute to the strategic system view. The resulting maps will be a practical tool for evidence-based planning, policy advice, and communication. </w:t>
      </w:r>
    </w:p>
    <w:p w14:paraId="61BB3E18" w14:textId="77777777" w:rsidR="00406C56" w:rsidRPr="0089083A" w:rsidRDefault="00406C56" w:rsidP="00406C56">
      <w:pPr>
        <w:pStyle w:val="Heading3"/>
      </w:pPr>
      <w:r w:rsidRPr="0089083A">
        <w:t>Evidence for prevention and action in social determinants of mental health</w:t>
      </w:r>
    </w:p>
    <w:p w14:paraId="5FCA5FFA" w14:textId="7CA91F76" w:rsidR="00406C56" w:rsidRPr="00B12459" w:rsidRDefault="00406C56" w:rsidP="00B12459">
      <w:pPr>
        <w:rPr>
          <w:rFonts w:ascii="Segoe UI" w:hAnsi="Segoe UI" w:cs="Segoe UI"/>
          <w:szCs w:val="18"/>
        </w:rPr>
      </w:pPr>
      <w:r w:rsidRPr="0089083A">
        <w:t>In June 2026, the Commission engaged Sax Institute to design, develop, and deliver a dynamic simulation model to support more effective and coordinated investment in mental health across Australia. The model will enable assessment and quantification of the impact of investment in prevention and social determinants of mental health, supporting evidence-informed policy and investment decisions. The model will be accompanied by an interactive dashboard for scenario testing and reporting.</w:t>
      </w:r>
      <w:r w:rsidRPr="007F675E">
        <w:t xml:space="preserve"> </w:t>
      </w:r>
      <w:r>
        <w:rPr>
          <w:noProof/>
        </w:rPr>
        <mc:AlternateContent>
          <mc:Choice Requires="wps">
            <w:drawing>
              <wp:anchor distT="0" distB="0" distL="114300" distR="114300" simplePos="0" relativeHeight="251658365" behindDoc="1" locked="0" layoutInCell="1" allowOverlap="1" wp14:anchorId="507D7894" wp14:editId="7887B269">
                <wp:simplePos x="0" y="0"/>
                <wp:positionH relativeFrom="page">
                  <wp:posOffset>-7198</wp:posOffset>
                </wp:positionH>
                <wp:positionV relativeFrom="page">
                  <wp:posOffset>6327</wp:posOffset>
                </wp:positionV>
                <wp:extent cx="7560000" cy="153909"/>
                <wp:effectExtent l="0" t="0" r="0" b="0"/>
                <wp:wrapNone/>
                <wp:docPr id="726609963" name="Rectangle 7266099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53909"/>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46E73B7" id="Rectangle 726609963" o:spid="_x0000_s1026" alt="&quot;&quot;" style="position:absolute;margin-left:-.55pt;margin-top:.5pt;width:595.3pt;height:12.1pt;z-index:-2516581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" fillcolor="#008142 [3208]" stroked="f" strokeweight="1pt">
                <w10:wrap anchorx="page" anchory="page"/>
              </v:rect>
            </w:pict>
          </mc:Fallback>
        </mc:AlternateContent>
      </w:r>
      <w:bookmarkStart w:id="33" w:name="_Toc233982857"/>
    </w:p>
    <w:p w14:paraId="71D0D4A1" w14:textId="77777777" w:rsidR="00406C56" w:rsidRDefault="00406C56" w:rsidP="00406C56">
      <w:pPr>
        <w:suppressAutoHyphens w:val="0"/>
        <w:autoSpaceDE/>
        <w:autoSpaceDN/>
        <w:adjustRightInd/>
        <w:spacing w:after="0" w:line="240" w:lineRule="auto"/>
        <w:textAlignment w:val="auto"/>
        <w:rPr>
          <w:rFonts w:ascii="Aptos" w:eastAsiaTheme="majorEastAsia" w:hAnsi="Aptos" w:cstheme="majorBidi"/>
          <w:sz w:val="40"/>
          <w:szCs w:val="32"/>
        </w:rPr>
      </w:pPr>
      <w:r>
        <w:rPr>
          <w:rFonts w:ascii="Aptos" w:hAnsi="Aptos"/>
        </w:rPr>
        <w:br w:type="page"/>
      </w:r>
    </w:p>
    <w:p w14:paraId="737A2A62" w14:textId="05A05CF6" w:rsidR="00406C56" w:rsidRPr="00BB7CF0" w:rsidRDefault="00406C56" w:rsidP="00406C56">
      <w:pPr>
        <w:pStyle w:val="Heading1"/>
      </w:pPr>
      <w:bookmarkStart w:id="34" w:name="_Toc237878289"/>
      <w:r w:rsidRPr="00BB7CF0">
        <w:lastRenderedPageBreak/>
        <w:t>Developing the National Report Card</w:t>
      </w:r>
      <w:bookmarkEnd w:id="33"/>
      <w:bookmarkEnd w:id="34"/>
      <w:r w:rsidRPr="00BB7CF0">
        <w:t xml:space="preserve"> </w:t>
      </w:r>
    </w:p>
    <w:p w14:paraId="30B8E238" w14:textId="77777777" w:rsidR="00406C56" w:rsidRPr="00EA0EF9" w:rsidRDefault="00406C56" w:rsidP="00406C56">
      <w:pPr>
        <w:pStyle w:val="Heading2"/>
      </w:pPr>
      <w:r>
        <w:t>Our</w:t>
      </w:r>
      <w:r w:rsidRPr="00EA0EF9">
        <w:t> </w:t>
      </w:r>
      <w:r>
        <w:t>R</w:t>
      </w:r>
      <w:r w:rsidRPr="00EA0EF9">
        <w:t xml:space="preserve">eporting </w:t>
      </w:r>
      <w:r>
        <w:t>F</w:t>
      </w:r>
      <w:r w:rsidRPr="00EA0EF9">
        <w:t>ramework  </w:t>
      </w:r>
    </w:p>
    <w:p w14:paraId="3FCB587C" w14:textId="77777777" w:rsidR="00406C56" w:rsidRDefault="00406C56" w:rsidP="00406C56">
      <w:pPr>
        <w:rPr>
          <w:lang w:val="en-AU" w:eastAsia="en-AU"/>
        </w:rPr>
      </w:pPr>
      <w:r w:rsidRPr="00EA0EF9">
        <w:rPr>
          <w:lang w:val="en-AU" w:eastAsia="en-AU"/>
        </w:rPr>
        <w:t>Since 2012, the Commission has been responsible for producing an Annual National Report Card on the performance of the mental health system. To provide consistent and objective monitoring and reporting on Australia</w:t>
      </w:r>
      <w:r>
        <w:rPr>
          <w:lang w:val="en-AU" w:eastAsia="en-AU"/>
        </w:rPr>
        <w:t>’s</w:t>
      </w:r>
      <w:r w:rsidRPr="00EA0EF9">
        <w:rPr>
          <w:lang w:val="en-AU" w:eastAsia="en-AU"/>
        </w:rPr>
        <w:t xml:space="preserve"> mental health system</w:t>
      </w:r>
      <w:r w:rsidRPr="00EA0EF9">
        <w:rPr>
          <w:rFonts w:ascii="Arial" w:hAnsi="Arial" w:cs="Arial"/>
          <w:lang w:val="en-AU" w:eastAsia="en-AU"/>
        </w:rPr>
        <w:t> </w:t>
      </w:r>
      <w:r w:rsidRPr="00EA0EF9">
        <w:rPr>
          <w:lang w:val="en-AU" w:eastAsia="en-AU"/>
        </w:rPr>
        <w:t>over time, the</w:t>
      </w:r>
      <w:r w:rsidRPr="00EA0EF9">
        <w:rPr>
          <w:rFonts w:ascii="Arial" w:hAnsi="Arial" w:cs="Arial"/>
          <w:lang w:val="en-AU" w:eastAsia="en-AU"/>
        </w:rPr>
        <w:t> </w:t>
      </w:r>
      <w:r w:rsidRPr="00EA0EF9">
        <w:rPr>
          <w:lang w:val="en-AU" w:eastAsia="en-AU"/>
        </w:rPr>
        <w:t>Commission</w:t>
      </w:r>
      <w:r w:rsidRPr="00EA0EF9">
        <w:rPr>
          <w:rFonts w:cs="Aptos"/>
          <w:lang w:val="en-AU" w:eastAsia="en-AU"/>
        </w:rPr>
        <w:t> </w:t>
      </w:r>
      <w:r w:rsidRPr="00EA0EF9">
        <w:rPr>
          <w:lang w:val="en-AU" w:eastAsia="en-AU"/>
        </w:rPr>
        <w:t>has been building on the</w:t>
      </w:r>
      <w:r w:rsidRPr="00EA0EF9">
        <w:rPr>
          <w:rFonts w:cs="Aptos"/>
          <w:lang w:val="en-AU" w:eastAsia="en-AU"/>
        </w:rPr>
        <w:t> </w:t>
      </w:r>
      <w:r w:rsidRPr="00EA0EF9">
        <w:rPr>
          <w:lang w:val="en-AU" w:eastAsia="en-AU"/>
        </w:rPr>
        <w:t>Report Card</w:t>
      </w:r>
      <w:r w:rsidRPr="00EA0EF9">
        <w:rPr>
          <w:rFonts w:cs="Aptos"/>
          <w:lang w:val="en-AU" w:eastAsia="en-AU"/>
        </w:rPr>
        <w:t>’</w:t>
      </w:r>
      <w:r w:rsidRPr="00EA0EF9">
        <w:rPr>
          <w:lang w:val="en-AU" w:eastAsia="en-AU"/>
        </w:rPr>
        <w:t>s</w:t>
      </w:r>
      <w:r w:rsidRPr="00EA0EF9">
        <w:rPr>
          <w:rFonts w:cs="Aptos"/>
          <w:lang w:val="en-AU" w:eastAsia="en-AU"/>
        </w:rPr>
        <w:t> </w:t>
      </w:r>
      <w:r w:rsidRPr="00EA0EF9">
        <w:rPr>
          <w:lang w:val="en-AU" w:eastAsia="en-AU"/>
        </w:rPr>
        <w:t xml:space="preserve">reporting framework </w:t>
      </w:r>
      <w:r>
        <w:rPr>
          <w:lang w:val="en-AU" w:eastAsia="en-AU"/>
        </w:rPr>
        <w:t>i</w:t>
      </w:r>
      <w:r w:rsidRPr="00EA0EF9">
        <w:rPr>
          <w:lang w:val="en-AU" w:eastAsia="en-AU"/>
        </w:rPr>
        <w:t>ntroduced in</w:t>
      </w:r>
      <w:r w:rsidRPr="00EA0EF9">
        <w:rPr>
          <w:rFonts w:cs="Aptos"/>
          <w:lang w:val="en-AU" w:eastAsia="en-AU"/>
        </w:rPr>
        <w:t> </w:t>
      </w:r>
      <w:r w:rsidRPr="00EA0EF9">
        <w:rPr>
          <w:lang w:val="en-AU" w:eastAsia="en-AU"/>
        </w:rPr>
        <w:t xml:space="preserve">the 2023 edition. </w:t>
      </w:r>
    </w:p>
    <w:p w14:paraId="770E543A" w14:textId="77777777" w:rsidR="00406C56" w:rsidRPr="00EA0EF9" w:rsidRDefault="00406C56" w:rsidP="00406C56">
      <w:pPr>
        <w:rPr>
          <w:szCs w:val="18"/>
          <w:lang w:val="en-AU" w:eastAsia="en-AU"/>
        </w:rPr>
      </w:pPr>
      <w:r w:rsidRPr="00EA0EF9">
        <w:rPr>
          <w:lang w:val="en-AU" w:eastAsia="en-AU"/>
        </w:rPr>
        <w:t>The</w:t>
      </w:r>
      <w:r w:rsidRPr="00EA0EF9">
        <w:rPr>
          <w:rFonts w:cs="Aptos"/>
          <w:lang w:val="en-AU" w:eastAsia="en-AU"/>
        </w:rPr>
        <w:t> </w:t>
      </w:r>
      <w:r w:rsidRPr="00EA0EF9">
        <w:rPr>
          <w:lang w:val="en-AU" w:eastAsia="en-AU"/>
        </w:rPr>
        <w:t>framework</w:t>
      </w:r>
      <w:r w:rsidRPr="00EA0EF9">
        <w:rPr>
          <w:rFonts w:ascii="Arial" w:hAnsi="Arial" w:cs="Arial"/>
          <w:lang w:val="en-AU" w:eastAsia="en-AU"/>
        </w:rPr>
        <w:t> </w:t>
      </w:r>
      <w:r w:rsidRPr="00EA0EF9">
        <w:rPr>
          <w:lang w:val="en-AU" w:eastAsia="en-AU"/>
        </w:rPr>
        <w:t>organises</w:t>
      </w:r>
      <w:r w:rsidRPr="00EA0EF9">
        <w:rPr>
          <w:rFonts w:ascii="Arial" w:hAnsi="Arial" w:cs="Arial"/>
          <w:lang w:val="en-AU" w:eastAsia="en-AU"/>
        </w:rPr>
        <w:t> </w:t>
      </w:r>
      <w:r w:rsidRPr="00EA0EF9">
        <w:rPr>
          <w:lang w:val="en-AU" w:eastAsia="en-AU"/>
        </w:rPr>
        <w:t>information and data under</w:t>
      </w:r>
      <w:r w:rsidRPr="00EA0EF9">
        <w:rPr>
          <w:rFonts w:cs="Aptos"/>
          <w:lang w:val="en-AU" w:eastAsia="en-AU"/>
        </w:rPr>
        <w:t> </w:t>
      </w:r>
      <w:r w:rsidRPr="00EA0EF9">
        <w:rPr>
          <w:lang w:val="en-AU" w:eastAsia="en-AU"/>
        </w:rPr>
        <w:t>3</w:t>
      </w:r>
      <w:r w:rsidRPr="00EA0EF9">
        <w:rPr>
          <w:rFonts w:cs="Aptos"/>
          <w:lang w:val="en-AU" w:eastAsia="en-AU"/>
        </w:rPr>
        <w:t> </w:t>
      </w:r>
      <w:r w:rsidRPr="00EA0EF9">
        <w:rPr>
          <w:lang w:val="en-AU" w:eastAsia="en-AU"/>
        </w:rPr>
        <w:t>domains:</w:t>
      </w:r>
      <w:r w:rsidRPr="00EA0EF9">
        <w:rPr>
          <w:rFonts w:ascii="Arial" w:hAnsi="Arial" w:cs="Arial"/>
          <w:lang w:val="en-AU" w:eastAsia="en-AU"/>
        </w:rPr>
        <w:t>  </w:t>
      </w:r>
      <w:r w:rsidRPr="00EA0EF9">
        <w:rPr>
          <w:rFonts w:cs="Aptos"/>
          <w:lang w:val="en-AU" w:eastAsia="en-AU"/>
        </w:rPr>
        <w:t> </w:t>
      </w:r>
    </w:p>
    <w:p w14:paraId="7BC22456" w14:textId="77777777" w:rsidR="00406C56" w:rsidRPr="00C801D0" w:rsidRDefault="00406C56" w:rsidP="00406C56">
      <w:pPr>
        <w:pStyle w:val="ListBullet"/>
      </w:pPr>
      <w:r w:rsidRPr="00C801D0">
        <w:rPr>
          <w:b/>
          <w:bCs/>
        </w:rPr>
        <w:t>Mental health</w:t>
      </w:r>
      <w:r>
        <w:rPr>
          <w:b/>
          <w:bCs/>
        </w:rPr>
        <w:t xml:space="preserve">: </w:t>
      </w:r>
      <w:r w:rsidRPr="00C801D0">
        <w:t>Domain 1 – the status of key mental health and wellbeing outcomes for people with lived experience of mental health</w:t>
      </w:r>
      <w:r w:rsidRPr="00C801D0">
        <w:rPr>
          <w:rFonts w:ascii="Arial" w:hAnsi="Arial" w:cs="Arial"/>
        </w:rPr>
        <w:t> </w:t>
      </w:r>
      <w:r w:rsidRPr="00C801D0">
        <w:t>challenges.</w:t>
      </w:r>
      <w:r w:rsidRPr="00C801D0">
        <w:rPr>
          <w:rFonts w:ascii="Arial" w:hAnsi="Arial" w:cs="Arial"/>
        </w:rPr>
        <w:t> </w:t>
      </w:r>
      <w:r w:rsidRPr="00C801D0">
        <w:t> </w:t>
      </w:r>
    </w:p>
    <w:p w14:paraId="61F8ED67" w14:textId="77777777" w:rsidR="00406C56" w:rsidRPr="00C801D0" w:rsidRDefault="00406C56" w:rsidP="00406C56">
      <w:pPr>
        <w:pStyle w:val="ListBullet"/>
      </w:pPr>
      <w:r w:rsidRPr="00C801D0">
        <w:rPr>
          <w:b/>
          <w:bCs/>
        </w:rPr>
        <w:t>Social determinants</w:t>
      </w:r>
      <w:r>
        <w:rPr>
          <w:b/>
          <w:bCs/>
        </w:rPr>
        <w:t xml:space="preserve">: </w:t>
      </w:r>
      <w:r w:rsidRPr="00C801D0">
        <w:t>Domain 2</w:t>
      </w:r>
      <w:r w:rsidRPr="00C801D0">
        <w:rPr>
          <w:rFonts w:ascii="Arial" w:hAnsi="Arial" w:cs="Arial"/>
        </w:rPr>
        <w:t> </w:t>
      </w:r>
      <w:r w:rsidRPr="00C801D0">
        <w:t>– the broader social factors that have an impact on mental health of people in Australia, as well as the whole</w:t>
      </w:r>
      <w:r>
        <w:t>-</w:t>
      </w:r>
      <w:r w:rsidRPr="00C801D0">
        <w:t>of</w:t>
      </w:r>
      <w:r>
        <w:t>-</w:t>
      </w:r>
      <w:r w:rsidRPr="00C801D0">
        <w:t>life outcomes for people with lived experience.</w:t>
      </w:r>
      <w:r w:rsidRPr="00C801D0">
        <w:rPr>
          <w:rFonts w:ascii="Arial" w:hAnsi="Arial" w:cs="Arial"/>
        </w:rPr>
        <w:t>  </w:t>
      </w:r>
      <w:r w:rsidRPr="00C801D0">
        <w:t> </w:t>
      </w:r>
    </w:p>
    <w:p w14:paraId="25B8737E" w14:textId="77777777" w:rsidR="00406C56" w:rsidRPr="00C801D0" w:rsidRDefault="00406C56" w:rsidP="00406C56">
      <w:pPr>
        <w:pStyle w:val="ListBullet"/>
      </w:pPr>
      <w:r w:rsidRPr="00C801D0">
        <w:rPr>
          <w:b/>
          <w:bCs/>
        </w:rPr>
        <w:t>System inputs and activities</w:t>
      </w:r>
      <w:r>
        <w:t xml:space="preserve">: </w:t>
      </w:r>
      <w:r w:rsidRPr="00C801D0">
        <w:t>Domain 3</w:t>
      </w:r>
      <w:r w:rsidRPr="00C801D0">
        <w:rPr>
          <w:rFonts w:ascii="Arial" w:hAnsi="Arial" w:cs="Arial"/>
        </w:rPr>
        <w:t> </w:t>
      </w:r>
      <w:r w:rsidRPr="00C801D0">
        <w:t>– the performance of system activities that</w:t>
      </w:r>
      <w:r w:rsidRPr="00C801D0">
        <w:rPr>
          <w:rFonts w:ascii="Arial" w:hAnsi="Arial" w:cs="Arial"/>
        </w:rPr>
        <w:t> </w:t>
      </w:r>
      <w:r w:rsidRPr="00C801D0">
        <w:t>impact</w:t>
      </w:r>
      <w:r w:rsidRPr="00C801D0">
        <w:rPr>
          <w:rFonts w:ascii="Arial" w:hAnsi="Arial" w:cs="Arial"/>
        </w:rPr>
        <w:t> </w:t>
      </w:r>
      <w:r w:rsidRPr="00C801D0">
        <w:t>mental health outcomes for people in Australia.</w:t>
      </w:r>
      <w:r w:rsidRPr="00C801D0">
        <w:rPr>
          <w:rFonts w:ascii="Arial" w:hAnsi="Arial" w:cs="Arial"/>
        </w:rPr>
        <w:t> </w:t>
      </w:r>
      <w:r w:rsidRPr="00C801D0">
        <w:t> </w:t>
      </w:r>
    </w:p>
    <w:p w14:paraId="303371E8" w14:textId="77777777" w:rsidR="00406C56" w:rsidRPr="00EA0EF9" w:rsidRDefault="00406C56" w:rsidP="00406C56">
      <w:pPr>
        <w:rPr>
          <w:lang w:val="en-AU" w:eastAsia="en-AU"/>
        </w:rPr>
      </w:pPr>
      <w:r w:rsidRPr="066A689B">
        <w:rPr>
          <w:lang w:val="en-AU" w:eastAsia="en-AU"/>
        </w:rPr>
        <w:t>Within</w:t>
      </w:r>
      <w:r w:rsidRPr="066A689B">
        <w:rPr>
          <w:rFonts w:ascii="Arial" w:hAnsi="Arial" w:cs="Arial"/>
          <w:lang w:val="en-AU" w:eastAsia="en-AU"/>
        </w:rPr>
        <w:t> </w:t>
      </w:r>
      <w:r w:rsidRPr="066A689B">
        <w:rPr>
          <w:lang w:val="en-AU" w:eastAsia="en-AU"/>
        </w:rPr>
        <w:t>the domains there</w:t>
      </w:r>
      <w:r w:rsidRPr="066A689B">
        <w:rPr>
          <w:rFonts w:ascii="Arial" w:hAnsi="Arial" w:cs="Arial"/>
          <w:lang w:val="en-AU" w:eastAsia="en-AU"/>
        </w:rPr>
        <w:t> </w:t>
      </w:r>
      <w:r w:rsidRPr="066A689B">
        <w:rPr>
          <w:lang w:val="en-AU" w:eastAsia="en-AU"/>
        </w:rPr>
        <w:t>are:</w:t>
      </w:r>
      <w:r w:rsidRPr="066A689B">
        <w:rPr>
          <w:rFonts w:ascii="Arial" w:hAnsi="Arial" w:cs="Arial"/>
          <w:lang w:val="en-AU" w:eastAsia="en-AU"/>
        </w:rPr>
        <w:t> </w:t>
      </w:r>
      <w:r w:rsidRPr="066A689B">
        <w:rPr>
          <w:rFonts w:cs="Aptos"/>
          <w:lang w:val="en-AU" w:eastAsia="en-AU"/>
        </w:rPr>
        <w:t> </w:t>
      </w:r>
    </w:p>
    <w:p w14:paraId="40A58F8C" w14:textId="77777777" w:rsidR="00406C56" w:rsidRPr="00C801D0" w:rsidRDefault="00406C56" w:rsidP="00406C56">
      <w:pPr>
        <w:pStyle w:val="ListBullet"/>
      </w:pPr>
      <w:r w:rsidRPr="00C801D0">
        <w:t>a series of overarching</w:t>
      </w:r>
      <w:r w:rsidRPr="00C801D0">
        <w:rPr>
          <w:rFonts w:ascii="Arial" w:hAnsi="Arial" w:cs="Arial"/>
        </w:rPr>
        <w:t> </w:t>
      </w:r>
      <w:r w:rsidRPr="00C801D0">
        <w:rPr>
          <w:b/>
          <w:bCs/>
        </w:rPr>
        <w:t>guiding</w:t>
      </w:r>
      <w:r w:rsidRPr="00C801D0">
        <w:rPr>
          <w:rFonts w:ascii="Arial" w:hAnsi="Arial" w:cs="Arial"/>
        </w:rPr>
        <w:t> </w:t>
      </w:r>
      <w:r w:rsidRPr="00C801D0">
        <w:rPr>
          <w:b/>
          <w:bCs/>
        </w:rPr>
        <w:t>questions</w:t>
      </w:r>
      <w:r w:rsidRPr="00C801D0">
        <w:rPr>
          <w:rFonts w:ascii="Arial" w:hAnsi="Arial" w:cs="Arial"/>
        </w:rPr>
        <w:t> </w:t>
      </w:r>
      <w:r w:rsidRPr="00C801D0">
        <w:t xml:space="preserve">(e.g. </w:t>
      </w:r>
      <w:r w:rsidRPr="00C801D0">
        <w:rPr>
          <w:rFonts w:cs="Aptos"/>
        </w:rPr>
        <w:t>‘</w:t>
      </w:r>
      <w:r w:rsidRPr="00C801D0">
        <w:t>How mentally healthy are people in Australia?</w:t>
      </w:r>
      <w:r w:rsidRPr="00C801D0">
        <w:rPr>
          <w:rFonts w:cs="Aptos"/>
        </w:rPr>
        <w:t>’</w:t>
      </w:r>
      <w:r w:rsidRPr="00C801D0">
        <w:t>),</w:t>
      </w:r>
      <w:r w:rsidRPr="00C801D0">
        <w:rPr>
          <w:rFonts w:ascii="Arial" w:hAnsi="Arial" w:cs="Arial"/>
        </w:rPr>
        <w:t>  </w:t>
      </w:r>
      <w:r w:rsidRPr="00C801D0">
        <w:rPr>
          <w:rFonts w:cs="Aptos"/>
        </w:rPr>
        <w:t> </w:t>
      </w:r>
    </w:p>
    <w:p w14:paraId="2A80C587" w14:textId="77777777" w:rsidR="00406C56" w:rsidRPr="00C801D0" w:rsidRDefault="00406C56" w:rsidP="00406C56">
      <w:pPr>
        <w:pStyle w:val="ListBullet"/>
      </w:pPr>
      <w:r w:rsidRPr="00C801D0">
        <w:t>core</w:t>
      </w:r>
      <w:r w:rsidRPr="00C801D0">
        <w:rPr>
          <w:rFonts w:ascii="Arial" w:hAnsi="Arial" w:cs="Arial"/>
        </w:rPr>
        <w:t> </w:t>
      </w:r>
      <w:r w:rsidRPr="00C801D0">
        <w:rPr>
          <w:b/>
          <w:bCs/>
        </w:rPr>
        <w:t>indicators</w:t>
      </w:r>
      <w:r w:rsidRPr="00C801D0">
        <w:rPr>
          <w:rFonts w:ascii="Arial" w:hAnsi="Arial" w:cs="Arial"/>
        </w:rPr>
        <w:t> </w:t>
      </w:r>
      <w:r w:rsidRPr="00C801D0">
        <w:t>that</w:t>
      </w:r>
      <w:r w:rsidRPr="00C801D0">
        <w:rPr>
          <w:rFonts w:ascii="Arial" w:hAnsi="Arial" w:cs="Arial"/>
        </w:rPr>
        <w:t> </w:t>
      </w:r>
      <w:r w:rsidRPr="00C801D0">
        <w:t>go towards answering</w:t>
      </w:r>
      <w:r w:rsidRPr="00C801D0">
        <w:rPr>
          <w:rFonts w:ascii="Arial" w:hAnsi="Arial" w:cs="Arial"/>
        </w:rPr>
        <w:t> </w:t>
      </w:r>
      <w:r w:rsidRPr="00C801D0">
        <w:t>each question</w:t>
      </w:r>
      <w:r w:rsidRPr="00C801D0">
        <w:rPr>
          <w:rFonts w:ascii="Arial" w:hAnsi="Arial" w:cs="Arial"/>
        </w:rPr>
        <w:t> </w:t>
      </w:r>
      <w:r w:rsidRPr="00C801D0">
        <w:t>(e.g. Prevalence of mental disorders), and</w:t>
      </w:r>
      <w:r w:rsidRPr="00C801D0">
        <w:rPr>
          <w:rFonts w:ascii="Arial" w:hAnsi="Arial" w:cs="Arial"/>
        </w:rPr>
        <w:t>  </w:t>
      </w:r>
      <w:r w:rsidRPr="00C801D0">
        <w:rPr>
          <w:rFonts w:cs="Aptos"/>
        </w:rPr>
        <w:t> </w:t>
      </w:r>
    </w:p>
    <w:p w14:paraId="29269374" w14:textId="77777777" w:rsidR="00406C56" w:rsidRPr="006407F7" w:rsidRDefault="00406C56" w:rsidP="00406C56">
      <w:pPr>
        <w:pStyle w:val="ListBullet"/>
      </w:pPr>
      <w:r w:rsidRPr="00C801D0">
        <w:t>appropriate</w:t>
      </w:r>
      <w:r w:rsidRPr="00C801D0">
        <w:rPr>
          <w:rFonts w:ascii="Arial" w:hAnsi="Arial" w:cs="Arial"/>
        </w:rPr>
        <w:t> </w:t>
      </w:r>
      <w:r w:rsidRPr="00C801D0">
        <w:rPr>
          <w:b/>
          <w:bCs/>
        </w:rPr>
        <w:t>data sources</w:t>
      </w:r>
      <w:r w:rsidRPr="00C801D0">
        <w:rPr>
          <w:rFonts w:ascii="Arial" w:hAnsi="Arial" w:cs="Arial"/>
        </w:rPr>
        <w:t> </w:t>
      </w:r>
      <w:r w:rsidRPr="00C801D0">
        <w:t>for</w:t>
      </w:r>
      <w:r w:rsidRPr="00C801D0">
        <w:rPr>
          <w:rFonts w:ascii="Arial" w:hAnsi="Arial" w:cs="Arial"/>
        </w:rPr>
        <w:t> </w:t>
      </w:r>
      <w:r w:rsidRPr="00C801D0">
        <w:t>each</w:t>
      </w:r>
      <w:r w:rsidRPr="00C801D0">
        <w:rPr>
          <w:rFonts w:ascii="Arial" w:hAnsi="Arial" w:cs="Arial"/>
        </w:rPr>
        <w:t> </w:t>
      </w:r>
      <w:r w:rsidRPr="00C801D0">
        <w:t>indicator</w:t>
      </w:r>
      <w:r w:rsidRPr="00C801D0">
        <w:rPr>
          <w:rFonts w:ascii="Arial" w:hAnsi="Arial" w:cs="Arial"/>
        </w:rPr>
        <w:t> </w:t>
      </w:r>
      <w:r w:rsidRPr="00C801D0">
        <w:t>(e.g. National Study of Mental Health and Wellbeing).</w:t>
      </w:r>
      <w:r w:rsidRPr="00C801D0">
        <w:rPr>
          <w:rFonts w:ascii="Arial" w:hAnsi="Arial" w:cs="Arial"/>
        </w:rPr>
        <w:t>   </w:t>
      </w:r>
      <w:r w:rsidRPr="00C801D0">
        <w:rPr>
          <w:rFonts w:cs="Aptos"/>
        </w:rPr>
        <w:t> </w:t>
      </w:r>
    </w:p>
    <w:p w14:paraId="2AD0D9B1" w14:textId="77777777" w:rsidR="00997BAE" w:rsidRDefault="00406C56" w:rsidP="00406C56">
      <w:pPr>
        <w:rPr>
          <w:lang w:val="en-AU" w:eastAsia="en-AU"/>
        </w:rPr>
      </w:pPr>
      <w:r w:rsidRPr="00CD757E">
        <w:rPr>
          <w:lang w:val="en-AU" w:eastAsia="en-AU"/>
        </w:rPr>
        <w:t>In Report Card 2023 and 2024, the Commission reported on 13</w:t>
      </w:r>
      <w:r w:rsidRPr="00CD757E">
        <w:rPr>
          <w:rFonts w:ascii="Arial" w:hAnsi="Arial" w:cs="Arial"/>
          <w:lang w:val="en-AU" w:eastAsia="en-AU"/>
        </w:rPr>
        <w:t> </w:t>
      </w:r>
      <w:r w:rsidRPr="00CD757E">
        <w:rPr>
          <w:lang w:val="en-AU" w:eastAsia="en-AU"/>
        </w:rPr>
        <w:t>core</w:t>
      </w:r>
      <w:r w:rsidRPr="00CD757E">
        <w:rPr>
          <w:rFonts w:ascii="Arial" w:hAnsi="Arial" w:cs="Arial"/>
          <w:lang w:val="en-AU" w:eastAsia="en-AU"/>
        </w:rPr>
        <w:t> </w:t>
      </w:r>
      <w:r w:rsidRPr="00CD757E">
        <w:rPr>
          <w:lang w:val="en-AU" w:eastAsia="en-AU"/>
        </w:rPr>
        <w:t>indicators</w:t>
      </w:r>
      <w:r w:rsidRPr="00CD757E">
        <w:rPr>
          <w:rFonts w:cs="Aptos"/>
          <w:lang w:val="en-AU" w:eastAsia="en-AU"/>
        </w:rPr>
        <w:t> </w:t>
      </w:r>
      <w:r w:rsidRPr="00CD757E">
        <w:rPr>
          <w:lang w:val="en-AU" w:eastAsia="en-AU"/>
        </w:rPr>
        <w:t xml:space="preserve">for Mental </w:t>
      </w:r>
      <w:r>
        <w:rPr>
          <w:lang w:val="en-AU" w:eastAsia="en-AU"/>
        </w:rPr>
        <w:t>h</w:t>
      </w:r>
      <w:r w:rsidRPr="00CD757E">
        <w:rPr>
          <w:lang w:val="en-AU" w:eastAsia="en-AU"/>
        </w:rPr>
        <w:t>ealth</w:t>
      </w:r>
      <w:r>
        <w:rPr>
          <w:lang w:val="en-AU" w:eastAsia="en-AU"/>
        </w:rPr>
        <w:t xml:space="preserve">: </w:t>
      </w:r>
      <w:r w:rsidRPr="00CD757E">
        <w:rPr>
          <w:lang w:val="en-AU" w:eastAsia="en-AU"/>
        </w:rPr>
        <w:t xml:space="preserve">Domain 1 and </w:t>
      </w:r>
      <w:proofErr w:type="gramStart"/>
      <w:r w:rsidRPr="00CD757E">
        <w:rPr>
          <w:lang w:val="en-AU" w:eastAsia="en-AU"/>
        </w:rPr>
        <w:t>Social</w:t>
      </w:r>
      <w:proofErr w:type="gramEnd"/>
      <w:r w:rsidRPr="00CD757E">
        <w:rPr>
          <w:lang w:val="en-AU" w:eastAsia="en-AU"/>
        </w:rPr>
        <w:t xml:space="preserve"> </w:t>
      </w:r>
      <w:r>
        <w:rPr>
          <w:lang w:val="en-AU" w:eastAsia="en-AU"/>
        </w:rPr>
        <w:t>d</w:t>
      </w:r>
      <w:r w:rsidRPr="00CD757E">
        <w:rPr>
          <w:lang w:val="en-AU" w:eastAsia="en-AU"/>
        </w:rPr>
        <w:t>eterminants</w:t>
      </w:r>
      <w:r>
        <w:rPr>
          <w:lang w:val="en-AU" w:eastAsia="en-AU"/>
        </w:rPr>
        <w:t xml:space="preserve">: </w:t>
      </w:r>
      <w:r w:rsidRPr="00CD757E">
        <w:rPr>
          <w:lang w:val="en-AU" w:eastAsia="en-AU"/>
        </w:rPr>
        <w:t>Domain 2</w:t>
      </w:r>
      <w:r>
        <w:rPr>
          <w:lang w:val="en-AU" w:eastAsia="en-AU"/>
        </w:rPr>
        <w:t>. In</w:t>
      </w:r>
      <w:r w:rsidRPr="00CD757E">
        <w:rPr>
          <w:rFonts w:cs="Aptos"/>
          <w:lang w:val="en-AU" w:eastAsia="en-AU"/>
        </w:rPr>
        <w:t> </w:t>
      </w:r>
      <w:r>
        <w:rPr>
          <w:lang w:val="en-AU" w:eastAsia="en-AU"/>
        </w:rPr>
        <w:t xml:space="preserve">System inputs and activities: </w:t>
      </w:r>
      <w:r w:rsidRPr="00CD757E">
        <w:rPr>
          <w:lang w:val="en-AU" w:eastAsia="en-AU"/>
        </w:rPr>
        <w:t xml:space="preserve">Domain 3 </w:t>
      </w:r>
      <w:r>
        <w:rPr>
          <w:lang w:val="en-AU" w:eastAsia="en-AU"/>
        </w:rPr>
        <w:t>we</w:t>
      </w:r>
      <w:r w:rsidRPr="00CD757E">
        <w:rPr>
          <w:rFonts w:cs="Aptos"/>
          <w:lang w:val="en-AU" w:eastAsia="en-AU"/>
        </w:rPr>
        <w:t> </w:t>
      </w:r>
      <w:r w:rsidRPr="00CD757E">
        <w:rPr>
          <w:lang w:val="en-AU" w:eastAsia="en-AU"/>
        </w:rPr>
        <w:t xml:space="preserve">provided an overview </w:t>
      </w:r>
      <w:r>
        <w:rPr>
          <w:lang w:val="en-AU" w:eastAsia="en-AU"/>
        </w:rPr>
        <w:t>from the</w:t>
      </w:r>
      <w:r w:rsidRPr="00CD757E">
        <w:rPr>
          <w:lang w:val="en-AU" w:eastAsia="en-AU"/>
        </w:rPr>
        <w:t xml:space="preserve"> data available</w:t>
      </w:r>
      <w:r w:rsidRPr="00CD757E">
        <w:rPr>
          <w:rFonts w:cs="Aptos"/>
          <w:lang w:val="en-AU" w:eastAsia="en-AU"/>
        </w:rPr>
        <w:t> </w:t>
      </w:r>
      <w:r w:rsidRPr="00CD757E">
        <w:rPr>
          <w:lang w:val="en-AU" w:eastAsia="en-AU"/>
        </w:rPr>
        <w:t>for</w:t>
      </w:r>
      <w:r>
        <w:rPr>
          <w:lang w:val="en-AU" w:eastAsia="en-AU"/>
        </w:rPr>
        <w:t xml:space="preserve"> this domain and noted</w:t>
      </w:r>
      <w:r w:rsidRPr="00CD757E">
        <w:rPr>
          <w:lang w:val="en-AU" w:eastAsia="en-AU"/>
        </w:rPr>
        <w:t xml:space="preserve"> </w:t>
      </w:r>
      <w:r>
        <w:rPr>
          <w:lang w:val="en-AU" w:eastAsia="en-AU"/>
        </w:rPr>
        <w:t>this domain</w:t>
      </w:r>
      <w:r w:rsidRPr="00CD757E">
        <w:rPr>
          <w:lang w:val="en-AU" w:eastAsia="en-AU"/>
        </w:rPr>
        <w:t xml:space="preserve"> as an area for improvement</w:t>
      </w:r>
      <w:r w:rsidRPr="00CD757E">
        <w:rPr>
          <w:rFonts w:cs="Aptos"/>
          <w:lang w:val="en-AU" w:eastAsia="en-AU"/>
        </w:rPr>
        <w:t> </w:t>
      </w:r>
      <w:r w:rsidRPr="00CD757E">
        <w:rPr>
          <w:lang w:val="en-AU" w:eastAsia="en-AU"/>
        </w:rPr>
        <w:t xml:space="preserve">in future editions. </w:t>
      </w:r>
      <w:r w:rsidRPr="0036124A">
        <w:rPr>
          <w:lang w:val="en-AU" w:eastAsia="en-AU"/>
        </w:rPr>
        <w:t>The selection of indicators and data </w:t>
      </w:r>
      <w:r>
        <w:rPr>
          <w:lang w:val="en-AU" w:eastAsia="en-AU"/>
        </w:rPr>
        <w:t>was</w:t>
      </w:r>
      <w:r w:rsidRPr="0036124A">
        <w:rPr>
          <w:lang w:val="en-AU" w:eastAsia="en-AU"/>
        </w:rPr>
        <w:t xml:space="preserve"> informed by a review of existing and proposed mental health indicator frameworks</w:t>
      </w:r>
      <w:r>
        <w:rPr>
          <w:lang w:val="en-AU" w:eastAsia="en-AU"/>
        </w:rPr>
        <w:t xml:space="preserve">, together with </w:t>
      </w:r>
      <w:r w:rsidRPr="0036124A">
        <w:rPr>
          <w:lang w:val="en-AU" w:eastAsia="en-AU"/>
        </w:rPr>
        <w:t>ongoing consultation with stakeholders</w:t>
      </w:r>
      <w:r>
        <w:rPr>
          <w:lang w:val="en-AU" w:eastAsia="en-AU"/>
        </w:rPr>
        <w:t>, and experts in data and measurement,</w:t>
      </w:r>
      <w:r w:rsidRPr="00CD757E">
        <w:rPr>
          <w:lang w:val="en-AU" w:eastAsia="en-AU"/>
        </w:rPr>
        <w:t xml:space="preserve"> including AIHW</w:t>
      </w:r>
      <w:r w:rsidRPr="0036124A">
        <w:rPr>
          <w:lang w:val="en-AU" w:eastAsia="en-AU"/>
        </w:rPr>
        <w:t xml:space="preserve">. </w:t>
      </w:r>
    </w:p>
    <w:p w14:paraId="458CAA4C" w14:textId="741B0A54" w:rsidR="00536043" w:rsidRPr="00725701" w:rsidRDefault="00997BAE" w:rsidP="00406C56">
      <w:pPr>
        <w:rPr>
          <w:lang w:val="en-AU" w:eastAsia="en-AU"/>
        </w:rPr>
      </w:pPr>
      <w:r w:rsidRPr="002F7DA4">
        <w:rPr>
          <w:rStyle w:val="Hyperlink"/>
          <w:noProof/>
        </w:rPr>
        <mc:AlternateContent>
          <mc:Choice Requires="wps">
            <w:drawing>
              <wp:anchor distT="0" distB="0" distL="114300" distR="114300" simplePos="0" relativeHeight="251658372" behindDoc="1" locked="0" layoutInCell="1" allowOverlap="1" wp14:anchorId="321AF465" wp14:editId="201AB04F">
                <wp:simplePos x="0" y="0"/>
                <wp:positionH relativeFrom="page">
                  <wp:posOffset>751840</wp:posOffset>
                </wp:positionH>
                <wp:positionV relativeFrom="page">
                  <wp:posOffset>6250940</wp:posOffset>
                </wp:positionV>
                <wp:extent cx="6147435" cy="1774190"/>
                <wp:effectExtent l="0" t="0" r="12065" b="16510"/>
                <wp:wrapNone/>
                <wp:docPr id="1049568593" name="Rectangle 10495685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1774190"/>
                        </a:xfrm>
                        <a:prstGeom prst="rect">
                          <a:avLst/>
                        </a:prstGeom>
                        <a:solidFill>
                          <a:srgbClr val="F9F9E5">
                            <a:alpha val="50196"/>
                          </a:srgbClr>
                        </a:solidFill>
                        <a:ln>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7227A46" id="Rectangle 1049568593" o:spid="_x0000_s1026" alt="&quot;&quot;" style="position:absolute;margin-left:59.2pt;margin-top:492.2pt;width:484.05pt;height:139.7pt;z-index:-2516581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" fillcolor="#f9f9e5" strokecolor="#008142 [3208]" strokeweight="1pt">
                <v:fill opacity="32896f"/>
                <w10:wrap anchorx="page" anchory="page"/>
              </v:rect>
            </w:pict>
          </mc:Fallback>
        </mc:AlternateContent>
      </w:r>
      <w:r w:rsidR="00536043" w:rsidRPr="00536043">
        <w:rPr>
          <w:lang w:val="en-AU" w:eastAsia="en-AU"/>
        </w:rPr>
        <w:t>The Commission works closely with data custodians to ensure that the data we draw on is robust, fit for purpose, and provides meaningful insights on mental health in Australia. The following criteria help guide the development and continual improvement the data we draw on to assess our indicators.</w:t>
      </w:r>
      <w:r>
        <w:rPr>
          <w:lang w:val="en-AU" w:eastAsia="en-AU"/>
        </w:rPr>
        <w:br/>
      </w:r>
    </w:p>
    <w:p w14:paraId="7B77F721" w14:textId="4BD2A6EE" w:rsidR="00406C56" w:rsidRPr="00AD1575" w:rsidRDefault="00406C56" w:rsidP="00406C56">
      <w:pPr>
        <w:pStyle w:val="Heading2"/>
      </w:pPr>
      <w:r w:rsidRPr="00AD1575">
        <w:t>Box 13 - Our data criteria</w:t>
      </w:r>
    </w:p>
    <w:p w14:paraId="4450B56F" w14:textId="77777777" w:rsidR="00406C56" w:rsidRPr="000D1C5F" w:rsidRDefault="00406C56" w:rsidP="00406C56">
      <w:pPr>
        <w:pStyle w:val="ListBullet"/>
      </w:pPr>
      <w:r w:rsidRPr="000D1C5F">
        <w:rPr>
          <w:b/>
          <w:bCs/>
        </w:rPr>
        <w:t>Nationally available</w:t>
      </w:r>
      <w:r w:rsidRPr="000D1C5F">
        <w:t xml:space="preserve"> – derived from robust nationally available data sources with relevant disaggregation to allow analysis of selected population groups</w:t>
      </w:r>
    </w:p>
    <w:p w14:paraId="674D3452" w14:textId="77777777" w:rsidR="00406C56" w:rsidRPr="000D1C5F" w:rsidRDefault="00406C56" w:rsidP="00406C56">
      <w:pPr>
        <w:pStyle w:val="ListBullet"/>
      </w:pPr>
      <w:r w:rsidRPr="000D1C5F">
        <w:rPr>
          <w:b/>
          <w:bCs/>
        </w:rPr>
        <w:t>Regularly collected</w:t>
      </w:r>
      <w:r w:rsidRPr="000D1C5F">
        <w:t xml:space="preserve"> – ideally with an existing time-series </w:t>
      </w:r>
    </w:p>
    <w:p w14:paraId="17DD1531" w14:textId="77777777" w:rsidR="00406C56" w:rsidRPr="000D1C5F" w:rsidRDefault="00406C56" w:rsidP="00406C56">
      <w:pPr>
        <w:pStyle w:val="ListBullet"/>
      </w:pPr>
      <w:r w:rsidRPr="000D1C5F">
        <w:rPr>
          <w:b/>
          <w:bCs/>
        </w:rPr>
        <w:t>Reliable</w:t>
      </w:r>
      <w:r w:rsidRPr="000D1C5F">
        <w:t xml:space="preserve"> – sourced from well-supported data collections with robust methodologies </w:t>
      </w:r>
    </w:p>
    <w:p w14:paraId="1782C5C1" w14:textId="77777777" w:rsidR="00406C56" w:rsidRPr="000D1C5F" w:rsidRDefault="00406C56" w:rsidP="00406C56">
      <w:pPr>
        <w:pStyle w:val="ListBullet"/>
      </w:pPr>
      <w:r w:rsidRPr="000D1C5F">
        <w:rPr>
          <w:b/>
          <w:bCs/>
        </w:rPr>
        <w:t>Sustainable</w:t>
      </w:r>
      <w:r w:rsidRPr="000D1C5F">
        <w:t xml:space="preserve"> – readily accessible and replicable in subsequent years</w:t>
      </w:r>
    </w:p>
    <w:p w14:paraId="0EE9457F" w14:textId="77777777" w:rsidR="00406C56" w:rsidRPr="000D1C5F" w:rsidRDefault="00406C56" w:rsidP="00406C56">
      <w:pPr>
        <w:pStyle w:val="ListBullet"/>
      </w:pPr>
      <w:r w:rsidRPr="000D1C5F">
        <w:rPr>
          <w:b/>
          <w:bCs/>
        </w:rPr>
        <w:t>Relevant</w:t>
      </w:r>
      <w:r w:rsidRPr="000D1C5F">
        <w:t xml:space="preserve"> – to the Commission’s purpose and unique value-add in monitoring and reporting </w:t>
      </w:r>
    </w:p>
    <w:p w14:paraId="261BDE73" w14:textId="77777777" w:rsidR="00406C56" w:rsidRPr="000D1C5F" w:rsidRDefault="00406C56" w:rsidP="00406C56">
      <w:pPr>
        <w:pStyle w:val="ListBullet"/>
      </w:pPr>
      <w:r w:rsidRPr="000D1C5F">
        <w:rPr>
          <w:b/>
          <w:bCs/>
        </w:rPr>
        <w:t>Foundational</w:t>
      </w:r>
      <w:r w:rsidRPr="000D1C5F">
        <w:t xml:space="preserve"> – provides a solid platform for stakeholder feedback and further development in future Report Cards</w:t>
      </w:r>
    </w:p>
    <w:p w14:paraId="163195EE" w14:textId="683442A7" w:rsidR="00406C56" w:rsidRDefault="00406C56" w:rsidP="00406C56">
      <w:pPr>
        <w:rPr>
          <w:lang w:val="en-AU" w:eastAsia="en-AU"/>
        </w:rPr>
      </w:pPr>
      <w:r>
        <w:rPr>
          <w:lang w:val="en-AU" w:eastAsia="en-AU"/>
        </w:rPr>
        <w:br/>
      </w:r>
    </w:p>
    <w:p w14:paraId="00A13C8F" w14:textId="77777777" w:rsidR="00997BAE" w:rsidRDefault="00997BAE">
      <w:pPr>
        <w:suppressAutoHyphens w:val="0"/>
        <w:autoSpaceDE/>
        <w:autoSpaceDN/>
        <w:adjustRightInd/>
        <w:spacing w:after="0" w:line="240" w:lineRule="auto"/>
        <w:textAlignment w:val="auto"/>
        <w:rPr>
          <w:lang w:val="en-AU" w:eastAsia="en-AU"/>
        </w:rPr>
      </w:pPr>
      <w:r>
        <w:rPr>
          <w:lang w:val="en-AU" w:eastAsia="en-AU"/>
        </w:rPr>
        <w:br w:type="page"/>
      </w:r>
    </w:p>
    <w:p w14:paraId="07518F20" w14:textId="0B6A1B2D" w:rsidR="00406C56" w:rsidRPr="005B7FB7" w:rsidRDefault="00406C56" w:rsidP="00406C56">
      <w:pPr>
        <w:rPr>
          <w:lang w:eastAsia="en-AU"/>
        </w:rPr>
      </w:pPr>
      <w:r>
        <w:rPr>
          <w:lang w:val="en-AU" w:eastAsia="en-AU"/>
        </w:rPr>
        <w:lastRenderedPageBreak/>
        <w:t>T</w:t>
      </w:r>
      <w:r w:rsidRPr="1D61DB7E">
        <w:rPr>
          <w:lang w:val="en-AU" w:eastAsia="en-AU"/>
        </w:rPr>
        <w:t>he Commission also draws on supplementary data sources to support contemporary analysis against each of our domains</w:t>
      </w:r>
      <w:r>
        <w:rPr>
          <w:lang w:val="en-AU" w:eastAsia="en-AU"/>
        </w:rPr>
        <w:t xml:space="preserve">. </w:t>
      </w:r>
      <w:r w:rsidRPr="005B7FB7">
        <w:rPr>
          <w:lang w:eastAsia="en-AU"/>
        </w:rPr>
        <w:t>We assessed these supplementary data sources with key stakeholders to ensure that they are:</w:t>
      </w:r>
    </w:p>
    <w:p w14:paraId="5EEC72EC" w14:textId="77777777" w:rsidR="00406C56" w:rsidRPr="00C801D0" w:rsidRDefault="00406C56" w:rsidP="00406C56">
      <w:pPr>
        <w:pStyle w:val="ListBullet"/>
        <w:rPr>
          <w:b/>
          <w:bCs/>
        </w:rPr>
      </w:pPr>
      <w:r w:rsidRPr="00C801D0">
        <w:rPr>
          <w:b/>
          <w:bCs/>
        </w:rPr>
        <w:t>High-quality</w:t>
      </w:r>
      <w:r w:rsidRPr="00C801D0">
        <w:t xml:space="preserve"> – data are valid, reliable and sourced via robust methodologies </w:t>
      </w:r>
    </w:p>
    <w:p w14:paraId="3001BFB2" w14:textId="77777777" w:rsidR="00406C56" w:rsidRPr="00C801D0" w:rsidRDefault="00406C56" w:rsidP="00406C56">
      <w:pPr>
        <w:pStyle w:val="ListBullet"/>
        <w:rPr>
          <w:b/>
          <w:bCs/>
        </w:rPr>
      </w:pPr>
      <w:r w:rsidRPr="00C801D0">
        <w:rPr>
          <w:b/>
          <w:bCs/>
        </w:rPr>
        <w:t xml:space="preserve">Relevant </w:t>
      </w:r>
      <w:r w:rsidRPr="00C801D0">
        <w:t>– data collected is directly relevant to a core indicator, is sourced from the Australian population (or a sub-population of interest) and has been collected recently (i.e., within the last couple of years)</w:t>
      </w:r>
    </w:p>
    <w:p w14:paraId="4E23E216" w14:textId="77777777" w:rsidR="00406C56" w:rsidRPr="00FA292F" w:rsidRDefault="00406C56" w:rsidP="00406C56">
      <w:pPr>
        <w:pStyle w:val="ListBullet"/>
        <w:rPr>
          <w:b/>
          <w:bCs/>
        </w:rPr>
      </w:pPr>
      <w:r w:rsidRPr="00C801D0">
        <w:rPr>
          <w:b/>
          <w:bCs/>
        </w:rPr>
        <w:t xml:space="preserve">Consistent </w:t>
      </w:r>
      <w:r w:rsidRPr="00C801D0">
        <w:t xml:space="preserve">– data are collected at multiple time-points which allows comparisons over time. </w:t>
      </w:r>
    </w:p>
    <w:p w14:paraId="51A53856" w14:textId="77777777" w:rsidR="00406C56" w:rsidRDefault="00406C56" w:rsidP="00406C56">
      <w:pPr>
        <w:rPr>
          <w:lang w:val="en-AU" w:eastAsia="en-AU"/>
        </w:rPr>
      </w:pPr>
      <w:r>
        <w:rPr>
          <w:lang w:val="en-AU" w:eastAsia="en-AU"/>
        </w:rPr>
        <w:t xml:space="preserve">These criteria, applied across our data sources provide an essential lens through which to assess potential new data sources as they become available or evolve. This helps ensure our reporting remains high quality, consistent and trustworthy. </w:t>
      </w:r>
    </w:p>
    <w:p w14:paraId="4A6F2CFC" w14:textId="37EDE872" w:rsidR="00406C56" w:rsidRDefault="00406C56" w:rsidP="00406C56">
      <w:r w:rsidRPr="007E748F">
        <w:t xml:space="preserve">You can find out more about our approach to establishing this reporting framework in </w:t>
      </w:r>
      <w:hyperlink r:id="rId185">
        <w:r w:rsidRPr="007E748F">
          <w:rPr>
            <w:rStyle w:val="Hyperlink"/>
          </w:rPr>
          <w:t>National Report Card 2023</w:t>
        </w:r>
      </w:hyperlink>
      <w:r w:rsidRPr="007E748F">
        <w:t xml:space="preserve"> and </w:t>
      </w:r>
      <w:hyperlink r:id="rId186" w:history="1">
        <w:r w:rsidRPr="007E748F">
          <w:rPr>
            <w:rStyle w:val="Hyperlink"/>
          </w:rPr>
          <w:t>National Report Card 2024</w:t>
        </w:r>
      </w:hyperlink>
      <w:r w:rsidRPr="007E748F">
        <w:t>. This work has provided a foundation for building a consistent and objective reporting approach over time. Our focus for iteration and improvement in 2025 is explored below.</w:t>
      </w:r>
    </w:p>
    <w:p w14:paraId="261D8F0C" w14:textId="22C40FE2" w:rsidR="00406C56" w:rsidRPr="00EA0EF9" w:rsidRDefault="00406C56" w:rsidP="00406C56">
      <w:pPr>
        <w:pStyle w:val="Heading2"/>
      </w:pPr>
      <w:r w:rsidRPr="066A689B">
        <w:t xml:space="preserve">Improving </w:t>
      </w:r>
      <w:r w:rsidR="00A40EC6">
        <w:t>the</w:t>
      </w:r>
      <w:r w:rsidRPr="066A689B">
        <w:t xml:space="preserve"> National Report Card </w:t>
      </w:r>
    </w:p>
    <w:p w14:paraId="57058E7C" w14:textId="77777777" w:rsidR="00406C56" w:rsidRPr="006407F7" w:rsidRDefault="00406C56" w:rsidP="00406C56">
      <w:pPr>
        <w:rPr>
          <w:rFonts w:cs="Aptos"/>
          <w:lang w:val="en-AU" w:eastAsia="en-AU"/>
        </w:rPr>
      </w:pPr>
      <w:r>
        <w:rPr>
          <w:lang w:val="en-AU" w:eastAsia="en-AU"/>
        </w:rPr>
        <w:t>T</w:t>
      </w:r>
      <w:r w:rsidRPr="00EA0EF9">
        <w:rPr>
          <w:lang w:val="en-AU" w:eastAsia="en-AU"/>
        </w:rPr>
        <w:t>he Commission has been working</w:t>
      </w:r>
      <w:r>
        <w:rPr>
          <w:lang w:val="en-AU" w:eastAsia="en-AU"/>
        </w:rPr>
        <w:t xml:space="preserve"> with stakeholders</w:t>
      </w:r>
      <w:r w:rsidRPr="00EA0EF9">
        <w:rPr>
          <w:lang w:val="en-AU" w:eastAsia="en-AU"/>
        </w:rPr>
        <w:t xml:space="preserve"> to build on the strengths of </w:t>
      </w:r>
      <w:r>
        <w:rPr>
          <w:lang w:val="en-AU" w:eastAsia="en-AU"/>
        </w:rPr>
        <w:t xml:space="preserve">our </w:t>
      </w:r>
      <w:r w:rsidRPr="00EA0EF9">
        <w:rPr>
          <w:lang w:val="en-AU" w:eastAsia="en-AU"/>
        </w:rPr>
        <w:t>Report Card </w:t>
      </w:r>
      <w:r>
        <w:rPr>
          <w:lang w:val="en-AU" w:eastAsia="en-AU"/>
        </w:rPr>
        <w:t>to</w:t>
      </w:r>
      <w:r w:rsidRPr="00EA0EF9">
        <w:rPr>
          <w:lang w:val="en-AU" w:eastAsia="en-AU"/>
        </w:rPr>
        <w:t xml:space="preserve"> ensure it </w:t>
      </w:r>
      <w:r>
        <w:rPr>
          <w:lang w:val="en-AU" w:eastAsia="en-AU"/>
        </w:rPr>
        <w:t>delivers</w:t>
      </w:r>
      <w:r w:rsidRPr="00EA0EF9">
        <w:rPr>
          <w:lang w:val="en-AU" w:eastAsia="en-AU"/>
        </w:rPr>
        <w:t xml:space="preserve"> a comprehensive reporting approach, utilising best available</w:t>
      </w:r>
      <w:r w:rsidRPr="00EA0EF9" w:rsidDel="00652E86">
        <w:rPr>
          <w:lang w:val="en-AU" w:eastAsia="en-AU"/>
        </w:rPr>
        <w:t xml:space="preserve"> </w:t>
      </w:r>
      <w:r w:rsidRPr="00EA0EF9">
        <w:rPr>
          <w:lang w:val="en-AU" w:eastAsia="en-AU"/>
        </w:rPr>
        <w:t>data and evidence</w:t>
      </w:r>
      <w:r>
        <w:rPr>
          <w:lang w:val="en-AU" w:eastAsia="en-AU"/>
        </w:rPr>
        <w:t xml:space="preserve">. </w:t>
      </w:r>
      <w:r w:rsidRPr="00EA0EF9">
        <w:rPr>
          <w:lang w:val="en-AU" w:eastAsia="en-AU"/>
        </w:rPr>
        <w:t>Report Card</w:t>
      </w:r>
      <w:r w:rsidRPr="066A689B">
        <w:rPr>
          <w:rFonts w:cs="Aptos"/>
          <w:lang w:val="en-AU" w:eastAsia="en-AU"/>
        </w:rPr>
        <w:t xml:space="preserve"> 2025 builds on </w:t>
      </w:r>
      <w:r>
        <w:rPr>
          <w:rFonts w:cs="Aptos"/>
          <w:lang w:val="en-AU" w:eastAsia="en-AU"/>
        </w:rPr>
        <w:t>previous years</w:t>
      </w:r>
      <w:r w:rsidRPr="066A689B">
        <w:rPr>
          <w:rFonts w:cs="Aptos"/>
          <w:lang w:val="en-AU" w:eastAsia="en-AU"/>
        </w:rPr>
        <w:t>, as outlined below.</w:t>
      </w:r>
    </w:p>
    <w:p w14:paraId="0B37FDB2" w14:textId="34A5CA32" w:rsidR="00406C56" w:rsidRPr="007E748F" w:rsidRDefault="00406C56" w:rsidP="00406C56">
      <w:pPr>
        <w:pStyle w:val="Heading2"/>
      </w:pPr>
      <w:r w:rsidRPr="00C65EA6">
        <w:t>Timeline: Developing the National Report Card</w:t>
      </w:r>
      <w:r w:rsidR="000B01D0">
        <w:br/>
      </w:r>
    </w:p>
    <w:tbl>
      <w:tblPr>
        <w:tblW w:w="9488" w:type="dxa"/>
        <w:tblBorders>
          <w:top w:val="single" w:sz="8" w:space="0" w:color="545A60" w:themeColor="accent3"/>
          <w:left w:val="single" w:sz="8" w:space="0" w:color="545A60" w:themeColor="accent3"/>
          <w:bottom w:val="single" w:sz="8" w:space="0" w:color="545A60" w:themeColor="accent3"/>
          <w:right w:val="single" w:sz="8" w:space="0" w:color="545A60" w:themeColor="accent3"/>
          <w:insideH w:val="single" w:sz="8" w:space="0" w:color="545A60" w:themeColor="accent3"/>
          <w:insideV w:val="single" w:sz="8" w:space="0" w:color="545A60" w:themeColor="accent3"/>
        </w:tblBorders>
        <w:tblCellMar>
          <w:left w:w="0" w:type="dxa"/>
          <w:right w:w="0" w:type="dxa"/>
        </w:tblCellMar>
        <w:tblLook w:val="04A0" w:firstRow="1" w:lastRow="0" w:firstColumn="1" w:lastColumn="0" w:noHBand="0" w:noVBand="1"/>
      </w:tblPr>
      <w:tblGrid>
        <w:gridCol w:w="3162"/>
        <w:gridCol w:w="3163"/>
        <w:gridCol w:w="3163"/>
      </w:tblGrid>
      <w:tr w:rsidR="00406C56" w:rsidRPr="00EA0EF9" w14:paraId="2C99BD78" w14:textId="77777777" w:rsidTr="004E5D44">
        <w:trPr>
          <w:trHeight w:val="395"/>
        </w:trPr>
        <w:tc>
          <w:tcPr>
            <w:tcW w:w="3162" w:type="dxa"/>
            <w:shd w:val="clear" w:color="auto" w:fill="008142" w:themeFill="accent5"/>
            <w:hideMark/>
          </w:tcPr>
          <w:p w14:paraId="7E0C568C" w14:textId="77777777" w:rsidR="00406C56" w:rsidRPr="00725701" w:rsidRDefault="00406C56" w:rsidP="00CF5391">
            <w:pPr>
              <w:pStyle w:val="Heading3"/>
              <w:rPr>
                <w:color w:val="FFFFFF" w:themeColor="background1"/>
              </w:rPr>
            </w:pPr>
            <w:r w:rsidRPr="00725701">
              <w:rPr>
                <w:color w:val="FFFFFF" w:themeColor="background1"/>
              </w:rPr>
              <w:t xml:space="preserve"> Then </w:t>
            </w:r>
          </w:p>
        </w:tc>
        <w:tc>
          <w:tcPr>
            <w:tcW w:w="3163" w:type="dxa"/>
            <w:shd w:val="clear" w:color="auto" w:fill="008142" w:themeFill="accent5"/>
            <w:hideMark/>
          </w:tcPr>
          <w:p w14:paraId="3A61449A" w14:textId="77777777" w:rsidR="00406C56" w:rsidRPr="00725701" w:rsidRDefault="00406C56" w:rsidP="00CF5391">
            <w:pPr>
              <w:pStyle w:val="Heading3"/>
              <w:rPr>
                <w:color w:val="FFFFFF" w:themeColor="background1"/>
              </w:rPr>
            </w:pPr>
            <w:r w:rsidRPr="00725701">
              <w:rPr>
                <w:color w:val="FFFFFF" w:themeColor="background1"/>
              </w:rPr>
              <w:t xml:space="preserve"> Now </w:t>
            </w:r>
          </w:p>
        </w:tc>
        <w:tc>
          <w:tcPr>
            <w:tcW w:w="3163" w:type="dxa"/>
            <w:shd w:val="clear" w:color="auto" w:fill="008142" w:themeFill="accent5"/>
            <w:hideMark/>
          </w:tcPr>
          <w:p w14:paraId="409198A5" w14:textId="77777777" w:rsidR="00406C56" w:rsidRPr="00725701" w:rsidRDefault="00406C56" w:rsidP="00CF5391">
            <w:pPr>
              <w:pStyle w:val="Heading3"/>
              <w:rPr>
                <w:color w:val="FFFFFF" w:themeColor="background1"/>
              </w:rPr>
            </w:pPr>
            <w:r w:rsidRPr="00725701">
              <w:rPr>
                <w:color w:val="FFFFFF" w:themeColor="background1"/>
              </w:rPr>
              <w:t xml:space="preserve"> Next </w:t>
            </w:r>
          </w:p>
        </w:tc>
      </w:tr>
      <w:tr w:rsidR="00406C56" w:rsidRPr="00EA0EF9" w14:paraId="2D6AB34E" w14:textId="77777777" w:rsidTr="001937A4">
        <w:trPr>
          <w:trHeight w:val="4108"/>
        </w:trPr>
        <w:tc>
          <w:tcPr>
            <w:tcW w:w="3162" w:type="dxa"/>
            <w:shd w:val="clear" w:color="auto" w:fill="FCFDF3"/>
            <w:hideMark/>
          </w:tcPr>
          <w:p w14:paraId="21068208" w14:textId="77777777" w:rsidR="00406C56" w:rsidRDefault="00406C56" w:rsidP="00CF5391">
            <w:pPr>
              <w:pStyle w:val="ListBullet"/>
              <w:numPr>
                <w:ilvl w:val="0"/>
                <w:numId w:val="0"/>
              </w:numPr>
              <w:ind w:left="284"/>
            </w:pPr>
          </w:p>
          <w:p w14:paraId="11B733CB" w14:textId="77777777" w:rsidR="00406C56" w:rsidRPr="00BA7739" w:rsidRDefault="00406C56" w:rsidP="00CF5391">
            <w:pPr>
              <w:pStyle w:val="ListBullet"/>
              <w:ind w:left="284"/>
            </w:pPr>
            <w:r w:rsidRPr="00BA7739">
              <w:t>Report Card 2023 - Commission introduces reporting framework with 3 domains </w:t>
            </w:r>
          </w:p>
          <w:p w14:paraId="3C4A9FC7" w14:textId="77777777" w:rsidR="00406C56" w:rsidRPr="00BA7739" w:rsidRDefault="00406C56" w:rsidP="00CF5391">
            <w:pPr>
              <w:pStyle w:val="ListBullet"/>
              <w:ind w:left="284"/>
            </w:pPr>
            <w:r w:rsidRPr="00BA7739">
              <w:t>Based on review of frameworks, assessment against objective criteria </w:t>
            </w:r>
          </w:p>
          <w:p w14:paraId="15E07581" w14:textId="77777777" w:rsidR="00406C56" w:rsidRPr="00BA7739" w:rsidRDefault="00406C56" w:rsidP="00CF5391">
            <w:pPr>
              <w:pStyle w:val="ListBullet"/>
              <w:ind w:left="284"/>
            </w:pPr>
            <w:r w:rsidRPr="00BA7739">
              <w:t xml:space="preserve">Report Card 2024 – continues to build on framework through identifying and using </w:t>
            </w:r>
            <w:r>
              <w:br/>
            </w:r>
            <w:r w:rsidRPr="00BA7739">
              <w:t>supplementary data to deepen understanding</w:t>
            </w:r>
          </w:p>
        </w:tc>
        <w:tc>
          <w:tcPr>
            <w:tcW w:w="3163" w:type="dxa"/>
            <w:shd w:val="clear" w:color="auto" w:fill="FCFDF3"/>
            <w:hideMark/>
          </w:tcPr>
          <w:p w14:paraId="5F089207" w14:textId="77777777" w:rsidR="00406C56" w:rsidRDefault="00406C56" w:rsidP="00CF5391">
            <w:pPr>
              <w:pStyle w:val="ListBullet"/>
              <w:numPr>
                <w:ilvl w:val="0"/>
                <w:numId w:val="0"/>
              </w:numPr>
              <w:ind w:left="284"/>
            </w:pPr>
          </w:p>
          <w:p w14:paraId="66D71146" w14:textId="77777777" w:rsidR="00406C56" w:rsidRPr="00BA7739" w:rsidRDefault="00406C56" w:rsidP="00CF5391">
            <w:pPr>
              <w:pStyle w:val="ListBullet"/>
              <w:ind w:left="284"/>
            </w:pPr>
            <w:r w:rsidRPr="00BA7739">
              <w:t>Report Card 2025 – incorporates Mental Health System: Domain 3 components developed with stakeholders  </w:t>
            </w:r>
          </w:p>
          <w:p w14:paraId="63BE987F" w14:textId="77777777" w:rsidR="00406C56" w:rsidRPr="00BA7739" w:rsidRDefault="00406C56" w:rsidP="00CF5391">
            <w:pPr>
              <w:pStyle w:val="ListBullet"/>
              <w:ind w:left="284"/>
            </w:pPr>
            <w:r w:rsidRPr="00BA7739">
              <w:t xml:space="preserve">Implements short-term opportunities to include data representing mental health </w:t>
            </w:r>
            <w:r>
              <w:br/>
            </w:r>
            <w:r w:rsidRPr="00BA7739">
              <w:t xml:space="preserve">services delivered by NGOs </w:t>
            </w:r>
          </w:p>
          <w:p w14:paraId="21ED39D3" w14:textId="77777777" w:rsidR="00406C56" w:rsidRPr="00BA7739" w:rsidRDefault="00406C56" w:rsidP="00CF5391">
            <w:pPr>
              <w:pStyle w:val="ListBullet"/>
              <w:ind w:left="284"/>
            </w:pPr>
            <w:r w:rsidRPr="00BA7739">
              <w:t>Publishes standalone National Report Card: Environmental Scan</w:t>
            </w:r>
          </w:p>
        </w:tc>
        <w:tc>
          <w:tcPr>
            <w:tcW w:w="3163" w:type="dxa"/>
            <w:shd w:val="clear" w:color="auto" w:fill="FCFDF3"/>
            <w:hideMark/>
          </w:tcPr>
          <w:p w14:paraId="24D00688" w14:textId="77777777" w:rsidR="00406C56" w:rsidRDefault="00406C56" w:rsidP="00CF5391">
            <w:pPr>
              <w:pStyle w:val="ListBullet"/>
              <w:numPr>
                <w:ilvl w:val="0"/>
                <w:numId w:val="0"/>
              </w:numPr>
              <w:ind w:left="284"/>
            </w:pPr>
          </w:p>
          <w:p w14:paraId="5B974FB2" w14:textId="77777777" w:rsidR="00406C56" w:rsidRPr="00BA7739" w:rsidRDefault="00406C56" w:rsidP="00CF5391">
            <w:pPr>
              <w:pStyle w:val="ListBullet"/>
              <w:ind w:left="284"/>
            </w:pPr>
            <w:r w:rsidRPr="00BA7739">
              <w:t xml:space="preserve">Revisit domains 1 and 2 in the reporting framework to ensure they capture relevant elements </w:t>
            </w:r>
          </w:p>
          <w:p w14:paraId="56D933A8" w14:textId="77777777" w:rsidR="00406C56" w:rsidRPr="00BA7739" w:rsidRDefault="00406C56" w:rsidP="00CF5391">
            <w:pPr>
              <w:pStyle w:val="ListBullet"/>
              <w:ind w:left="284"/>
            </w:pPr>
            <w:r w:rsidRPr="00BA7739">
              <w:t>Build on our understanding of how stakeholders are using the Report Card for their needs, so our products can continue to evolve</w:t>
            </w:r>
          </w:p>
          <w:p w14:paraId="659FA59F" w14:textId="77777777" w:rsidR="00406C56" w:rsidRPr="00BA7739" w:rsidRDefault="00406C56" w:rsidP="00CF5391">
            <w:pPr>
              <w:pStyle w:val="ListBullet"/>
              <w:ind w:left="284"/>
            </w:pPr>
            <w:r w:rsidRPr="00BA7739">
              <w:t>Consider revised reporting framework as a whole and feasibility of further potential data sources</w:t>
            </w:r>
          </w:p>
          <w:p w14:paraId="38A1ACB0" w14:textId="77777777" w:rsidR="00406C56" w:rsidRPr="00BA7739" w:rsidRDefault="00406C56" w:rsidP="00CF5391">
            <w:pPr>
              <w:pStyle w:val="ListBullet"/>
              <w:ind w:left="284"/>
            </w:pPr>
            <w:r w:rsidRPr="00BA7739">
              <w:t>Explore and integrate broader evidence into our Reporting Framework </w:t>
            </w:r>
          </w:p>
        </w:tc>
      </w:tr>
    </w:tbl>
    <w:p w14:paraId="716D893B" w14:textId="77777777" w:rsidR="00406C56" w:rsidRPr="00EA0EF9" w:rsidRDefault="00406C56" w:rsidP="00406C56">
      <w:pPr>
        <w:suppressAutoHyphens w:val="0"/>
        <w:autoSpaceDE/>
        <w:autoSpaceDN/>
        <w:adjustRightInd/>
        <w:spacing w:after="0" w:line="240" w:lineRule="auto"/>
        <w:textAlignment w:val="baseline"/>
        <w:rPr>
          <w:rFonts w:ascii="Aptos" w:eastAsia="Times New Roman" w:hAnsi="Aptos" w:cs="Segoe UI"/>
          <w:color w:val="auto"/>
          <w:szCs w:val="18"/>
          <w:lang w:val="en-AU" w:eastAsia="en-AU"/>
        </w:rPr>
      </w:pPr>
    </w:p>
    <w:p w14:paraId="12368ABB" w14:textId="5F9AFE9E" w:rsidR="00406C56" w:rsidRPr="007E748F" w:rsidRDefault="00406C56" w:rsidP="00406C56">
      <w:pPr>
        <w:pStyle w:val="Heading2"/>
      </w:pPr>
      <w:r w:rsidRPr="007E748F">
        <w:t>Progress since last edition </w:t>
      </w:r>
    </w:p>
    <w:p w14:paraId="5174E9CB" w14:textId="77777777" w:rsidR="00406C56" w:rsidRPr="006813F4" w:rsidRDefault="00406C56" w:rsidP="00406C56">
      <w:pPr>
        <w:rPr>
          <w:lang w:eastAsia="en-AU"/>
        </w:rPr>
      </w:pPr>
      <w:r w:rsidRPr="066A689B">
        <w:rPr>
          <w:lang w:eastAsia="en-AU"/>
        </w:rPr>
        <w:t>Since releasing Report Card 2024, the Commission has been collaborating with stakeholders, including lived experience organisations, with a primary focus o</w:t>
      </w:r>
      <w:r>
        <w:rPr>
          <w:lang w:eastAsia="en-AU"/>
        </w:rPr>
        <w:t>n</w:t>
      </w:r>
      <w:r w:rsidRPr="066A689B">
        <w:rPr>
          <w:lang w:eastAsia="en-AU"/>
        </w:rPr>
        <w:t xml:space="preserve"> the development of the mental health system domain of the reporting framework. The Commission has also partnered with Mental Health Australia to identify mechanisms through which sector service delivery could be recognised and reported on in Mental </w:t>
      </w:r>
      <w:r>
        <w:rPr>
          <w:lang w:eastAsia="en-AU"/>
        </w:rPr>
        <w:t>h</w:t>
      </w:r>
      <w:r w:rsidRPr="066A689B">
        <w:rPr>
          <w:lang w:eastAsia="en-AU"/>
        </w:rPr>
        <w:t xml:space="preserve">ealth </w:t>
      </w:r>
      <w:r>
        <w:rPr>
          <w:lang w:eastAsia="en-AU"/>
        </w:rPr>
        <w:t>s</w:t>
      </w:r>
      <w:r w:rsidRPr="066A689B">
        <w:rPr>
          <w:lang w:eastAsia="en-AU"/>
        </w:rPr>
        <w:t>ystem</w:t>
      </w:r>
      <w:r>
        <w:rPr>
          <w:lang w:eastAsia="en-AU"/>
        </w:rPr>
        <w:t xml:space="preserve">: </w:t>
      </w:r>
      <w:r w:rsidRPr="066A689B">
        <w:rPr>
          <w:lang w:eastAsia="en-AU"/>
        </w:rPr>
        <w:t>Domain 3</w:t>
      </w:r>
      <w:r>
        <w:rPr>
          <w:lang w:eastAsia="en-AU"/>
        </w:rPr>
        <w:t xml:space="preserve">. Together, these activities </w:t>
      </w:r>
      <w:r w:rsidRPr="066A689B">
        <w:rPr>
          <w:lang w:eastAsia="en-AU"/>
        </w:rPr>
        <w:t>address a key gap in our framework</w:t>
      </w:r>
      <w:r>
        <w:rPr>
          <w:lang w:eastAsia="en-AU"/>
        </w:rPr>
        <w:t xml:space="preserve">. </w:t>
      </w:r>
    </w:p>
    <w:p w14:paraId="64552748" w14:textId="77777777" w:rsidR="00997BAE" w:rsidRDefault="00997BAE">
      <w:pPr>
        <w:suppressAutoHyphens w:val="0"/>
        <w:autoSpaceDE/>
        <w:autoSpaceDN/>
        <w:adjustRightInd/>
        <w:spacing w:after="0" w:line="240" w:lineRule="auto"/>
        <w:textAlignment w:val="auto"/>
        <w:rPr>
          <w:rFonts w:eastAsiaTheme="majorEastAsia" w:cstheme="majorBidi"/>
          <w:color w:val="171717" w:themeColor="background2" w:themeShade="1A"/>
          <w:sz w:val="24"/>
          <w:szCs w:val="26"/>
          <w:lang w:eastAsia="en-AU"/>
        </w:rPr>
      </w:pPr>
      <w:r>
        <w:br w:type="page"/>
      </w:r>
    </w:p>
    <w:p w14:paraId="0D3A03FD" w14:textId="401798FE" w:rsidR="00406C56" w:rsidRPr="006813F4" w:rsidRDefault="00406C56" w:rsidP="00406C56">
      <w:pPr>
        <w:pStyle w:val="Heading2"/>
      </w:pPr>
      <w:r w:rsidRPr="006813F4">
        <w:lastRenderedPageBreak/>
        <w:t>Mental health system: Domain 3 (previously “System Inputs and Activities)</w:t>
      </w:r>
    </w:p>
    <w:p w14:paraId="05B7C254" w14:textId="77777777" w:rsidR="00406C56" w:rsidRDefault="00406C56" w:rsidP="00406C56">
      <w:pPr>
        <w:rPr>
          <w:lang w:eastAsia="en-AU"/>
        </w:rPr>
      </w:pPr>
      <w:r w:rsidRPr="066A689B">
        <w:rPr>
          <w:lang w:eastAsia="en-AU"/>
        </w:rPr>
        <w:t xml:space="preserve">To inform the development of the Mental </w:t>
      </w:r>
      <w:r>
        <w:rPr>
          <w:lang w:eastAsia="en-AU"/>
        </w:rPr>
        <w:t>h</w:t>
      </w:r>
      <w:r w:rsidRPr="066A689B">
        <w:rPr>
          <w:lang w:eastAsia="en-AU"/>
        </w:rPr>
        <w:t>ealth system</w:t>
      </w:r>
      <w:r>
        <w:rPr>
          <w:lang w:eastAsia="en-AU"/>
        </w:rPr>
        <w:t xml:space="preserve">: </w:t>
      </w:r>
      <w:r w:rsidRPr="066A689B">
        <w:rPr>
          <w:lang w:eastAsia="en-AU"/>
        </w:rPr>
        <w:t>Domain 3 in Report Card</w:t>
      </w:r>
      <w:r>
        <w:rPr>
          <w:lang w:eastAsia="en-AU"/>
        </w:rPr>
        <w:t xml:space="preserve"> 2025</w:t>
      </w:r>
      <w:r w:rsidRPr="066A689B">
        <w:rPr>
          <w:lang w:eastAsia="en-AU"/>
        </w:rPr>
        <w:t>, the Commission considered a range of comparable frameworks, reports, reviews and strategies to identify how the system is commonly understood and measured. To build on this evidence and begin to move towards the establishment of a revised domain,</w:t>
      </w:r>
      <w:r w:rsidRPr="00E122D4">
        <w:rPr>
          <w:lang w:eastAsia="en-AU"/>
        </w:rPr>
        <w:t xml:space="preserve"> the Commission established a small working group with a cross-section of organisations with relevant expertise, including lived experience, policy, data and measurement. This group provided guidance to assist the development of </w:t>
      </w:r>
      <w:r w:rsidRPr="066A689B">
        <w:rPr>
          <w:lang w:eastAsia="en-AU"/>
        </w:rPr>
        <w:t xml:space="preserve">Mental </w:t>
      </w:r>
      <w:r>
        <w:rPr>
          <w:lang w:eastAsia="en-AU"/>
        </w:rPr>
        <w:t>h</w:t>
      </w:r>
      <w:r w:rsidRPr="066A689B">
        <w:rPr>
          <w:lang w:eastAsia="en-AU"/>
        </w:rPr>
        <w:t>ealth system</w:t>
      </w:r>
      <w:r>
        <w:rPr>
          <w:lang w:eastAsia="en-AU"/>
        </w:rPr>
        <w:t xml:space="preserve">: </w:t>
      </w:r>
      <w:r w:rsidRPr="066A689B">
        <w:rPr>
          <w:lang w:eastAsia="en-AU"/>
        </w:rPr>
        <w:t>Domain 3</w:t>
      </w:r>
      <w:r>
        <w:rPr>
          <w:lang w:eastAsia="en-AU"/>
        </w:rPr>
        <w:t>, including considering:</w:t>
      </w:r>
    </w:p>
    <w:p w14:paraId="75A6B394" w14:textId="77777777" w:rsidR="00406C56" w:rsidRPr="00272105" w:rsidRDefault="00406C56" w:rsidP="00406C56">
      <w:pPr>
        <w:pStyle w:val="ListBullet"/>
      </w:pPr>
      <w:r w:rsidRPr="00272105">
        <w:t xml:space="preserve">How we can best conceptualise and describe the </w:t>
      </w:r>
      <w:proofErr w:type="gramStart"/>
      <w:r w:rsidRPr="00272105">
        <w:t>domain</w:t>
      </w:r>
      <w:proofErr w:type="gramEnd"/>
      <w:r>
        <w:t xml:space="preserve"> </w:t>
      </w:r>
      <w:r w:rsidRPr="00272105">
        <w:t>so it effectively encompasses the ‘mental health system’, including its purpose and scope</w:t>
      </w:r>
      <w:r>
        <w:t>.</w:t>
      </w:r>
      <w:r w:rsidRPr="00272105">
        <w:t> </w:t>
      </w:r>
    </w:p>
    <w:p w14:paraId="17443545" w14:textId="3CFB26D8" w:rsidR="00406C56" w:rsidRPr="00272105" w:rsidRDefault="00406C56" w:rsidP="00406C56">
      <w:pPr>
        <w:pStyle w:val="ListBullet"/>
      </w:pPr>
      <w:r w:rsidRPr="00272105">
        <w:t>The identification and logical flow or hierarchy of the domain’s sub themes (accessibility, continuity</w:t>
      </w:r>
      <w:r>
        <w:t xml:space="preserve"> and integration of care</w:t>
      </w:r>
      <w:r w:rsidRPr="00272105">
        <w:t>, safety</w:t>
      </w:r>
      <w:r>
        <w:t xml:space="preserve"> and quality</w:t>
      </w:r>
      <w:r w:rsidRPr="00272105">
        <w:t>,</w:t>
      </w:r>
      <w:r w:rsidRPr="00272105">
        <w:rPr>
          <w:rFonts w:ascii="Arial" w:hAnsi="Arial" w:cs="Arial"/>
        </w:rPr>
        <w:t> </w:t>
      </w:r>
      <w:r w:rsidRPr="00272105">
        <w:t>sustainability</w:t>
      </w:r>
      <w:r w:rsidRPr="00272105">
        <w:rPr>
          <w:rFonts w:ascii="Arial" w:hAnsi="Arial" w:cs="Arial"/>
        </w:rPr>
        <w:t> </w:t>
      </w:r>
      <w:r w:rsidRPr="00272105">
        <w:t>and efficiency</w:t>
      </w:r>
      <w:r>
        <w:t>, effectiveness</w:t>
      </w:r>
      <w:r w:rsidRPr="00272105">
        <w:t>)</w:t>
      </w:r>
      <w:r>
        <w:t>.</w:t>
      </w:r>
      <w:r w:rsidRPr="00272105">
        <w:t>  </w:t>
      </w:r>
    </w:p>
    <w:p w14:paraId="2EBC5F53" w14:textId="77777777" w:rsidR="00406C56" w:rsidRPr="00272105" w:rsidRDefault="00406C56" w:rsidP="00406C56">
      <w:pPr>
        <w:pStyle w:val="ListBullet"/>
      </w:pPr>
      <w:r w:rsidRPr="00272105">
        <w:t>Framing the ‘guiding questions’ within the domain so they effectively guide areas for enquiry and ensure a focus on people rather than the system</w:t>
      </w:r>
      <w:r>
        <w:t>.</w:t>
      </w:r>
      <w:r w:rsidRPr="00272105">
        <w:t>  </w:t>
      </w:r>
    </w:p>
    <w:p w14:paraId="0BA1C308" w14:textId="572055DA" w:rsidR="00406C56" w:rsidRPr="00272105" w:rsidRDefault="00406C56" w:rsidP="00406C56">
      <w:pPr>
        <w:pStyle w:val="ListBullet"/>
      </w:pPr>
      <w:r w:rsidRPr="00272105">
        <w:t>Refining indicators that answer the guiding questions, to enable monitoring what is important while minimising duplication</w:t>
      </w:r>
      <w:r w:rsidR="001D447A">
        <w:t>.</w:t>
      </w:r>
      <w:r w:rsidRPr="00272105">
        <w:t> </w:t>
      </w:r>
    </w:p>
    <w:p w14:paraId="57C3AF25" w14:textId="0E8A7B78" w:rsidR="00406C56" w:rsidRPr="006813F4" w:rsidRDefault="00406C56" w:rsidP="00406C56">
      <w:pPr>
        <w:pStyle w:val="ListBullet"/>
      </w:pPr>
      <w:r w:rsidRPr="00272105">
        <w:t>Exploring current and potential future data sources for indicators (including where the Commission can highlight data gaps for consideration by relevant authorities). </w:t>
      </w:r>
    </w:p>
    <w:p w14:paraId="092302D9" w14:textId="07B0BDB8" w:rsidR="00406C56" w:rsidRDefault="00406C56" w:rsidP="00406C56">
      <w:pPr>
        <w:rPr>
          <w:lang w:val="en-AU" w:eastAsia="en-AU"/>
        </w:rPr>
      </w:pPr>
      <w:r w:rsidRPr="066A689B">
        <w:rPr>
          <w:lang w:val="en-AU" w:eastAsia="en-AU"/>
        </w:rPr>
        <w:t>Informed by the considered input from the group, the Commission has included an initial version of the Mental health system</w:t>
      </w:r>
      <w:r>
        <w:rPr>
          <w:lang w:val="en-AU" w:eastAsia="en-AU"/>
        </w:rPr>
        <w:t>: D</w:t>
      </w:r>
      <w:r w:rsidRPr="066A689B">
        <w:rPr>
          <w:lang w:val="en-AU" w:eastAsia="en-AU"/>
        </w:rPr>
        <w:t>omain 3 in Report Card 2025</w:t>
      </w:r>
      <w:r>
        <w:rPr>
          <w:lang w:val="en-AU" w:eastAsia="en-AU"/>
        </w:rPr>
        <w:t xml:space="preserve">. </w:t>
      </w:r>
      <w:r w:rsidRPr="066A689B">
        <w:rPr>
          <w:lang w:val="en-AU" w:eastAsia="en-AU"/>
        </w:rPr>
        <w:t xml:space="preserve">The Commission intends to continue to build </w:t>
      </w:r>
      <w:r>
        <w:rPr>
          <w:lang w:val="en-AU" w:eastAsia="en-AU"/>
        </w:rPr>
        <w:t>on</w:t>
      </w:r>
      <w:r w:rsidRPr="066A689B">
        <w:rPr>
          <w:lang w:val="en-AU" w:eastAsia="en-AU"/>
        </w:rPr>
        <w:t xml:space="preserve"> this domain in future Report Card editions over time, as further data and evidence becomes available and informed by people with lived experience and consumers and carers</w:t>
      </w:r>
      <w:r>
        <w:rPr>
          <w:lang w:val="en-AU" w:eastAsia="en-AU"/>
        </w:rPr>
        <w:t>, as well as feedback</w:t>
      </w:r>
      <w:r w:rsidRPr="066A689B">
        <w:rPr>
          <w:lang w:val="en-AU" w:eastAsia="en-AU"/>
        </w:rPr>
        <w:t> from the sector.</w:t>
      </w:r>
    </w:p>
    <w:p w14:paraId="1F310198" w14:textId="226AE641" w:rsidR="00406C56" w:rsidRDefault="00997BAE" w:rsidP="00406C56">
      <w:pPr>
        <w:rPr>
          <w:lang w:val="en-AU" w:eastAsia="en-AU"/>
        </w:rPr>
      </w:pPr>
      <w:r w:rsidRPr="002F7DA4">
        <w:rPr>
          <w:rStyle w:val="Hyperlink"/>
          <w:noProof/>
        </w:rPr>
        <mc:AlternateContent>
          <mc:Choice Requires="wps">
            <w:drawing>
              <wp:anchor distT="0" distB="0" distL="114300" distR="114300" simplePos="0" relativeHeight="251658373" behindDoc="1" locked="0" layoutInCell="1" allowOverlap="1" wp14:anchorId="1595739D" wp14:editId="7730B833">
                <wp:simplePos x="0" y="0"/>
                <wp:positionH relativeFrom="page">
                  <wp:posOffset>749935</wp:posOffset>
                </wp:positionH>
                <wp:positionV relativeFrom="page">
                  <wp:posOffset>4930748</wp:posOffset>
                </wp:positionV>
                <wp:extent cx="6147435" cy="2969537"/>
                <wp:effectExtent l="0" t="0" r="12065" b="15240"/>
                <wp:wrapNone/>
                <wp:docPr id="448926286" name="Rectangle 4489262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435" cy="2969537"/>
                        </a:xfrm>
                        <a:prstGeom prst="rect">
                          <a:avLst/>
                        </a:prstGeom>
                        <a:solidFill>
                          <a:srgbClr val="FCFDF3"/>
                        </a:solidFill>
                        <a:ln>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20208D2" id="Rectangle 448926286" o:spid="_x0000_s1026" alt="&quot;&quot;" style="position:absolute;margin-left:59.05pt;margin-top:388.25pt;width:484.05pt;height:233.8pt;z-index:-2516581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" fillcolor="#fcfdf3" strokecolor="#008142 [3208]" strokeweight="1pt">
                <w10:wrap anchorx="page" anchory="page"/>
              </v:rect>
            </w:pict>
          </mc:Fallback>
        </mc:AlternateContent>
      </w:r>
    </w:p>
    <w:p w14:paraId="3616F7FD" w14:textId="37F13F07" w:rsidR="00406C56" w:rsidRPr="000D1C5F" w:rsidRDefault="00406C56" w:rsidP="00406C56">
      <w:pPr>
        <w:pStyle w:val="Heading2"/>
      </w:pPr>
      <w:r w:rsidRPr="000D1C5F">
        <w:t>Box 14</w:t>
      </w:r>
      <w:r w:rsidR="003421E6">
        <w:t xml:space="preserve"> – Working with available data and acknowledging its limitations</w:t>
      </w:r>
      <w:r w:rsidRPr="000D1C5F">
        <w:t xml:space="preserve"> </w:t>
      </w:r>
    </w:p>
    <w:p w14:paraId="2A348199" w14:textId="49A238AB" w:rsidR="00406C56" w:rsidRPr="000D1C5F" w:rsidRDefault="00406C56" w:rsidP="00406C56">
      <w:pPr>
        <w:pStyle w:val="Heading3"/>
      </w:pPr>
      <w:r w:rsidRPr="000D1C5F">
        <w:t>Why are there some indicators with no national data sources identified?</w:t>
      </w:r>
    </w:p>
    <w:p w14:paraId="3B5C9882" w14:textId="77777777" w:rsidR="00406C56" w:rsidRPr="000D1C5F" w:rsidRDefault="00406C56" w:rsidP="00406C56">
      <w:r w:rsidRPr="000D1C5F">
        <w:t xml:space="preserve">The approach to the Mental health system: Domain 3 has been to identify the guiding questions and indicators that matter most to understand the mental health system – even where there is no data currently available. Through this approach the Report Card focuses on the areas identified as being important to monitor and report, as defined through stakeholder consultation, review of public reports and reviews of mental health in Australia, as well as peer-reviewed literature. This aims to avoid bias that can arise from measuring only those areas where there is currently data available. </w:t>
      </w:r>
    </w:p>
    <w:p w14:paraId="6A538977" w14:textId="77777777" w:rsidR="00406C56" w:rsidRPr="000D1C5F" w:rsidRDefault="00406C56" w:rsidP="00406C56">
      <w:pPr>
        <w:pStyle w:val="Heading3"/>
      </w:pPr>
      <w:r w:rsidRPr="000D1C5F">
        <w:t>Work to improve data and evidence</w:t>
      </w:r>
    </w:p>
    <w:p w14:paraId="21CD9D0F" w14:textId="77777777" w:rsidR="00406C56" w:rsidRDefault="00406C56" w:rsidP="00406C56">
      <w:r w:rsidRPr="000D1C5F">
        <w:t>As identified throughout domain 3, the Commission is working closely with data custodians and broader stakeholders to make the most of available data and build evidence where appropriate and aligned with the Commission’s role and scope. As foreshadowed in Report Card 2024, a key part of this has included work to partner with MHA to scope the current and potential future role for non-government sector data as an evidence source for Report Card. This occurs alongside broader activity in the Commission to improve understanding of the effectiveness of our mental health system.</w:t>
      </w:r>
    </w:p>
    <w:p w14:paraId="680F0178" w14:textId="77777777" w:rsidR="00406C56" w:rsidRPr="000D1C5F" w:rsidRDefault="00406C56" w:rsidP="00406C56">
      <w:pPr>
        <w:rPr>
          <w:lang w:val="en-AU" w:eastAsia="en-AU"/>
        </w:rPr>
      </w:pPr>
    </w:p>
    <w:p w14:paraId="1A55BFC3" w14:textId="77777777" w:rsidR="00991AA0" w:rsidRDefault="00991AA0">
      <w:pPr>
        <w:suppressAutoHyphens w:val="0"/>
        <w:autoSpaceDE/>
        <w:autoSpaceDN/>
        <w:adjustRightInd/>
        <w:spacing w:after="0" w:line="240" w:lineRule="auto"/>
        <w:textAlignment w:val="auto"/>
        <w:rPr>
          <w:rFonts w:eastAsiaTheme="majorEastAsia" w:cstheme="majorBidi"/>
          <w:color w:val="171717" w:themeColor="background2" w:themeShade="1A"/>
          <w:sz w:val="24"/>
          <w:szCs w:val="26"/>
          <w:lang w:eastAsia="en-AU"/>
        </w:rPr>
      </w:pPr>
      <w:r>
        <w:br w:type="page"/>
      </w:r>
    </w:p>
    <w:p w14:paraId="22B83B34" w14:textId="418805DD" w:rsidR="00406C56" w:rsidRDefault="00406C56" w:rsidP="00406C56">
      <w:pPr>
        <w:pStyle w:val="Heading2"/>
      </w:pPr>
      <w:r w:rsidRPr="00EA0EF9">
        <w:lastRenderedPageBreak/>
        <w:t xml:space="preserve">2025 Environmental Scan (January 2025 to December 2025) </w:t>
      </w:r>
    </w:p>
    <w:p w14:paraId="10C3EEDE" w14:textId="77777777" w:rsidR="00406C56" w:rsidRPr="006813F4" w:rsidRDefault="00406C56" w:rsidP="00406C56">
      <w:pPr>
        <w:rPr>
          <w:rFonts w:ascii="Aptos" w:eastAsiaTheme="majorEastAsia" w:hAnsi="Aptos" w:cstheme="majorBidi"/>
          <w:color w:val="008143"/>
          <w:sz w:val="26"/>
          <w:szCs w:val="26"/>
        </w:rPr>
      </w:pPr>
      <w:r w:rsidRPr="00EA0EF9">
        <w:rPr>
          <w:lang w:val="en-AU" w:eastAsia="en-AU"/>
        </w:rPr>
        <w:t xml:space="preserve">Elsewhere, the Commission continues to refine its approach to undertaking the retrospective </w:t>
      </w:r>
      <w:r>
        <w:rPr>
          <w:lang w:val="en-AU" w:eastAsia="en-AU"/>
        </w:rPr>
        <w:t>E</w:t>
      </w:r>
      <w:r w:rsidRPr="00EA0EF9">
        <w:rPr>
          <w:lang w:val="en-AU" w:eastAsia="en-AU"/>
        </w:rPr>
        <w:t xml:space="preserve">nvironmental </w:t>
      </w:r>
      <w:r>
        <w:rPr>
          <w:lang w:val="en-AU" w:eastAsia="en-AU"/>
        </w:rPr>
        <w:t>S</w:t>
      </w:r>
      <w:r w:rsidRPr="00EA0EF9">
        <w:rPr>
          <w:lang w:val="en-AU" w:eastAsia="en-AU"/>
        </w:rPr>
        <w:t>can of major events and trends that occurred in the calendar year</w:t>
      </w:r>
      <w:r>
        <w:rPr>
          <w:lang w:val="en-AU" w:eastAsia="en-AU"/>
        </w:rPr>
        <w:t xml:space="preserve">. This seeks to build </w:t>
      </w:r>
      <w:r w:rsidRPr="00EA0EF9">
        <w:rPr>
          <w:lang w:val="en-AU" w:eastAsia="en-AU"/>
        </w:rPr>
        <w:t>understand</w:t>
      </w:r>
      <w:r>
        <w:rPr>
          <w:lang w:val="en-AU" w:eastAsia="en-AU"/>
        </w:rPr>
        <w:t>ing of</w:t>
      </w:r>
      <w:r w:rsidRPr="00EA0EF9">
        <w:rPr>
          <w:lang w:val="en-AU" w:eastAsia="en-AU"/>
        </w:rPr>
        <w:t xml:space="preserve"> factors that had the potential to impact the mental health of people in Australia and to contextualise the data shown in the Report Card</w:t>
      </w:r>
      <w:r>
        <w:rPr>
          <w:lang w:val="en-AU" w:eastAsia="en-AU"/>
        </w:rPr>
        <w:t xml:space="preserve">. </w:t>
      </w:r>
    </w:p>
    <w:p w14:paraId="47AF7E3C" w14:textId="77777777" w:rsidR="00406C56" w:rsidRPr="00CF4134" w:rsidRDefault="00406C56" w:rsidP="00406C56">
      <w:pPr>
        <w:pStyle w:val="NormalBeforeBullet"/>
      </w:pPr>
      <w:r w:rsidRPr="00CF4134">
        <w:t>Each event/trend that emerged was assessed based on:</w:t>
      </w:r>
    </w:p>
    <w:p w14:paraId="328A977E" w14:textId="77777777" w:rsidR="00406C56" w:rsidRPr="006813F4" w:rsidRDefault="00406C56" w:rsidP="00406C56">
      <w:pPr>
        <w:pStyle w:val="ListBullet"/>
      </w:pPr>
      <w:r w:rsidRPr="006813F4">
        <w:t>The estimated reach and size of the expected impact on the mental health of people in Australia</w:t>
      </w:r>
    </w:p>
    <w:p w14:paraId="09E2927F" w14:textId="77777777" w:rsidR="00406C56" w:rsidRPr="006813F4" w:rsidRDefault="00406C56" w:rsidP="00406C56">
      <w:pPr>
        <w:pStyle w:val="ListBullet"/>
      </w:pPr>
      <w:r w:rsidRPr="006813F4">
        <w:t>The strength of the evidence supporting a potential link between the event/trend and mental health outcomes, and</w:t>
      </w:r>
    </w:p>
    <w:p w14:paraId="541ABDD2" w14:textId="77777777" w:rsidR="00406C56" w:rsidRPr="006813F4" w:rsidRDefault="00406C56" w:rsidP="00406C56">
      <w:pPr>
        <w:pStyle w:val="ListBullet"/>
      </w:pPr>
      <w:r w:rsidRPr="006813F4">
        <w:t xml:space="preserve">The general relevance of the event/trend to the mental health of people in Australia. </w:t>
      </w:r>
    </w:p>
    <w:p w14:paraId="20F0F729" w14:textId="77777777" w:rsidR="00406C56" w:rsidRDefault="00406C56" w:rsidP="00406C56">
      <w:pPr>
        <w:rPr>
          <w:lang w:val="en-AU" w:eastAsia="en-AU"/>
        </w:rPr>
      </w:pPr>
      <w:r w:rsidRPr="00EA0EF9">
        <w:rPr>
          <w:lang w:val="en-AU" w:eastAsia="en-AU"/>
        </w:rPr>
        <w:t xml:space="preserve">Several key themes emerged based on this evaluation that are discussed in </w:t>
      </w:r>
      <w:r>
        <w:rPr>
          <w:lang w:val="en-AU" w:eastAsia="en-AU"/>
        </w:rPr>
        <w:t xml:space="preserve">this section, with more detail explored through the </w:t>
      </w:r>
      <w:r w:rsidRPr="00DD2C5E">
        <w:rPr>
          <w:lang w:val="en-AU" w:eastAsia="en-AU"/>
        </w:rPr>
        <w:t>Extended Enviro</w:t>
      </w:r>
      <w:r>
        <w:rPr>
          <w:lang w:val="en-AU" w:eastAsia="en-AU"/>
        </w:rPr>
        <w:t>nmental</w:t>
      </w:r>
      <w:r w:rsidRPr="00DD2C5E">
        <w:rPr>
          <w:lang w:val="en-AU" w:eastAsia="en-AU"/>
        </w:rPr>
        <w:t xml:space="preserve"> Scan,</w:t>
      </w:r>
      <w:r w:rsidRPr="00EA0EF9">
        <w:rPr>
          <w:lang w:val="en-AU" w:eastAsia="en-AU"/>
        </w:rPr>
        <w:t xml:space="preserve"> and although they are discussed individually, they are highly interconnected. These provide insight into the contextual environment of the calendar year and are intended to frame the changes in mental health outcomes described in the Report Card without suggesting they had a causal impact</w:t>
      </w:r>
      <w:r>
        <w:rPr>
          <w:lang w:val="en-AU" w:eastAsia="en-AU"/>
        </w:rPr>
        <w:t xml:space="preserve">. </w:t>
      </w:r>
    </w:p>
    <w:p w14:paraId="57469983" w14:textId="77777777" w:rsidR="00406C56" w:rsidRDefault="00406C56" w:rsidP="00406C56">
      <w:pPr>
        <w:rPr>
          <w:lang w:val="en-AU" w:eastAsia="en-AU"/>
        </w:rPr>
      </w:pPr>
      <w:r>
        <w:rPr>
          <w:lang w:val="en-AU" w:eastAsia="en-AU"/>
        </w:rPr>
        <w:t xml:space="preserve">Our environmental scanning also acts as an opportunity to identify emerging trends which may eventually warrant more regular monitoring and analysis over time, such as through potential incorporation into our Report Card Reporting Framework. </w:t>
      </w:r>
    </w:p>
    <w:p w14:paraId="7D86CAAC" w14:textId="6E349BAB" w:rsidR="004250BE" w:rsidRPr="004E5D44" w:rsidRDefault="004250BE" w:rsidP="004E5D44">
      <w:pPr>
        <w:pStyle w:val="Heading2"/>
      </w:pPr>
      <w:r w:rsidRPr="004E5D44">
        <w:t xml:space="preserve">Future Directions </w:t>
      </w:r>
      <w:r w:rsidR="00AF7B1B">
        <w:t>to</w:t>
      </w:r>
      <w:r w:rsidRPr="004E5D44">
        <w:t xml:space="preserve"> our Reporting Framework</w:t>
      </w:r>
    </w:p>
    <w:p w14:paraId="371A16C8" w14:textId="77777777" w:rsidR="004250BE" w:rsidRPr="00CD757E" w:rsidRDefault="004250BE" w:rsidP="004250BE">
      <w:pPr>
        <w:rPr>
          <w:lang w:val="en-AU" w:eastAsia="en-AU"/>
        </w:rPr>
      </w:pPr>
      <w:r w:rsidRPr="00EA0EF9">
        <w:rPr>
          <w:lang w:val="en-AU" w:eastAsia="en-AU"/>
        </w:rPr>
        <w:t xml:space="preserve">As part of an iterative approach to improving National Report Card over time, the Commission </w:t>
      </w:r>
      <w:r>
        <w:rPr>
          <w:lang w:val="en-AU" w:eastAsia="en-AU"/>
        </w:rPr>
        <w:t>intends</w:t>
      </w:r>
      <w:r w:rsidRPr="00EA0EF9">
        <w:rPr>
          <w:lang w:val="en-AU" w:eastAsia="en-AU"/>
        </w:rPr>
        <w:t xml:space="preserve"> to undertake </w:t>
      </w:r>
      <w:r>
        <w:rPr>
          <w:lang w:val="en-AU" w:eastAsia="en-AU"/>
        </w:rPr>
        <w:t>a range of</w:t>
      </w:r>
      <w:r w:rsidRPr="00EA0EF9">
        <w:rPr>
          <w:lang w:val="en-AU" w:eastAsia="en-AU"/>
        </w:rPr>
        <w:t xml:space="preserve"> work </w:t>
      </w:r>
      <w:r>
        <w:rPr>
          <w:lang w:val="en-AU" w:eastAsia="en-AU"/>
        </w:rPr>
        <w:t xml:space="preserve">in coming years to improve our understanding of mental health and the outcomes our support systems are achieving. </w:t>
      </w:r>
    </w:p>
    <w:p w14:paraId="7EE8B884" w14:textId="77777777" w:rsidR="004250BE" w:rsidRPr="00CD757E" w:rsidRDefault="004250BE" w:rsidP="004250BE">
      <w:pPr>
        <w:rPr>
          <w:lang w:val="en-AU" w:eastAsia="en-AU"/>
        </w:rPr>
      </w:pPr>
      <w:r w:rsidRPr="066A689B">
        <w:rPr>
          <w:lang w:val="en-AU" w:eastAsia="en-AU"/>
        </w:rPr>
        <w:t xml:space="preserve">Our </w:t>
      </w:r>
      <w:r>
        <w:rPr>
          <w:lang w:val="en-AU" w:eastAsia="en-AU"/>
        </w:rPr>
        <w:t>R</w:t>
      </w:r>
      <w:r w:rsidRPr="066A689B">
        <w:rPr>
          <w:lang w:val="en-AU" w:eastAsia="en-AU"/>
        </w:rPr>
        <w:t xml:space="preserve">eporting </w:t>
      </w:r>
      <w:r>
        <w:rPr>
          <w:lang w:val="en-AU" w:eastAsia="en-AU"/>
        </w:rPr>
        <w:t>F</w:t>
      </w:r>
      <w:r w:rsidRPr="066A689B">
        <w:rPr>
          <w:lang w:val="en-AU" w:eastAsia="en-AU"/>
        </w:rPr>
        <w:t>ramework represents a strong foundation on which to build</w:t>
      </w:r>
      <w:r>
        <w:rPr>
          <w:lang w:val="en-AU" w:eastAsia="en-AU"/>
        </w:rPr>
        <w:t>. T</w:t>
      </w:r>
      <w:r w:rsidRPr="066A689B">
        <w:rPr>
          <w:lang w:val="en-AU" w:eastAsia="en-AU"/>
        </w:rPr>
        <w:t>he Commission will evolve our approach as evidence, data availability and community and sector views change.</w:t>
      </w:r>
      <w:r>
        <w:rPr>
          <w:lang w:val="en-AU" w:eastAsia="en-AU"/>
        </w:rPr>
        <w:t xml:space="preserve"> I</w:t>
      </w:r>
      <w:r w:rsidRPr="066A689B">
        <w:rPr>
          <w:lang w:val="en-AU" w:eastAsia="en-AU"/>
        </w:rPr>
        <w:t xml:space="preserve">n line with the approach to develop the Mental </w:t>
      </w:r>
      <w:r>
        <w:rPr>
          <w:lang w:val="en-AU" w:eastAsia="en-AU"/>
        </w:rPr>
        <w:t>H</w:t>
      </w:r>
      <w:r w:rsidRPr="066A689B">
        <w:rPr>
          <w:lang w:val="en-AU" w:eastAsia="en-AU"/>
        </w:rPr>
        <w:t xml:space="preserve">ealth </w:t>
      </w:r>
      <w:r>
        <w:rPr>
          <w:lang w:val="en-AU" w:eastAsia="en-AU"/>
        </w:rPr>
        <w:t>S</w:t>
      </w:r>
      <w:r w:rsidRPr="066A689B">
        <w:rPr>
          <w:lang w:val="en-AU" w:eastAsia="en-AU"/>
        </w:rPr>
        <w:t>ystem</w:t>
      </w:r>
      <w:r>
        <w:rPr>
          <w:lang w:val="en-AU" w:eastAsia="en-AU"/>
        </w:rPr>
        <w:t xml:space="preserve">: </w:t>
      </w:r>
      <w:r w:rsidRPr="066A689B">
        <w:rPr>
          <w:lang w:val="en-AU" w:eastAsia="en-AU"/>
        </w:rPr>
        <w:t>Domain 3, the Commission intends to revisit the existing components of Mental health</w:t>
      </w:r>
      <w:r>
        <w:rPr>
          <w:lang w:val="en-AU" w:eastAsia="en-AU"/>
        </w:rPr>
        <w:t xml:space="preserve">: </w:t>
      </w:r>
      <w:r w:rsidRPr="066A689B">
        <w:rPr>
          <w:lang w:val="en-AU" w:eastAsia="en-AU"/>
        </w:rPr>
        <w:t>Domain</w:t>
      </w:r>
      <w:r>
        <w:rPr>
          <w:lang w:val="en-AU" w:eastAsia="en-AU"/>
        </w:rPr>
        <w:t xml:space="preserve"> 1</w:t>
      </w:r>
      <w:r w:rsidRPr="066A689B">
        <w:rPr>
          <w:lang w:val="en-AU" w:eastAsia="en-AU"/>
        </w:rPr>
        <w:t> and </w:t>
      </w:r>
      <w:proofErr w:type="gramStart"/>
      <w:r w:rsidRPr="066A689B">
        <w:rPr>
          <w:lang w:val="en-AU" w:eastAsia="en-AU"/>
        </w:rPr>
        <w:t>Social</w:t>
      </w:r>
      <w:proofErr w:type="gramEnd"/>
      <w:r w:rsidRPr="066A689B">
        <w:rPr>
          <w:lang w:val="en-AU" w:eastAsia="en-AU"/>
        </w:rPr>
        <w:t> determinants</w:t>
      </w:r>
      <w:r>
        <w:rPr>
          <w:lang w:val="en-AU" w:eastAsia="en-AU"/>
        </w:rPr>
        <w:t xml:space="preserve">: </w:t>
      </w:r>
      <w:r w:rsidRPr="066A689B">
        <w:rPr>
          <w:lang w:val="en-AU" w:eastAsia="en-AU"/>
        </w:rPr>
        <w:t>Domain 2 to ensure they are asking the questions that matter and reflect contemporary understanding of these areas</w:t>
      </w:r>
      <w:r>
        <w:rPr>
          <w:lang w:val="en-AU" w:eastAsia="en-AU"/>
        </w:rPr>
        <w:t xml:space="preserve">. </w:t>
      </w:r>
      <w:r w:rsidRPr="066A689B">
        <w:rPr>
          <w:lang w:val="en-AU" w:eastAsia="en-AU"/>
        </w:rPr>
        <w:t xml:space="preserve">We will also further consider where there are improved data sources available for inclusion in Mental </w:t>
      </w:r>
      <w:r>
        <w:rPr>
          <w:lang w:val="en-AU" w:eastAsia="en-AU"/>
        </w:rPr>
        <w:t>h</w:t>
      </w:r>
      <w:r w:rsidRPr="066A689B">
        <w:rPr>
          <w:lang w:val="en-AU" w:eastAsia="en-AU"/>
        </w:rPr>
        <w:t xml:space="preserve">ealth </w:t>
      </w:r>
      <w:r>
        <w:rPr>
          <w:lang w:val="en-AU" w:eastAsia="en-AU"/>
        </w:rPr>
        <w:t>s</w:t>
      </w:r>
      <w:r w:rsidRPr="066A689B">
        <w:rPr>
          <w:lang w:val="en-AU" w:eastAsia="en-AU"/>
        </w:rPr>
        <w:t>ystem</w:t>
      </w:r>
      <w:r>
        <w:rPr>
          <w:lang w:val="en-AU" w:eastAsia="en-AU"/>
        </w:rPr>
        <w:t>:</w:t>
      </w:r>
      <w:r w:rsidRPr="066A689B">
        <w:rPr>
          <w:lang w:val="en-AU" w:eastAsia="en-AU"/>
        </w:rPr>
        <w:t xml:space="preserve"> Domain 3.</w:t>
      </w:r>
    </w:p>
    <w:p w14:paraId="40FB9331" w14:textId="77777777" w:rsidR="004250BE" w:rsidRPr="00CD757E" w:rsidRDefault="004250BE" w:rsidP="004250BE">
      <w:pPr>
        <w:rPr>
          <w:lang w:val="en-AU" w:eastAsia="en-AU"/>
        </w:rPr>
      </w:pPr>
      <w:r w:rsidRPr="00CD757E">
        <w:rPr>
          <w:lang w:val="en-AU" w:eastAsia="en-AU"/>
        </w:rPr>
        <w:t xml:space="preserve">We recognise that quantitative data alone cannot provide a complete understanding of what is happening in </w:t>
      </w:r>
      <w:r>
        <w:rPr>
          <w:lang w:val="en-AU" w:eastAsia="en-AU"/>
        </w:rPr>
        <w:t xml:space="preserve">the </w:t>
      </w:r>
      <w:r w:rsidRPr="00CD757E">
        <w:rPr>
          <w:lang w:val="en-AU" w:eastAsia="en-AU"/>
        </w:rPr>
        <w:t>mental health </w:t>
      </w:r>
      <w:r>
        <w:rPr>
          <w:lang w:val="en-AU" w:eastAsia="en-AU"/>
        </w:rPr>
        <w:t xml:space="preserve">system in Australia </w:t>
      </w:r>
      <w:r w:rsidRPr="00CD757E">
        <w:rPr>
          <w:lang w:val="en-AU" w:eastAsia="en-AU"/>
        </w:rPr>
        <w:t>and why. The Commission is currently exploring approaches to embed diverse lived experience perspectives within the Report Card, recognising lived experience as a key form of evidence that can enrich interpretation of the data and provide insight how the mental health system is performing.</w:t>
      </w:r>
    </w:p>
    <w:p w14:paraId="01002763" w14:textId="7344DBD7" w:rsidR="004250BE" w:rsidRDefault="004250BE" w:rsidP="00406C56">
      <w:pPr>
        <w:rPr>
          <w:lang w:val="en-AU" w:eastAsia="en-AU"/>
        </w:rPr>
      </w:pPr>
      <w:r w:rsidRPr="00EA0EF9">
        <w:rPr>
          <w:lang w:val="en-AU" w:eastAsia="en-AU"/>
        </w:rPr>
        <w:t>Finally, the Commission is considering how the Report Card can best meet the needs of stakeholders, particularly those who use the report’s analysis to inform their development or implementation of mental health policy</w:t>
      </w:r>
      <w:r>
        <w:rPr>
          <w:lang w:val="en-AU" w:eastAsia="en-AU"/>
        </w:rPr>
        <w:t xml:space="preserve">. </w:t>
      </w:r>
    </w:p>
    <w:p w14:paraId="172EE025" w14:textId="77777777" w:rsidR="001937A4" w:rsidRDefault="001937A4">
      <w:pPr>
        <w:suppressAutoHyphens w:val="0"/>
        <w:autoSpaceDE/>
        <w:autoSpaceDN/>
        <w:adjustRightInd/>
        <w:spacing w:after="0" w:line="240" w:lineRule="auto"/>
        <w:textAlignment w:val="auto"/>
        <w:rPr>
          <w:rFonts w:ascii="Aptos" w:eastAsia="Times New Roman" w:hAnsi="Aptos" w:cs="Segoe UI"/>
          <w:color w:val="auto"/>
          <w:szCs w:val="18"/>
          <w:lang w:val="en-AU" w:eastAsia="en-AU"/>
        </w:rPr>
      </w:pPr>
      <w:r>
        <w:rPr>
          <w:rFonts w:ascii="Aptos" w:eastAsia="Times New Roman" w:hAnsi="Aptos" w:cs="Segoe UI"/>
          <w:color w:val="auto"/>
          <w:szCs w:val="18"/>
          <w:lang w:val="en-AU" w:eastAsia="en-AU"/>
        </w:rPr>
        <w:br w:type="page"/>
      </w:r>
    </w:p>
    <w:p w14:paraId="3BB9F8F8" w14:textId="2BAF9544" w:rsidR="00406C56" w:rsidRDefault="006258C6" w:rsidP="004E5D44">
      <w:pPr>
        <w:pStyle w:val="Heading1"/>
      </w:pPr>
      <w:bookmarkStart w:id="35" w:name="_Toc237878290"/>
      <w:r>
        <w:lastRenderedPageBreak/>
        <w:t>How</w:t>
      </w:r>
      <w:r w:rsidR="00406C56" w:rsidRPr="00BD08EA">
        <w:t xml:space="preserve"> are things tracking overall?</w:t>
      </w:r>
      <w:bookmarkEnd w:id="35"/>
    </w:p>
    <w:p w14:paraId="43035091" w14:textId="77777777" w:rsidR="00512AC7" w:rsidRPr="00BD08EA" w:rsidRDefault="00512AC7" w:rsidP="004E5D44">
      <w:pPr>
        <w:suppressAutoHyphens w:val="0"/>
        <w:autoSpaceDE/>
        <w:autoSpaceDN/>
        <w:adjustRightInd/>
        <w:spacing w:after="0" w:line="240" w:lineRule="auto"/>
        <w:textAlignment w:val="auto"/>
      </w:pPr>
    </w:p>
    <w:p w14:paraId="68911676" w14:textId="77777777" w:rsidR="00406C56" w:rsidRPr="00EB0141" w:rsidRDefault="00406C56" w:rsidP="00406C56">
      <w:pPr>
        <w:pStyle w:val="NormalBeforeBullet"/>
        <w:rPr>
          <w:rFonts w:eastAsia="Aptos"/>
        </w:rPr>
      </w:pPr>
      <w:bookmarkStart w:id="36" w:name="_Toc200632508"/>
      <w:bookmarkStart w:id="37" w:name="_Toc198735323"/>
      <w:bookmarkStart w:id="38" w:name="_Toc198901328"/>
      <w:r w:rsidRPr="00EB0141">
        <w:rPr>
          <w:rFonts w:eastAsia="Aptos"/>
        </w:rPr>
        <w:t xml:space="preserve">As highlighted in our Key </w:t>
      </w:r>
      <w:r>
        <w:rPr>
          <w:rFonts w:eastAsia="Aptos"/>
        </w:rPr>
        <w:t>Insights</w:t>
      </w:r>
      <w:r w:rsidRPr="00EB0141">
        <w:rPr>
          <w:rFonts w:eastAsia="Aptos"/>
        </w:rPr>
        <w:t>:</w:t>
      </w:r>
    </w:p>
    <w:p w14:paraId="21179AF0" w14:textId="77777777" w:rsidR="00406C56" w:rsidRPr="00EB0141" w:rsidRDefault="00406C56" w:rsidP="00406C56">
      <w:pPr>
        <w:pStyle w:val="ListBullet"/>
        <w:rPr>
          <w:rFonts w:eastAsia="Aptos"/>
        </w:rPr>
      </w:pPr>
      <w:r w:rsidRPr="00EB0141">
        <w:rPr>
          <w:rFonts w:eastAsia="Aptos"/>
        </w:rPr>
        <w:t xml:space="preserve">Need for mental health support in Australia remains </w:t>
      </w:r>
      <w:proofErr w:type="gramStart"/>
      <w:r w:rsidRPr="00EB0141">
        <w:rPr>
          <w:rFonts w:eastAsia="Aptos"/>
        </w:rPr>
        <w:t>high, but</w:t>
      </w:r>
      <w:proofErr w:type="gramEnd"/>
      <w:r w:rsidRPr="00EB0141">
        <w:rPr>
          <w:rFonts w:eastAsia="Aptos"/>
        </w:rPr>
        <w:t xml:space="preserve"> is not fully visible in the data</w:t>
      </w:r>
      <w:r>
        <w:rPr>
          <w:rFonts w:eastAsia="Aptos"/>
        </w:rPr>
        <w:t>.</w:t>
      </w:r>
    </w:p>
    <w:p w14:paraId="219FBC83" w14:textId="77777777" w:rsidR="00406C56" w:rsidRPr="00EB0141" w:rsidRDefault="00406C56" w:rsidP="00406C56">
      <w:pPr>
        <w:pStyle w:val="ListBullet"/>
        <w:rPr>
          <w:rFonts w:eastAsia="Aptos"/>
        </w:rPr>
      </w:pPr>
      <w:r w:rsidRPr="00EB0141">
        <w:rPr>
          <w:rFonts w:eastAsia="Aptos"/>
        </w:rPr>
        <w:t>Overall, people with mental health conditions face greater social pressures and poorer wellbeing outcomes</w:t>
      </w:r>
      <w:r>
        <w:rPr>
          <w:rFonts w:eastAsia="Aptos"/>
        </w:rPr>
        <w:t>.</w:t>
      </w:r>
    </w:p>
    <w:p w14:paraId="080FA078" w14:textId="77777777" w:rsidR="00406C56" w:rsidRPr="00EB0141" w:rsidRDefault="00406C56" w:rsidP="00406C56">
      <w:pPr>
        <w:pStyle w:val="ListBullet"/>
        <w:rPr>
          <w:rFonts w:eastAsia="Aptos"/>
        </w:rPr>
      </w:pPr>
      <w:r w:rsidRPr="00EB0141">
        <w:rPr>
          <w:rFonts w:eastAsia="Aptos"/>
        </w:rPr>
        <w:t>The mental health service system is doing more, but uneven access, system fragmentation and</w:t>
      </w:r>
      <w:r>
        <w:rPr>
          <w:rFonts w:eastAsia="Aptos"/>
        </w:rPr>
        <w:t xml:space="preserve"> d</w:t>
      </w:r>
      <w:r w:rsidRPr="00EB0141">
        <w:rPr>
          <w:rFonts w:eastAsia="Aptos"/>
        </w:rPr>
        <w:t xml:space="preserve">ata gaps limit impact and opportunity to improve. </w:t>
      </w:r>
    </w:p>
    <w:p w14:paraId="5A8BDBE2" w14:textId="77777777" w:rsidR="00406C56" w:rsidRPr="00EB0141" w:rsidRDefault="00406C56" w:rsidP="00406C56">
      <w:r w:rsidRPr="00EB0141">
        <w:t>Our observations highlight the need for future reform to focus on prevention, service system improvement, workforce growth, and strong national data. Australia must strengthen prevention by addressing the social and economic factors that influence mental health and wellbeing, while also improving the mental health system so people can access the right support earlier, regardless of where they live or their personal circumstances.</w:t>
      </w:r>
    </w:p>
    <w:p w14:paraId="427F4119" w14:textId="77777777" w:rsidR="00406C56" w:rsidRDefault="00406C56" w:rsidP="00406C56">
      <w:r w:rsidRPr="00EB0141">
        <w:t>This includes continuing efforts to promote social inclusion, reduce stigma and discrimination, and ensure key services</w:t>
      </w:r>
      <w:r>
        <w:t xml:space="preserve">, </w:t>
      </w:r>
      <w:r w:rsidRPr="00EB0141">
        <w:t>such as housing, employment, education and community support</w:t>
      </w:r>
      <w:r>
        <w:t xml:space="preserve">, </w:t>
      </w:r>
      <w:r w:rsidRPr="00EB0141">
        <w:t>can effectively respond to people with mental health needs, particularly those facing multiple and overlapping forms of disadvantage.</w:t>
      </w:r>
    </w:p>
    <w:p w14:paraId="26F12750" w14:textId="77777777" w:rsidR="00406C56" w:rsidRPr="0069338B" w:rsidRDefault="00406C56" w:rsidP="00406C56">
      <w:pPr>
        <w:rPr>
          <w:lang w:val="en-AU"/>
        </w:rPr>
      </w:pPr>
      <w:r w:rsidRPr="0069338B">
        <w:rPr>
          <w:lang w:val="en-AU"/>
        </w:rPr>
        <w:t>There are significant opportunities to improve mental health service planning so that services better meet community needs, provide support earlier, and ensure timely access to affordable care for those who need it. Ongoing effort is also needed to build and sustain a skilled mental health workforce across all roles, in line with the National Mental Health Workforce Strategy 2022–2032.</w:t>
      </w:r>
    </w:p>
    <w:p w14:paraId="0C7DE9A1" w14:textId="77777777" w:rsidR="00406C56" w:rsidRPr="0069338B" w:rsidRDefault="00406C56" w:rsidP="00406C56">
      <w:pPr>
        <w:rPr>
          <w:lang w:val="en-AU"/>
        </w:rPr>
      </w:pPr>
      <w:r w:rsidRPr="0069338B">
        <w:rPr>
          <w:lang w:val="en-AU"/>
        </w:rPr>
        <w:t>By strengthening both service planning and workforce capacity, Australia can improve access to the right care at the right time and better support positive mental health outcomes.</w:t>
      </w:r>
    </w:p>
    <w:bookmarkEnd w:id="36"/>
    <w:bookmarkEnd w:id="37"/>
    <w:bookmarkEnd w:id="38"/>
    <w:p w14:paraId="5578767E" w14:textId="77777777" w:rsidR="00406C56" w:rsidRDefault="00406C56" w:rsidP="00406C56">
      <w:r w:rsidRPr="00EB0141">
        <w:t>The Commission will continue to refine the Reporting Framework to ensure it reflects emerging issues and trends affecting mental health in Australia. This will help build a clearer picture of where reform is delivering meaningful improvements.</w:t>
      </w:r>
    </w:p>
    <w:p w14:paraId="62E97D1A" w14:textId="77777777" w:rsidR="00F86D41" w:rsidRDefault="00F86D41" w:rsidP="00406C56">
      <w:pPr>
        <w:sectPr w:rsidR="00F86D41" w:rsidSect="001D15E1">
          <w:footnotePr>
            <w:numFmt w:val="lowerRoman"/>
          </w:footnotePr>
          <w:endnotePr>
            <w:numFmt w:val="decimal"/>
          </w:endnotePr>
          <w:type w:val="continuous"/>
          <w:pgSz w:w="11906" w:h="16838" w:code="9"/>
          <w:pgMar w:top="1440" w:right="1440" w:bottom="1440" w:left="1440" w:header="1134" w:footer="567" w:gutter="0"/>
          <w:cols w:space="708"/>
          <w:noEndnote/>
          <w:docGrid w:linePitch="360"/>
        </w:sectPr>
      </w:pPr>
    </w:p>
    <w:p w14:paraId="58F9A460" w14:textId="51DF81A9" w:rsidR="00F86D41" w:rsidRDefault="00F86D41" w:rsidP="00F86D41">
      <w:pPr>
        <w:pStyle w:val="Heading1"/>
      </w:pPr>
      <w:bookmarkStart w:id="39" w:name="_Toc237878291"/>
      <w:r>
        <w:lastRenderedPageBreak/>
        <w:t>Acronyms and abbreviations</w:t>
      </w:r>
      <w:bookmarkEnd w:id="39"/>
    </w:p>
    <w:p w14:paraId="7C23C998" w14:textId="77777777" w:rsidR="00F86D41" w:rsidRDefault="00F86D41" w:rsidP="00F86D41"/>
    <w:p w14:paraId="03F9BA71" w14:textId="77777777" w:rsidR="00F86D41" w:rsidRDefault="00F86D41" w:rsidP="00F86D41">
      <w:pPr>
        <w:pStyle w:val="NMHCAcronymAbbreviation"/>
        <w:sectPr w:rsidR="00F86D41" w:rsidSect="00350F14">
          <w:headerReference w:type="even" r:id="rId187"/>
          <w:headerReference w:type="default" r:id="rId188"/>
          <w:footerReference w:type="even" r:id="rId189"/>
          <w:footerReference w:type="default" r:id="rId190"/>
          <w:headerReference w:type="first" r:id="rId191"/>
          <w:endnotePr>
            <w:numFmt w:val="decimal"/>
          </w:endnotePr>
          <w:pgSz w:w="11900" w:h="16840"/>
          <w:pgMar w:top="1701" w:right="1134" w:bottom="1701" w:left="1134" w:header="1134" w:footer="567" w:gutter="0"/>
          <w:cols w:space="708"/>
          <w:noEndnote/>
          <w:titlePg/>
          <w:docGrid w:linePitch="360"/>
        </w:sectPr>
      </w:pPr>
    </w:p>
    <w:tbl>
      <w:tblPr>
        <w:tblStyle w:val="TableGrid"/>
        <w:tblW w:w="0" w:type="auto"/>
        <w:tblLook w:val="04A0" w:firstRow="1" w:lastRow="0" w:firstColumn="1" w:lastColumn="0" w:noHBand="0" w:noVBand="1"/>
      </w:tblPr>
      <w:tblGrid>
        <w:gridCol w:w="1134"/>
        <w:gridCol w:w="3309"/>
        <w:gridCol w:w="18"/>
      </w:tblGrid>
      <w:tr w:rsidR="00F86D41" w14:paraId="7581D2EF" w14:textId="77777777" w:rsidTr="007140DC">
        <w:trPr>
          <w:gridAfter w:val="1"/>
          <w:wAfter w:w="18" w:type="dxa"/>
          <w:trHeight w:val="210"/>
        </w:trPr>
        <w:tc>
          <w:tcPr>
            <w:tcW w:w="1134" w:type="dxa"/>
            <w:vAlign w:val="center"/>
          </w:tcPr>
          <w:p w14:paraId="1E723C06" w14:textId="77777777" w:rsidR="00F86D41" w:rsidRPr="000C32D4" w:rsidRDefault="00F86D41" w:rsidP="009D015F">
            <w:pPr>
              <w:pStyle w:val="NMHCAcronymAbbreviation"/>
              <w:rPr>
                <w:szCs w:val="18"/>
              </w:rPr>
            </w:pPr>
            <w:r w:rsidRPr="000C32D4">
              <w:rPr>
                <w:szCs w:val="18"/>
              </w:rPr>
              <w:t>ABS</w:t>
            </w:r>
          </w:p>
        </w:tc>
        <w:tc>
          <w:tcPr>
            <w:tcW w:w="3309" w:type="dxa"/>
            <w:vAlign w:val="center"/>
          </w:tcPr>
          <w:p w14:paraId="1F7563C9" w14:textId="77777777" w:rsidR="00F86D41" w:rsidRPr="000C32D4" w:rsidRDefault="00F86D41" w:rsidP="009D015F">
            <w:pPr>
              <w:pStyle w:val="NMHCNormalAcronymbAbbreviations"/>
              <w:rPr>
                <w:szCs w:val="18"/>
              </w:rPr>
            </w:pPr>
            <w:r w:rsidRPr="000C32D4">
              <w:rPr>
                <w:szCs w:val="18"/>
              </w:rPr>
              <w:t>Australian Bureau of Statistics</w:t>
            </w:r>
          </w:p>
        </w:tc>
      </w:tr>
      <w:tr w:rsidR="00F86D41" w14:paraId="2E5DDCA1" w14:textId="77777777" w:rsidTr="007140DC">
        <w:trPr>
          <w:gridAfter w:val="1"/>
          <w:wAfter w:w="18" w:type="dxa"/>
          <w:trHeight w:val="210"/>
        </w:trPr>
        <w:tc>
          <w:tcPr>
            <w:tcW w:w="1134" w:type="dxa"/>
            <w:vAlign w:val="center"/>
          </w:tcPr>
          <w:p w14:paraId="10860E84" w14:textId="77777777" w:rsidR="00F86D41" w:rsidRPr="000C32D4" w:rsidRDefault="00F86D41" w:rsidP="009D015F">
            <w:pPr>
              <w:pStyle w:val="NMHCAcronymAbbreviation"/>
              <w:rPr>
                <w:szCs w:val="18"/>
              </w:rPr>
            </w:pPr>
            <w:r w:rsidRPr="000C32D4">
              <w:rPr>
                <w:szCs w:val="18"/>
              </w:rPr>
              <w:t>ACT</w:t>
            </w:r>
          </w:p>
        </w:tc>
        <w:tc>
          <w:tcPr>
            <w:tcW w:w="3309" w:type="dxa"/>
            <w:vAlign w:val="center"/>
          </w:tcPr>
          <w:p w14:paraId="01E7A2D1" w14:textId="77777777" w:rsidR="00F86D41" w:rsidRPr="000C32D4" w:rsidRDefault="00F86D41" w:rsidP="009D015F">
            <w:pPr>
              <w:pStyle w:val="NMHCNormalAcronymbAbbreviations"/>
              <w:rPr>
                <w:szCs w:val="18"/>
              </w:rPr>
            </w:pPr>
            <w:r w:rsidRPr="000C32D4">
              <w:rPr>
                <w:szCs w:val="18"/>
              </w:rPr>
              <w:t>Australian Capital Territory</w:t>
            </w:r>
          </w:p>
        </w:tc>
      </w:tr>
      <w:tr w:rsidR="00F86D41" w14:paraId="13DAF169" w14:textId="77777777" w:rsidTr="007140DC">
        <w:trPr>
          <w:gridAfter w:val="1"/>
          <w:wAfter w:w="18" w:type="dxa"/>
        </w:trPr>
        <w:tc>
          <w:tcPr>
            <w:tcW w:w="1134" w:type="dxa"/>
            <w:vAlign w:val="center"/>
          </w:tcPr>
          <w:p w14:paraId="61E5E8E0" w14:textId="77777777" w:rsidR="00F86D41" w:rsidRPr="000C32D4" w:rsidRDefault="00F86D41" w:rsidP="009D015F">
            <w:pPr>
              <w:pStyle w:val="NMHCAcronymAbbreviation"/>
              <w:rPr>
                <w:szCs w:val="18"/>
              </w:rPr>
            </w:pPr>
            <w:r w:rsidRPr="000C32D4">
              <w:rPr>
                <w:szCs w:val="18"/>
              </w:rPr>
              <w:t>AEDC</w:t>
            </w:r>
          </w:p>
        </w:tc>
        <w:tc>
          <w:tcPr>
            <w:tcW w:w="3309" w:type="dxa"/>
            <w:vAlign w:val="center"/>
          </w:tcPr>
          <w:p w14:paraId="4C23C8CB" w14:textId="77777777" w:rsidR="00F86D41" w:rsidRPr="000C32D4" w:rsidRDefault="00F86D41" w:rsidP="009D015F">
            <w:pPr>
              <w:pStyle w:val="NMHCNormalAcronymbAbbreviations"/>
              <w:rPr>
                <w:szCs w:val="18"/>
                <w:lang w:eastAsia="en-AU"/>
              </w:rPr>
            </w:pPr>
            <w:r w:rsidRPr="000C32D4">
              <w:rPr>
                <w:szCs w:val="18"/>
                <w:lang w:eastAsia="en-AU"/>
              </w:rPr>
              <w:t>Australian Early Development Census</w:t>
            </w:r>
          </w:p>
        </w:tc>
      </w:tr>
      <w:tr w:rsidR="00F86D41" w14:paraId="45E709DF" w14:textId="77777777" w:rsidTr="007140DC">
        <w:trPr>
          <w:gridAfter w:val="1"/>
          <w:wAfter w:w="18" w:type="dxa"/>
        </w:trPr>
        <w:tc>
          <w:tcPr>
            <w:tcW w:w="1134" w:type="dxa"/>
            <w:vAlign w:val="center"/>
          </w:tcPr>
          <w:p w14:paraId="516BFE91" w14:textId="77777777" w:rsidR="00F86D41" w:rsidRPr="000C32D4" w:rsidRDefault="00F86D41" w:rsidP="009D015F">
            <w:pPr>
              <w:pStyle w:val="NMHCAcronymAbbreviation"/>
              <w:rPr>
                <w:szCs w:val="18"/>
              </w:rPr>
            </w:pPr>
            <w:r w:rsidRPr="000C32D4">
              <w:rPr>
                <w:szCs w:val="18"/>
              </w:rPr>
              <w:t>AIHW</w:t>
            </w:r>
          </w:p>
        </w:tc>
        <w:tc>
          <w:tcPr>
            <w:tcW w:w="3309" w:type="dxa"/>
            <w:vAlign w:val="center"/>
          </w:tcPr>
          <w:p w14:paraId="3711EE12" w14:textId="77777777" w:rsidR="00F86D41" w:rsidRPr="000C32D4" w:rsidRDefault="00F86D41" w:rsidP="009D015F">
            <w:pPr>
              <w:pStyle w:val="NMHCNormalAcronymbAbbreviations"/>
              <w:rPr>
                <w:szCs w:val="18"/>
                <w:lang w:eastAsia="en-AU"/>
              </w:rPr>
            </w:pPr>
            <w:r w:rsidRPr="000C32D4">
              <w:rPr>
                <w:szCs w:val="18"/>
                <w:lang w:eastAsia="en-AU"/>
              </w:rPr>
              <w:t>Australian Institute of Health and Welfare</w:t>
            </w:r>
          </w:p>
        </w:tc>
      </w:tr>
      <w:tr w:rsidR="00F86D41" w14:paraId="794E63C5" w14:textId="77777777" w:rsidTr="007140DC">
        <w:trPr>
          <w:gridAfter w:val="1"/>
          <w:wAfter w:w="18" w:type="dxa"/>
        </w:trPr>
        <w:tc>
          <w:tcPr>
            <w:tcW w:w="1134" w:type="dxa"/>
            <w:vAlign w:val="center"/>
          </w:tcPr>
          <w:p w14:paraId="4B7287FA" w14:textId="77777777" w:rsidR="00F86D41" w:rsidRPr="000C32D4" w:rsidRDefault="00F86D41" w:rsidP="009D015F">
            <w:pPr>
              <w:pStyle w:val="NMHCAcronymAbbreviation"/>
              <w:rPr>
                <w:szCs w:val="18"/>
              </w:rPr>
            </w:pPr>
            <w:r w:rsidRPr="000C32D4">
              <w:rPr>
                <w:szCs w:val="18"/>
              </w:rPr>
              <w:t>ASGS</w:t>
            </w:r>
          </w:p>
        </w:tc>
        <w:tc>
          <w:tcPr>
            <w:tcW w:w="3309" w:type="dxa"/>
            <w:vAlign w:val="center"/>
          </w:tcPr>
          <w:p w14:paraId="03D7651B" w14:textId="77777777" w:rsidR="00F86D41" w:rsidRPr="000C32D4" w:rsidRDefault="00F86D41" w:rsidP="009D015F">
            <w:pPr>
              <w:pStyle w:val="NMHCNormalAcronymbAbbreviations"/>
              <w:rPr>
                <w:szCs w:val="18"/>
                <w:lang w:eastAsia="en-AU"/>
              </w:rPr>
            </w:pPr>
            <w:r w:rsidRPr="000C32D4">
              <w:rPr>
                <w:szCs w:val="18"/>
                <w:lang w:eastAsia="en-AU"/>
              </w:rPr>
              <w:t>Australian Statistical Geography Standard</w:t>
            </w:r>
          </w:p>
        </w:tc>
      </w:tr>
      <w:tr w:rsidR="00F86D41" w14:paraId="4DD40309" w14:textId="77777777" w:rsidTr="007140DC">
        <w:trPr>
          <w:gridAfter w:val="1"/>
          <w:wAfter w:w="18" w:type="dxa"/>
        </w:trPr>
        <w:tc>
          <w:tcPr>
            <w:tcW w:w="1134" w:type="dxa"/>
            <w:vAlign w:val="center"/>
          </w:tcPr>
          <w:p w14:paraId="4F5667CA" w14:textId="77777777" w:rsidR="00F86D41" w:rsidRPr="000C32D4" w:rsidRDefault="00F86D41" w:rsidP="009D015F">
            <w:pPr>
              <w:pStyle w:val="NMHCAcronymAbbreviation"/>
              <w:rPr>
                <w:szCs w:val="18"/>
              </w:rPr>
            </w:pPr>
            <w:r w:rsidRPr="000C32D4">
              <w:rPr>
                <w:szCs w:val="18"/>
              </w:rPr>
              <w:t>CALD</w:t>
            </w:r>
          </w:p>
        </w:tc>
        <w:tc>
          <w:tcPr>
            <w:tcW w:w="3309" w:type="dxa"/>
            <w:vAlign w:val="center"/>
          </w:tcPr>
          <w:p w14:paraId="40D88786" w14:textId="77777777" w:rsidR="00F86D41" w:rsidRPr="000C32D4" w:rsidRDefault="00F86D41" w:rsidP="009D015F">
            <w:pPr>
              <w:pStyle w:val="NMHCNormalAcronymbAbbreviations"/>
              <w:rPr>
                <w:szCs w:val="18"/>
              </w:rPr>
            </w:pPr>
            <w:r w:rsidRPr="000C32D4">
              <w:rPr>
                <w:szCs w:val="18"/>
                <w:lang w:eastAsia="en-AU"/>
              </w:rPr>
              <w:t>Culturally and Linguistically Diverse</w:t>
            </w:r>
          </w:p>
        </w:tc>
      </w:tr>
      <w:tr w:rsidR="00F86D41" w14:paraId="7DBBCCF2" w14:textId="77777777" w:rsidTr="007140DC">
        <w:trPr>
          <w:gridAfter w:val="1"/>
          <w:wAfter w:w="18" w:type="dxa"/>
        </w:trPr>
        <w:tc>
          <w:tcPr>
            <w:tcW w:w="1134" w:type="dxa"/>
            <w:vAlign w:val="center"/>
          </w:tcPr>
          <w:p w14:paraId="59854490" w14:textId="77777777" w:rsidR="00F86D41" w:rsidRPr="000C32D4" w:rsidRDefault="00F86D41" w:rsidP="009D015F">
            <w:pPr>
              <w:pStyle w:val="NMHCAcronymAbbreviation"/>
              <w:rPr>
                <w:szCs w:val="18"/>
              </w:rPr>
            </w:pPr>
            <w:r w:rsidRPr="000C32D4">
              <w:rPr>
                <w:szCs w:val="18"/>
              </w:rPr>
              <w:t>CES</w:t>
            </w:r>
          </w:p>
        </w:tc>
        <w:tc>
          <w:tcPr>
            <w:tcW w:w="3309" w:type="dxa"/>
            <w:vAlign w:val="center"/>
          </w:tcPr>
          <w:p w14:paraId="68A42F69" w14:textId="6AFE9180" w:rsidR="00F86D41" w:rsidRPr="000C32D4" w:rsidRDefault="00F86D41" w:rsidP="009D015F">
            <w:pPr>
              <w:pStyle w:val="NMHCNormalAcronymbAbbreviations"/>
              <w:rPr>
                <w:szCs w:val="18"/>
                <w:lang w:eastAsia="en-AU"/>
              </w:rPr>
            </w:pPr>
            <w:r w:rsidRPr="000C32D4">
              <w:rPr>
                <w:szCs w:val="18"/>
                <w:lang w:eastAsia="en-AU"/>
              </w:rPr>
              <w:t>Carer Experience Survey</w:t>
            </w:r>
          </w:p>
        </w:tc>
      </w:tr>
      <w:tr w:rsidR="00F86D41" w14:paraId="2DA6C9DA" w14:textId="77777777" w:rsidTr="007140DC">
        <w:trPr>
          <w:gridAfter w:val="1"/>
          <w:wAfter w:w="18" w:type="dxa"/>
        </w:trPr>
        <w:tc>
          <w:tcPr>
            <w:tcW w:w="1134" w:type="dxa"/>
            <w:vAlign w:val="center"/>
          </w:tcPr>
          <w:p w14:paraId="28B25F25" w14:textId="77777777" w:rsidR="00F86D41" w:rsidRPr="000C32D4" w:rsidRDefault="00F86D41" w:rsidP="009D015F">
            <w:pPr>
              <w:pStyle w:val="NMHCAcronymAbbreviation"/>
              <w:rPr>
                <w:szCs w:val="18"/>
              </w:rPr>
            </w:pPr>
            <w:r w:rsidRPr="000C32D4">
              <w:rPr>
                <w:szCs w:val="18"/>
              </w:rPr>
              <w:t>DVA</w:t>
            </w:r>
          </w:p>
        </w:tc>
        <w:tc>
          <w:tcPr>
            <w:tcW w:w="3309" w:type="dxa"/>
            <w:vAlign w:val="center"/>
          </w:tcPr>
          <w:p w14:paraId="5DF8D240" w14:textId="77777777" w:rsidR="00F86D41" w:rsidRPr="000C32D4" w:rsidRDefault="00F86D41" w:rsidP="009D015F">
            <w:pPr>
              <w:pStyle w:val="NMHCNormalAcronymbAbbreviations"/>
              <w:rPr>
                <w:szCs w:val="18"/>
                <w:lang w:eastAsia="en-AU"/>
              </w:rPr>
            </w:pPr>
            <w:r w:rsidRPr="000C32D4">
              <w:rPr>
                <w:szCs w:val="18"/>
                <w:lang w:eastAsia="en-AU"/>
              </w:rPr>
              <w:t>Department of Veterans’ Affairs</w:t>
            </w:r>
          </w:p>
        </w:tc>
      </w:tr>
      <w:tr w:rsidR="00F86D41" w14:paraId="4E4792FE" w14:textId="77777777" w:rsidTr="007140DC">
        <w:trPr>
          <w:gridAfter w:val="1"/>
          <w:wAfter w:w="18" w:type="dxa"/>
        </w:trPr>
        <w:tc>
          <w:tcPr>
            <w:tcW w:w="1134" w:type="dxa"/>
            <w:vAlign w:val="center"/>
          </w:tcPr>
          <w:p w14:paraId="729A798C" w14:textId="77777777" w:rsidR="00F86D41" w:rsidRPr="000C32D4" w:rsidRDefault="00F86D41" w:rsidP="009D015F">
            <w:pPr>
              <w:pStyle w:val="NMHCAcronymAbbreviation"/>
              <w:rPr>
                <w:szCs w:val="18"/>
              </w:rPr>
            </w:pPr>
            <w:r w:rsidRPr="000C32D4">
              <w:rPr>
                <w:szCs w:val="18"/>
              </w:rPr>
              <w:t>ED</w:t>
            </w:r>
          </w:p>
        </w:tc>
        <w:tc>
          <w:tcPr>
            <w:tcW w:w="3309" w:type="dxa"/>
            <w:vAlign w:val="center"/>
          </w:tcPr>
          <w:p w14:paraId="2B35E965" w14:textId="77777777" w:rsidR="00F86D41" w:rsidRPr="000C32D4" w:rsidRDefault="00F86D41" w:rsidP="009D015F">
            <w:pPr>
              <w:pStyle w:val="NMHCNormalAcronymbAbbreviations"/>
              <w:rPr>
                <w:szCs w:val="18"/>
              </w:rPr>
            </w:pPr>
            <w:r w:rsidRPr="000C32D4">
              <w:rPr>
                <w:szCs w:val="18"/>
              </w:rPr>
              <w:t>Emergency Department</w:t>
            </w:r>
          </w:p>
        </w:tc>
      </w:tr>
      <w:tr w:rsidR="00F86D41" w14:paraId="5708DBEB" w14:textId="77777777" w:rsidTr="007140DC">
        <w:trPr>
          <w:gridAfter w:val="1"/>
          <w:wAfter w:w="18" w:type="dxa"/>
        </w:trPr>
        <w:tc>
          <w:tcPr>
            <w:tcW w:w="1134" w:type="dxa"/>
            <w:vAlign w:val="center"/>
          </w:tcPr>
          <w:p w14:paraId="2ADF092B" w14:textId="77777777" w:rsidR="00F86D41" w:rsidRPr="000C32D4" w:rsidRDefault="00F86D41" w:rsidP="009D015F">
            <w:pPr>
              <w:pStyle w:val="NMHCAcronymAbbreviation"/>
              <w:rPr>
                <w:szCs w:val="18"/>
              </w:rPr>
            </w:pPr>
            <w:r w:rsidRPr="000C32D4">
              <w:rPr>
                <w:szCs w:val="18"/>
              </w:rPr>
              <w:t>ECHC</w:t>
            </w:r>
          </w:p>
        </w:tc>
        <w:tc>
          <w:tcPr>
            <w:tcW w:w="3309" w:type="dxa"/>
            <w:vAlign w:val="center"/>
          </w:tcPr>
          <w:p w14:paraId="496F89DE" w14:textId="77777777" w:rsidR="00F86D41" w:rsidRPr="000C32D4" w:rsidRDefault="00F86D41" w:rsidP="009D015F">
            <w:pPr>
              <w:pStyle w:val="NMHCNormalAcronymbAbbreviations"/>
              <w:rPr>
                <w:szCs w:val="18"/>
              </w:rPr>
            </w:pPr>
            <w:r w:rsidRPr="000C32D4">
              <w:rPr>
                <w:szCs w:val="18"/>
              </w:rPr>
              <w:t>Early childhood checks</w:t>
            </w:r>
          </w:p>
        </w:tc>
      </w:tr>
      <w:tr w:rsidR="00F86D41" w14:paraId="09FEB091" w14:textId="77777777" w:rsidTr="007140DC">
        <w:trPr>
          <w:gridAfter w:val="1"/>
          <w:wAfter w:w="18" w:type="dxa"/>
        </w:trPr>
        <w:tc>
          <w:tcPr>
            <w:tcW w:w="1134" w:type="dxa"/>
            <w:vAlign w:val="center"/>
          </w:tcPr>
          <w:p w14:paraId="09E9B126" w14:textId="77777777" w:rsidR="00F86D41" w:rsidRPr="000C32D4" w:rsidRDefault="00F86D41" w:rsidP="009D015F">
            <w:pPr>
              <w:pStyle w:val="NMHCAcronymAbbreviation"/>
              <w:rPr>
                <w:szCs w:val="18"/>
              </w:rPr>
            </w:pPr>
            <w:r w:rsidRPr="000C32D4">
              <w:rPr>
                <w:szCs w:val="18"/>
              </w:rPr>
              <w:t>FTE</w:t>
            </w:r>
          </w:p>
        </w:tc>
        <w:tc>
          <w:tcPr>
            <w:tcW w:w="3309" w:type="dxa"/>
            <w:vAlign w:val="center"/>
          </w:tcPr>
          <w:p w14:paraId="653DAC0F" w14:textId="77777777" w:rsidR="00F86D41" w:rsidRPr="000C32D4" w:rsidRDefault="00F86D41" w:rsidP="009D015F">
            <w:pPr>
              <w:pStyle w:val="NMHCNormalAcronymbAbbreviations"/>
              <w:rPr>
                <w:szCs w:val="18"/>
              </w:rPr>
            </w:pPr>
            <w:r w:rsidRPr="000C32D4">
              <w:rPr>
                <w:szCs w:val="18"/>
              </w:rPr>
              <w:t>Full Time Equivalent</w:t>
            </w:r>
          </w:p>
        </w:tc>
      </w:tr>
      <w:tr w:rsidR="00F86D41" w14:paraId="2147FFDB" w14:textId="77777777" w:rsidTr="007140DC">
        <w:trPr>
          <w:gridAfter w:val="1"/>
          <w:wAfter w:w="18" w:type="dxa"/>
        </w:trPr>
        <w:tc>
          <w:tcPr>
            <w:tcW w:w="1134" w:type="dxa"/>
            <w:vAlign w:val="center"/>
          </w:tcPr>
          <w:p w14:paraId="0AC85A7C" w14:textId="77777777" w:rsidR="00F86D41" w:rsidRPr="000C32D4" w:rsidRDefault="00F86D41" w:rsidP="009D015F">
            <w:pPr>
              <w:pStyle w:val="NMHCAcronymAbbreviation"/>
              <w:rPr>
                <w:szCs w:val="18"/>
              </w:rPr>
            </w:pPr>
            <w:r w:rsidRPr="000C32D4">
              <w:rPr>
                <w:szCs w:val="18"/>
              </w:rPr>
              <w:t>GP</w:t>
            </w:r>
          </w:p>
        </w:tc>
        <w:tc>
          <w:tcPr>
            <w:tcW w:w="3309" w:type="dxa"/>
            <w:vAlign w:val="center"/>
          </w:tcPr>
          <w:p w14:paraId="4343F62D" w14:textId="77777777" w:rsidR="00F86D41" w:rsidRPr="000C32D4" w:rsidRDefault="00F86D41" w:rsidP="009D015F">
            <w:pPr>
              <w:pStyle w:val="NMHCNormalAcronymbAbbreviations"/>
              <w:rPr>
                <w:szCs w:val="18"/>
              </w:rPr>
            </w:pPr>
            <w:r w:rsidRPr="000C32D4">
              <w:rPr>
                <w:szCs w:val="18"/>
              </w:rPr>
              <w:t xml:space="preserve">General Practitioner </w:t>
            </w:r>
          </w:p>
        </w:tc>
      </w:tr>
      <w:tr w:rsidR="00F86D41" w14:paraId="07EEF4B3" w14:textId="77777777" w:rsidTr="007140DC">
        <w:trPr>
          <w:gridAfter w:val="1"/>
          <w:wAfter w:w="18" w:type="dxa"/>
        </w:trPr>
        <w:tc>
          <w:tcPr>
            <w:tcW w:w="1134" w:type="dxa"/>
            <w:vAlign w:val="center"/>
          </w:tcPr>
          <w:p w14:paraId="622F306D" w14:textId="77777777" w:rsidR="00F86D41" w:rsidRPr="000C32D4" w:rsidRDefault="00F86D41" w:rsidP="009D015F">
            <w:pPr>
              <w:pStyle w:val="NMHCAcronymAbbreviation"/>
              <w:rPr>
                <w:szCs w:val="18"/>
              </w:rPr>
            </w:pPr>
            <w:r w:rsidRPr="000C32D4">
              <w:rPr>
                <w:szCs w:val="18"/>
              </w:rPr>
              <w:t>GSS</w:t>
            </w:r>
          </w:p>
        </w:tc>
        <w:tc>
          <w:tcPr>
            <w:tcW w:w="3309" w:type="dxa"/>
            <w:vAlign w:val="center"/>
          </w:tcPr>
          <w:p w14:paraId="4761A475" w14:textId="77777777" w:rsidR="00F86D41" w:rsidRPr="000C32D4" w:rsidRDefault="00F86D41" w:rsidP="009D015F">
            <w:pPr>
              <w:pStyle w:val="NMHCNormalAcronymbAbbreviations"/>
              <w:rPr>
                <w:szCs w:val="18"/>
              </w:rPr>
            </w:pPr>
            <w:r w:rsidRPr="000C32D4">
              <w:rPr>
                <w:szCs w:val="18"/>
              </w:rPr>
              <w:t>General Social Survey</w:t>
            </w:r>
          </w:p>
        </w:tc>
      </w:tr>
      <w:tr w:rsidR="00F86D41" w14:paraId="1045E6F0" w14:textId="77777777" w:rsidTr="007140DC">
        <w:trPr>
          <w:gridAfter w:val="1"/>
          <w:wAfter w:w="18" w:type="dxa"/>
        </w:trPr>
        <w:tc>
          <w:tcPr>
            <w:tcW w:w="1134" w:type="dxa"/>
            <w:vAlign w:val="center"/>
          </w:tcPr>
          <w:p w14:paraId="752E227C" w14:textId="77777777" w:rsidR="00F86D41" w:rsidRPr="000C32D4" w:rsidRDefault="00F86D41" w:rsidP="009D015F">
            <w:pPr>
              <w:pStyle w:val="NMHCAcronymAbbreviation"/>
              <w:rPr>
                <w:szCs w:val="18"/>
              </w:rPr>
            </w:pPr>
            <w:r w:rsidRPr="000C32D4">
              <w:rPr>
                <w:szCs w:val="18"/>
              </w:rPr>
              <w:t>HILDA survey</w:t>
            </w:r>
          </w:p>
        </w:tc>
        <w:tc>
          <w:tcPr>
            <w:tcW w:w="3309" w:type="dxa"/>
            <w:vAlign w:val="center"/>
          </w:tcPr>
          <w:p w14:paraId="05EDD660" w14:textId="77777777" w:rsidR="00F86D41" w:rsidRPr="000C32D4" w:rsidRDefault="00F86D41" w:rsidP="009D015F">
            <w:pPr>
              <w:pStyle w:val="NMHCNormalAcronymbAbbreviations"/>
              <w:rPr>
                <w:szCs w:val="18"/>
              </w:rPr>
            </w:pPr>
            <w:r w:rsidRPr="000C32D4">
              <w:rPr>
                <w:szCs w:val="18"/>
              </w:rPr>
              <w:t>Household, Income and Labour Dynamics in Australia survey</w:t>
            </w:r>
          </w:p>
        </w:tc>
      </w:tr>
      <w:tr w:rsidR="00F86D41" w14:paraId="258C63A5" w14:textId="77777777" w:rsidTr="007140DC">
        <w:trPr>
          <w:gridAfter w:val="1"/>
          <w:wAfter w:w="18" w:type="dxa"/>
        </w:trPr>
        <w:tc>
          <w:tcPr>
            <w:tcW w:w="1134" w:type="dxa"/>
            <w:vAlign w:val="center"/>
          </w:tcPr>
          <w:p w14:paraId="64B9324B" w14:textId="77777777" w:rsidR="00F86D41" w:rsidRPr="000C32D4" w:rsidRDefault="00F86D41" w:rsidP="009D015F">
            <w:pPr>
              <w:pStyle w:val="NMHCAcronymAbbreviation"/>
              <w:rPr>
                <w:szCs w:val="18"/>
              </w:rPr>
            </w:pPr>
            <w:r w:rsidRPr="000C32D4">
              <w:rPr>
                <w:szCs w:val="18"/>
              </w:rPr>
              <w:t>ICD-10</w:t>
            </w:r>
          </w:p>
        </w:tc>
        <w:tc>
          <w:tcPr>
            <w:tcW w:w="3309" w:type="dxa"/>
            <w:vAlign w:val="center"/>
          </w:tcPr>
          <w:p w14:paraId="2FCB4E6C" w14:textId="77777777" w:rsidR="00F86D41" w:rsidRPr="000C32D4" w:rsidRDefault="00F86D41" w:rsidP="009D015F">
            <w:pPr>
              <w:pStyle w:val="NMHCNormalAcronymbAbbreviations"/>
              <w:rPr>
                <w:szCs w:val="18"/>
              </w:rPr>
            </w:pPr>
            <w:r w:rsidRPr="000C32D4">
              <w:rPr>
                <w:szCs w:val="18"/>
              </w:rPr>
              <w:t xml:space="preserve">World Health Organization International Classification of Diseases, Tenth Revision </w:t>
            </w:r>
          </w:p>
        </w:tc>
      </w:tr>
      <w:tr w:rsidR="00F86D41" w14:paraId="460A0B57" w14:textId="77777777" w:rsidTr="00830421">
        <w:trPr>
          <w:gridAfter w:val="1"/>
          <w:wAfter w:w="18" w:type="dxa"/>
          <w:trHeight w:val="1843"/>
        </w:trPr>
        <w:tc>
          <w:tcPr>
            <w:tcW w:w="1134" w:type="dxa"/>
            <w:vAlign w:val="center"/>
          </w:tcPr>
          <w:p w14:paraId="15D785B0" w14:textId="77777777" w:rsidR="00F86D41" w:rsidRPr="000C32D4" w:rsidRDefault="00F86D41" w:rsidP="000C32D4">
            <w:pPr>
              <w:pStyle w:val="NMHCAcronymAbbreviation"/>
              <w:rPr>
                <w:szCs w:val="18"/>
              </w:rPr>
            </w:pPr>
            <w:r w:rsidRPr="007140DC">
              <w:rPr>
                <w:szCs w:val="18"/>
              </w:rPr>
              <w:t>LGBTIQA+</w:t>
            </w:r>
          </w:p>
        </w:tc>
        <w:tc>
          <w:tcPr>
            <w:tcW w:w="3309" w:type="dxa"/>
            <w:vAlign w:val="center"/>
          </w:tcPr>
          <w:p w14:paraId="08307520" w14:textId="4320C021" w:rsidR="00F86D41" w:rsidRPr="000C32D4" w:rsidRDefault="006D3C13" w:rsidP="007140DC">
            <w:pPr>
              <w:spacing w:after="0"/>
              <w:rPr>
                <w:szCs w:val="18"/>
              </w:rPr>
            </w:pPr>
            <w:r w:rsidRPr="000C32D4">
              <w:rPr>
                <w:szCs w:val="18"/>
              </w:rPr>
              <w:t xml:space="preserve">The acronym LGBTIQA+ has been used to describe lesbian, gay, bisexual/bi+, trans and gender diverse, people with innate variations of sex characteristics, queer, asexual/ aromantic and other sexuality and gender diverse people and communities. </w:t>
            </w:r>
          </w:p>
        </w:tc>
      </w:tr>
      <w:tr w:rsidR="00F86D41" w14:paraId="40988A86" w14:textId="77777777" w:rsidTr="007140DC">
        <w:tc>
          <w:tcPr>
            <w:tcW w:w="1134" w:type="dxa"/>
            <w:vAlign w:val="center"/>
          </w:tcPr>
          <w:p w14:paraId="0A61E3B9" w14:textId="77777777" w:rsidR="00F86D41" w:rsidRPr="000C32D4" w:rsidRDefault="00F86D41" w:rsidP="009D015F">
            <w:pPr>
              <w:pStyle w:val="NMHCAcronymAbbreviation"/>
              <w:rPr>
                <w:szCs w:val="18"/>
              </w:rPr>
            </w:pPr>
            <w:r w:rsidRPr="000C32D4">
              <w:rPr>
                <w:szCs w:val="18"/>
              </w:rPr>
              <w:t>LSIC</w:t>
            </w:r>
          </w:p>
        </w:tc>
        <w:tc>
          <w:tcPr>
            <w:tcW w:w="3327" w:type="dxa"/>
            <w:gridSpan w:val="2"/>
            <w:vAlign w:val="center"/>
          </w:tcPr>
          <w:p w14:paraId="6869DEE3" w14:textId="77777777" w:rsidR="00F86D41" w:rsidRPr="000C32D4" w:rsidRDefault="00F86D41" w:rsidP="009D015F">
            <w:pPr>
              <w:pStyle w:val="NMHCNormalAcronymbAbbreviations"/>
              <w:rPr>
                <w:szCs w:val="18"/>
              </w:rPr>
            </w:pPr>
            <w:r w:rsidRPr="000C32D4">
              <w:rPr>
                <w:szCs w:val="18"/>
              </w:rPr>
              <w:t>Longitudinal Study of Indigenous Children</w:t>
            </w:r>
          </w:p>
        </w:tc>
      </w:tr>
      <w:tr w:rsidR="00F86D41" w14:paraId="068CC1F5" w14:textId="77777777" w:rsidTr="007140DC">
        <w:tc>
          <w:tcPr>
            <w:tcW w:w="1134" w:type="dxa"/>
            <w:vAlign w:val="center"/>
          </w:tcPr>
          <w:p w14:paraId="37070B46" w14:textId="77777777" w:rsidR="00F86D41" w:rsidRPr="000C32D4" w:rsidRDefault="00F86D41" w:rsidP="009D015F">
            <w:pPr>
              <w:pStyle w:val="NMHCAcronymAbbreviation"/>
              <w:rPr>
                <w:szCs w:val="18"/>
              </w:rPr>
            </w:pPr>
            <w:r w:rsidRPr="000C32D4">
              <w:rPr>
                <w:szCs w:val="18"/>
              </w:rPr>
              <w:t>MHA</w:t>
            </w:r>
          </w:p>
        </w:tc>
        <w:tc>
          <w:tcPr>
            <w:tcW w:w="3327" w:type="dxa"/>
            <w:gridSpan w:val="2"/>
            <w:vAlign w:val="center"/>
          </w:tcPr>
          <w:p w14:paraId="2448590B" w14:textId="77777777" w:rsidR="00F86D41" w:rsidRPr="000C32D4" w:rsidRDefault="00F86D41" w:rsidP="009D015F">
            <w:pPr>
              <w:pStyle w:val="NMHCNormalAcronymbAbbreviations"/>
              <w:rPr>
                <w:szCs w:val="18"/>
              </w:rPr>
            </w:pPr>
            <w:r w:rsidRPr="000C32D4">
              <w:rPr>
                <w:szCs w:val="18"/>
              </w:rPr>
              <w:t>Mental Health Australia</w:t>
            </w:r>
          </w:p>
        </w:tc>
      </w:tr>
      <w:tr w:rsidR="00F86D41" w14:paraId="3277A0AF" w14:textId="77777777" w:rsidTr="007140DC">
        <w:trPr>
          <w:gridAfter w:val="1"/>
          <w:wAfter w:w="18" w:type="dxa"/>
        </w:trPr>
        <w:tc>
          <w:tcPr>
            <w:tcW w:w="1134" w:type="dxa"/>
            <w:vAlign w:val="center"/>
          </w:tcPr>
          <w:p w14:paraId="60F98801" w14:textId="77777777" w:rsidR="00F86D41" w:rsidRPr="000C32D4" w:rsidRDefault="00F86D41" w:rsidP="009D015F">
            <w:pPr>
              <w:pStyle w:val="NMHCAcronymAbbreviation"/>
              <w:rPr>
                <w:szCs w:val="18"/>
              </w:rPr>
            </w:pPr>
            <w:r w:rsidRPr="000C32D4">
              <w:rPr>
                <w:szCs w:val="18"/>
              </w:rPr>
              <w:t>MBS</w:t>
            </w:r>
          </w:p>
        </w:tc>
        <w:tc>
          <w:tcPr>
            <w:tcW w:w="3309" w:type="dxa"/>
            <w:vAlign w:val="center"/>
          </w:tcPr>
          <w:p w14:paraId="5FE36A73" w14:textId="77777777" w:rsidR="00F86D41" w:rsidRPr="000C32D4" w:rsidRDefault="00F86D41" w:rsidP="009D015F">
            <w:pPr>
              <w:pStyle w:val="NMHCNormalAcronymbAbbreviations"/>
              <w:rPr>
                <w:szCs w:val="18"/>
              </w:rPr>
            </w:pPr>
            <w:r w:rsidRPr="000C32D4">
              <w:rPr>
                <w:szCs w:val="18"/>
              </w:rPr>
              <w:t>Medical Benefits Schedule</w:t>
            </w:r>
          </w:p>
        </w:tc>
      </w:tr>
      <w:tr w:rsidR="00F86D41" w14:paraId="2F428A39" w14:textId="77777777" w:rsidTr="007140DC">
        <w:trPr>
          <w:gridAfter w:val="1"/>
          <w:wAfter w:w="18" w:type="dxa"/>
        </w:trPr>
        <w:tc>
          <w:tcPr>
            <w:tcW w:w="1134" w:type="dxa"/>
            <w:vAlign w:val="center"/>
          </w:tcPr>
          <w:p w14:paraId="325C2A6C" w14:textId="77777777" w:rsidR="00F86D41" w:rsidRPr="000C32D4" w:rsidRDefault="00F86D41" w:rsidP="009D015F">
            <w:pPr>
              <w:pStyle w:val="NMHCAcronymAbbreviation"/>
              <w:rPr>
                <w:szCs w:val="18"/>
              </w:rPr>
            </w:pPr>
            <w:r w:rsidRPr="000C32D4">
              <w:rPr>
                <w:szCs w:val="18"/>
              </w:rPr>
              <w:t>NATSIHS</w:t>
            </w:r>
          </w:p>
        </w:tc>
        <w:tc>
          <w:tcPr>
            <w:tcW w:w="3309" w:type="dxa"/>
            <w:vAlign w:val="center"/>
          </w:tcPr>
          <w:p w14:paraId="14D44AB4" w14:textId="77777777" w:rsidR="00F86D41" w:rsidRPr="000C32D4" w:rsidRDefault="00F86D41" w:rsidP="009D015F">
            <w:pPr>
              <w:pStyle w:val="NMHCNormalAcronymbAbbreviations"/>
              <w:rPr>
                <w:szCs w:val="18"/>
              </w:rPr>
            </w:pPr>
            <w:r w:rsidRPr="000C32D4">
              <w:rPr>
                <w:szCs w:val="18"/>
              </w:rPr>
              <w:t>National Aboriginal and Torres Strait Islander Health Survey</w:t>
            </w:r>
          </w:p>
        </w:tc>
      </w:tr>
      <w:tr w:rsidR="00F86D41" w14:paraId="1E96095E" w14:textId="77777777" w:rsidTr="007140DC">
        <w:tc>
          <w:tcPr>
            <w:tcW w:w="1134" w:type="dxa"/>
            <w:vAlign w:val="center"/>
          </w:tcPr>
          <w:p w14:paraId="26BD7457" w14:textId="77777777" w:rsidR="00F86D41" w:rsidRPr="000C32D4" w:rsidRDefault="00F86D41" w:rsidP="009D015F">
            <w:pPr>
              <w:pStyle w:val="NMHCAcronymAbbreviation"/>
              <w:rPr>
                <w:szCs w:val="18"/>
              </w:rPr>
            </w:pPr>
            <w:r w:rsidRPr="000C32D4">
              <w:rPr>
                <w:szCs w:val="18"/>
              </w:rPr>
              <w:t>National Agreement</w:t>
            </w:r>
          </w:p>
        </w:tc>
        <w:tc>
          <w:tcPr>
            <w:tcW w:w="3327" w:type="dxa"/>
            <w:gridSpan w:val="2"/>
            <w:vAlign w:val="center"/>
          </w:tcPr>
          <w:p w14:paraId="4D24F9F5" w14:textId="77777777" w:rsidR="00F86D41" w:rsidRPr="000C32D4" w:rsidRDefault="00F86D41" w:rsidP="009D015F">
            <w:pPr>
              <w:pStyle w:val="NMHCNormalAcronymbAbbreviations"/>
              <w:rPr>
                <w:szCs w:val="18"/>
              </w:rPr>
            </w:pPr>
            <w:r w:rsidRPr="000C32D4">
              <w:rPr>
                <w:szCs w:val="18"/>
              </w:rPr>
              <w:t xml:space="preserve">National Mental Health and Suicide Prevention Agreement </w:t>
            </w:r>
          </w:p>
        </w:tc>
      </w:tr>
      <w:tr w:rsidR="00F86D41" w14:paraId="2FB6D25A" w14:textId="77777777" w:rsidTr="007140DC">
        <w:trPr>
          <w:gridAfter w:val="1"/>
          <w:wAfter w:w="18" w:type="dxa"/>
        </w:trPr>
        <w:tc>
          <w:tcPr>
            <w:tcW w:w="1134" w:type="dxa"/>
            <w:vAlign w:val="center"/>
          </w:tcPr>
          <w:p w14:paraId="7CF21B0F" w14:textId="77777777" w:rsidR="00F86D41" w:rsidRPr="000C32D4" w:rsidRDefault="00F86D41" w:rsidP="009D015F">
            <w:pPr>
              <w:pStyle w:val="NMHCAcronymAbbreviation"/>
              <w:rPr>
                <w:szCs w:val="18"/>
              </w:rPr>
            </w:pPr>
            <w:r w:rsidRPr="000C32D4">
              <w:rPr>
                <w:szCs w:val="18"/>
              </w:rPr>
              <w:t>NDIS</w:t>
            </w:r>
          </w:p>
        </w:tc>
        <w:tc>
          <w:tcPr>
            <w:tcW w:w="3309" w:type="dxa"/>
            <w:vAlign w:val="center"/>
          </w:tcPr>
          <w:p w14:paraId="6F050C54" w14:textId="77777777" w:rsidR="00F86D41" w:rsidRPr="000C32D4" w:rsidRDefault="00F86D41" w:rsidP="009D015F">
            <w:pPr>
              <w:pStyle w:val="NMHCNormalAcronymbAbbreviations"/>
              <w:rPr>
                <w:szCs w:val="18"/>
              </w:rPr>
            </w:pPr>
            <w:r w:rsidRPr="000C32D4">
              <w:rPr>
                <w:szCs w:val="18"/>
              </w:rPr>
              <w:t>National Disability Insurance Scheme</w:t>
            </w:r>
          </w:p>
        </w:tc>
      </w:tr>
      <w:tr w:rsidR="00F86D41" w14:paraId="3D86CB7D" w14:textId="77777777" w:rsidTr="007140DC">
        <w:trPr>
          <w:gridAfter w:val="1"/>
          <w:wAfter w:w="18" w:type="dxa"/>
        </w:trPr>
        <w:tc>
          <w:tcPr>
            <w:tcW w:w="1134" w:type="dxa"/>
            <w:vAlign w:val="center"/>
          </w:tcPr>
          <w:p w14:paraId="13B08676" w14:textId="77777777" w:rsidR="00F86D41" w:rsidRPr="000C32D4" w:rsidRDefault="00F86D41" w:rsidP="009D015F">
            <w:pPr>
              <w:pStyle w:val="NMHCAcronymAbbreviation"/>
              <w:rPr>
                <w:szCs w:val="18"/>
              </w:rPr>
            </w:pPr>
            <w:r w:rsidRPr="000C32D4">
              <w:rPr>
                <w:szCs w:val="18"/>
              </w:rPr>
              <w:t>NFP</w:t>
            </w:r>
          </w:p>
        </w:tc>
        <w:tc>
          <w:tcPr>
            <w:tcW w:w="3309" w:type="dxa"/>
            <w:vAlign w:val="center"/>
          </w:tcPr>
          <w:p w14:paraId="76232672" w14:textId="77777777" w:rsidR="00F86D41" w:rsidRPr="000C32D4" w:rsidRDefault="00F86D41" w:rsidP="009D015F">
            <w:pPr>
              <w:pStyle w:val="NMHCNormalAcronymbAbbreviations"/>
              <w:rPr>
                <w:szCs w:val="18"/>
              </w:rPr>
            </w:pPr>
            <w:r w:rsidRPr="000C32D4">
              <w:rPr>
                <w:szCs w:val="18"/>
              </w:rPr>
              <w:t xml:space="preserve">Not-for-Profit </w:t>
            </w:r>
          </w:p>
        </w:tc>
      </w:tr>
      <w:tr w:rsidR="00F86D41" w14:paraId="3726A649" w14:textId="77777777" w:rsidTr="007140DC">
        <w:trPr>
          <w:gridAfter w:val="1"/>
          <w:wAfter w:w="18" w:type="dxa"/>
        </w:trPr>
        <w:tc>
          <w:tcPr>
            <w:tcW w:w="1134" w:type="dxa"/>
            <w:vAlign w:val="center"/>
          </w:tcPr>
          <w:p w14:paraId="77395FC9" w14:textId="77777777" w:rsidR="00F86D41" w:rsidRPr="000C32D4" w:rsidRDefault="00F86D41" w:rsidP="009D015F">
            <w:pPr>
              <w:pStyle w:val="NMHCAcronymAbbreviation"/>
              <w:rPr>
                <w:szCs w:val="18"/>
              </w:rPr>
            </w:pPr>
            <w:r w:rsidRPr="000C32D4">
              <w:rPr>
                <w:szCs w:val="18"/>
              </w:rPr>
              <w:t>NHS</w:t>
            </w:r>
          </w:p>
        </w:tc>
        <w:tc>
          <w:tcPr>
            <w:tcW w:w="3309" w:type="dxa"/>
            <w:vAlign w:val="center"/>
          </w:tcPr>
          <w:p w14:paraId="6F1C9901" w14:textId="77777777" w:rsidR="00F86D41" w:rsidRPr="000C32D4" w:rsidRDefault="00F86D41" w:rsidP="009D015F">
            <w:pPr>
              <w:pStyle w:val="NMHCNormalAcronymbAbbreviations"/>
              <w:rPr>
                <w:szCs w:val="18"/>
              </w:rPr>
            </w:pPr>
            <w:r w:rsidRPr="000C32D4">
              <w:rPr>
                <w:szCs w:val="18"/>
              </w:rPr>
              <w:t>National Health Survey</w:t>
            </w:r>
          </w:p>
        </w:tc>
      </w:tr>
      <w:tr w:rsidR="00F86D41" w14:paraId="56989DBC" w14:textId="77777777" w:rsidTr="007140DC">
        <w:trPr>
          <w:gridAfter w:val="1"/>
          <w:wAfter w:w="18" w:type="dxa"/>
        </w:trPr>
        <w:tc>
          <w:tcPr>
            <w:tcW w:w="1134" w:type="dxa"/>
            <w:vAlign w:val="center"/>
          </w:tcPr>
          <w:p w14:paraId="60C62026" w14:textId="77777777" w:rsidR="00F86D41" w:rsidRPr="000C32D4" w:rsidRDefault="00F86D41" w:rsidP="009D015F">
            <w:pPr>
              <w:pStyle w:val="NMHCAcronymAbbreviation"/>
              <w:rPr>
                <w:szCs w:val="18"/>
              </w:rPr>
            </w:pPr>
            <w:r w:rsidRPr="000C32D4">
              <w:rPr>
                <w:szCs w:val="18"/>
              </w:rPr>
              <w:t>NGO</w:t>
            </w:r>
          </w:p>
        </w:tc>
        <w:tc>
          <w:tcPr>
            <w:tcW w:w="3309" w:type="dxa"/>
            <w:vAlign w:val="center"/>
          </w:tcPr>
          <w:p w14:paraId="2BCC45A5" w14:textId="77777777" w:rsidR="00F86D41" w:rsidRPr="000C32D4" w:rsidRDefault="00F86D41" w:rsidP="009D015F">
            <w:pPr>
              <w:pStyle w:val="NMHCNormalAcronymbAbbreviations"/>
              <w:rPr>
                <w:szCs w:val="18"/>
              </w:rPr>
            </w:pPr>
            <w:r w:rsidRPr="000C32D4">
              <w:rPr>
                <w:szCs w:val="18"/>
              </w:rPr>
              <w:t xml:space="preserve">Non-Government Organisation </w:t>
            </w:r>
          </w:p>
        </w:tc>
      </w:tr>
      <w:tr w:rsidR="00F86D41" w14:paraId="42B74072" w14:textId="77777777" w:rsidTr="007140DC">
        <w:trPr>
          <w:gridAfter w:val="1"/>
          <w:wAfter w:w="18" w:type="dxa"/>
        </w:trPr>
        <w:tc>
          <w:tcPr>
            <w:tcW w:w="1134" w:type="dxa"/>
            <w:vAlign w:val="center"/>
          </w:tcPr>
          <w:p w14:paraId="37E82A7C" w14:textId="77777777" w:rsidR="00F86D41" w:rsidRPr="000C32D4" w:rsidRDefault="00F86D41" w:rsidP="009D015F">
            <w:pPr>
              <w:pStyle w:val="NMHCAcronymAbbreviation"/>
              <w:rPr>
                <w:szCs w:val="18"/>
              </w:rPr>
            </w:pPr>
            <w:r w:rsidRPr="000C32D4">
              <w:rPr>
                <w:szCs w:val="18"/>
              </w:rPr>
              <w:t>NMHC</w:t>
            </w:r>
          </w:p>
        </w:tc>
        <w:tc>
          <w:tcPr>
            <w:tcW w:w="3309" w:type="dxa"/>
            <w:vAlign w:val="center"/>
          </w:tcPr>
          <w:p w14:paraId="60B2B42E" w14:textId="77777777" w:rsidR="00F86D41" w:rsidRPr="000C32D4" w:rsidRDefault="00F86D41" w:rsidP="009D015F">
            <w:pPr>
              <w:pStyle w:val="NMHCNormalAcronymbAbbreviations"/>
              <w:rPr>
                <w:szCs w:val="18"/>
              </w:rPr>
            </w:pPr>
            <w:r w:rsidRPr="000C32D4">
              <w:rPr>
                <w:szCs w:val="18"/>
              </w:rPr>
              <w:t>National Mental Health Commission</w:t>
            </w:r>
          </w:p>
        </w:tc>
      </w:tr>
      <w:tr w:rsidR="00F86D41" w14:paraId="70E71141" w14:textId="77777777" w:rsidTr="007140DC">
        <w:trPr>
          <w:gridAfter w:val="1"/>
          <w:wAfter w:w="18" w:type="dxa"/>
        </w:trPr>
        <w:tc>
          <w:tcPr>
            <w:tcW w:w="1134" w:type="dxa"/>
            <w:vAlign w:val="center"/>
          </w:tcPr>
          <w:p w14:paraId="0B30394C" w14:textId="77777777" w:rsidR="00F86D41" w:rsidRPr="000C32D4" w:rsidRDefault="00F86D41" w:rsidP="009D015F">
            <w:pPr>
              <w:pStyle w:val="NMHCAcronymAbbreviation"/>
              <w:rPr>
                <w:szCs w:val="18"/>
              </w:rPr>
            </w:pPr>
            <w:r w:rsidRPr="000C32D4">
              <w:rPr>
                <w:szCs w:val="18"/>
              </w:rPr>
              <w:t>NMHSPF</w:t>
            </w:r>
          </w:p>
        </w:tc>
        <w:tc>
          <w:tcPr>
            <w:tcW w:w="3309" w:type="dxa"/>
            <w:vAlign w:val="center"/>
          </w:tcPr>
          <w:p w14:paraId="5412D0F4" w14:textId="77777777" w:rsidR="00F86D41" w:rsidRPr="000C32D4" w:rsidRDefault="00F86D41" w:rsidP="009D015F">
            <w:pPr>
              <w:pStyle w:val="NMHCNormalAcronymbAbbreviations"/>
              <w:rPr>
                <w:szCs w:val="18"/>
              </w:rPr>
            </w:pPr>
            <w:r w:rsidRPr="000C32D4">
              <w:rPr>
                <w:szCs w:val="18"/>
              </w:rPr>
              <w:t>National Mental Health Service Planning Framework</w:t>
            </w:r>
          </w:p>
        </w:tc>
      </w:tr>
      <w:tr w:rsidR="00F86D41" w14:paraId="206075B8" w14:textId="77777777" w:rsidTr="00830421">
        <w:trPr>
          <w:gridAfter w:val="1"/>
          <w:wAfter w:w="18" w:type="dxa"/>
          <w:trHeight w:val="561"/>
        </w:trPr>
        <w:tc>
          <w:tcPr>
            <w:tcW w:w="1134" w:type="dxa"/>
            <w:vAlign w:val="center"/>
          </w:tcPr>
          <w:p w14:paraId="6B8DEB0A" w14:textId="77777777" w:rsidR="00F86D41" w:rsidRPr="000C32D4" w:rsidRDefault="00F86D41" w:rsidP="009D015F">
            <w:pPr>
              <w:pStyle w:val="NMHCAcronymAbbreviation"/>
              <w:rPr>
                <w:szCs w:val="18"/>
              </w:rPr>
            </w:pPr>
            <w:r w:rsidRPr="000C32D4">
              <w:rPr>
                <w:szCs w:val="18"/>
              </w:rPr>
              <w:t>NOCC</w:t>
            </w:r>
          </w:p>
        </w:tc>
        <w:tc>
          <w:tcPr>
            <w:tcW w:w="3309" w:type="dxa"/>
            <w:vAlign w:val="center"/>
          </w:tcPr>
          <w:p w14:paraId="3E7EC536" w14:textId="77777777" w:rsidR="00F86D41" w:rsidRPr="000C32D4" w:rsidRDefault="00F86D41" w:rsidP="009D015F">
            <w:pPr>
              <w:pStyle w:val="NMHCNormalAcronymbAbbreviations"/>
              <w:rPr>
                <w:szCs w:val="18"/>
              </w:rPr>
            </w:pPr>
            <w:r w:rsidRPr="000C32D4">
              <w:rPr>
                <w:szCs w:val="18"/>
              </w:rPr>
              <w:t xml:space="preserve">National Outcomes and </w:t>
            </w:r>
            <w:proofErr w:type="spellStart"/>
            <w:r w:rsidRPr="000C32D4">
              <w:rPr>
                <w:szCs w:val="18"/>
              </w:rPr>
              <w:t>Casemix</w:t>
            </w:r>
            <w:proofErr w:type="spellEnd"/>
            <w:r w:rsidRPr="000C32D4">
              <w:rPr>
                <w:szCs w:val="18"/>
              </w:rPr>
              <w:t xml:space="preserve"> Collection Database</w:t>
            </w:r>
          </w:p>
        </w:tc>
      </w:tr>
      <w:tr w:rsidR="00F86D41" w14:paraId="2FBCED6B" w14:textId="77777777" w:rsidTr="007140DC">
        <w:trPr>
          <w:gridAfter w:val="1"/>
          <w:wAfter w:w="18" w:type="dxa"/>
        </w:trPr>
        <w:tc>
          <w:tcPr>
            <w:tcW w:w="1134" w:type="dxa"/>
            <w:vAlign w:val="center"/>
          </w:tcPr>
          <w:p w14:paraId="2F90EA2A" w14:textId="77777777" w:rsidR="00F86D41" w:rsidRPr="000C32D4" w:rsidRDefault="00F86D41" w:rsidP="009D015F">
            <w:pPr>
              <w:pStyle w:val="NMHCAcronymAbbreviation"/>
              <w:rPr>
                <w:szCs w:val="18"/>
              </w:rPr>
            </w:pPr>
            <w:r w:rsidRPr="000C32D4">
              <w:rPr>
                <w:szCs w:val="18"/>
              </w:rPr>
              <w:t>NSMHW</w:t>
            </w:r>
          </w:p>
        </w:tc>
        <w:tc>
          <w:tcPr>
            <w:tcW w:w="3309" w:type="dxa"/>
            <w:vAlign w:val="center"/>
          </w:tcPr>
          <w:p w14:paraId="65740A53" w14:textId="77777777" w:rsidR="00F86D41" w:rsidRPr="000C32D4" w:rsidRDefault="00F86D41" w:rsidP="009D015F">
            <w:pPr>
              <w:pStyle w:val="NMHCNormalAcronymbAbbreviations"/>
              <w:rPr>
                <w:szCs w:val="18"/>
              </w:rPr>
            </w:pPr>
            <w:r w:rsidRPr="000C32D4">
              <w:rPr>
                <w:szCs w:val="18"/>
              </w:rPr>
              <w:t>National Study of Mental Health and Wellbeing</w:t>
            </w:r>
          </w:p>
        </w:tc>
      </w:tr>
      <w:tr w:rsidR="00F86D41" w14:paraId="06403B6B" w14:textId="77777777" w:rsidTr="007140DC">
        <w:trPr>
          <w:gridAfter w:val="1"/>
          <w:wAfter w:w="18" w:type="dxa"/>
        </w:trPr>
        <w:tc>
          <w:tcPr>
            <w:tcW w:w="1134" w:type="dxa"/>
            <w:vAlign w:val="center"/>
          </w:tcPr>
          <w:p w14:paraId="7DECDE7C" w14:textId="77777777" w:rsidR="00F86D41" w:rsidRPr="000C32D4" w:rsidRDefault="00F86D41" w:rsidP="009D015F">
            <w:pPr>
              <w:pStyle w:val="NMHCAcronymAbbreviation"/>
              <w:rPr>
                <w:szCs w:val="18"/>
              </w:rPr>
            </w:pPr>
            <w:r w:rsidRPr="000C32D4">
              <w:rPr>
                <w:szCs w:val="18"/>
              </w:rPr>
              <w:t>NSPO</w:t>
            </w:r>
          </w:p>
        </w:tc>
        <w:tc>
          <w:tcPr>
            <w:tcW w:w="3309" w:type="dxa"/>
            <w:vAlign w:val="center"/>
          </w:tcPr>
          <w:p w14:paraId="0320393B" w14:textId="77777777" w:rsidR="00F86D41" w:rsidRPr="000C32D4" w:rsidRDefault="00F86D41" w:rsidP="009D015F">
            <w:pPr>
              <w:pStyle w:val="NMHCNormalAcronymbAbbreviations"/>
              <w:rPr>
                <w:szCs w:val="18"/>
              </w:rPr>
            </w:pPr>
            <w:r w:rsidRPr="000C32D4">
              <w:rPr>
                <w:szCs w:val="18"/>
              </w:rPr>
              <w:t>National Suicide Prevention Office</w:t>
            </w:r>
          </w:p>
        </w:tc>
      </w:tr>
      <w:tr w:rsidR="00F86D41" w14:paraId="7DF70146" w14:textId="77777777" w:rsidTr="007140DC">
        <w:trPr>
          <w:gridAfter w:val="1"/>
          <w:wAfter w:w="18" w:type="dxa"/>
        </w:trPr>
        <w:tc>
          <w:tcPr>
            <w:tcW w:w="1134" w:type="dxa"/>
            <w:vAlign w:val="center"/>
          </w:tcPr>
          <w:p w14:paraId="69342713" w14:textId="77777777" w:rsidR="00F86D41" w:rsidRPr="000C32D4" w:rsidRDefault="00F86D41" w:rsidP="009D015F">
            <w:pPr>
              <w:pStyle w:val="NMHCAcronymAbbreviation"/>
              <w:rPr>
                <w:szCs w:val="18"/>
              </w:rPr>
            </w:pPr>
            <w:r w:rsidRPr="000C32D4">
              <w:rPr>
                <w:szCs w:val="18"/>
              </w:rPr>
              <w:t>NSW</w:t>
            </w:r>
          </w:p>
        </w:tc>
        <w:tc>
          <w:tcPr>
            <w:tcW w:w="3309" w:type="dxa"/>
            <w:vAlign w:val="center"/>
          </w:tcPr>
          <w:p w14:paraId="10CC0560" w14:textId="77777777" w:rsidR="00F86D41" w:rsidRPr="000C32D4" w:rsidRDefault="00F86D41" w:rsidP="009D015F">
            <w:pPr>
              <w:pStyle w:val="NMHCNormalAcronymbAbbreviations"/>
              <w:rPr>
                <w:szCs w:val="18"/>
              </w:rPr>
            </w:pPr>
            <w:r w:rsidRPr="000C32D4">
              <w:rPr>
                <w:szCs w:val="18"/>
              </w:rPr>
              <w:t>New South Wales</w:t>
            </w:r>
          </w:p>
        </w:tc>
      </w:tr>
      <w:tr w:rsidR="00F86D41" w14:paraId="0D107685" w14:textId="77777777" w:rsidTr="007140DC">
        <w:trPr>
          <w:gridAfter w:val="1"/>
          <w:wAfter w:w="18" w:type="dxa"/>
        </w:trPr>
        <w:tc>
          <w:tcPr>
            <w:tcW w:w="1134" w:type="dxa"/>
            <w:vAlign w:val="center"/>
          </w:tcPr>
          <w:p w14:paraId="07F8CCA0" w14:textId="77777777" w:rsidR="00F86D41" w:rsidRPr="000C32D4" w:rsidRDefault="00F86D41" w:rsidP="009D015F">
            <w:pPr>
              <w:pStyle w:val="NMHCAcronymAbbreviation"/>
              <w:rPr>
                <w:szCs w:val="18"/>
              </w:rPr>
            </w:pPr>
            <w:r w:rsidRPr="000C32D4">
              <w:rPr>
                <w:szCs w:val="18"/>
              </w:rPr>
              <w:t>PBS</w:t>
            </w:r>
          </w:p>
        </w:tc>
        <w:tc>
          <w:tcPr>
            <w:tcW w:w="3309" w:type="dxa"/>
            <w:vAlign w:val="center"/>
          </w:tcPr>
          <w:p w14:paraId="6ECEC2B4" w14:textId="77777777" w:rsidR="00F86D41" w:rsidRPr="000C32D4" w:rsidRDefault="00F86D41" w:rsidP="009D015F">
            <w:pPr>
              <w:pStyle w:val="NMHCNormalAcronymbAbbreviations"/>
              <w:rPr>
                <w:szCs w:val="18"/>
              </w:rPr>
            </w:pPr>
            <w:r w:rsidRPr="000C32D4">
              <w:rPr>
                <w:szCs w:val="18"/>
              </w:rPr>
              <w:t xml:space="preserve">Pharmaceutical Benefits Scheme </w:t>
            </w:r>
          </w:p>
        </w:tc>
      </w:tr>
      <w:tr w:rsidR="00F86D41" w14:paraId="58B6757A" w14:textId="77777777" w:rsidTr="007140DC">
        <w:trPr>
          <w:gridAfter w:val="1"/>
          <w:wAfter w:w="18" w:type="dxa"/>
        </w:trPr>
        <w:tc>
          <w:tcPr>
            <w:tcW w:w="1134" w:type="dxa"/>
            <w:vAlign w:val="center"/>
          </w:tcPr>
          <w:p w14:paraId="4B9F7AD9" w14:textId="77777777" w:rsidR="00F86D41" w:rsidRPr="000C32D4" w:rsidRDefault="00F86D41" w:rsidP="009D015F">
            <w:pPr>
              <w:pStyle w:val="NMHCAcronymAbbreviation"/>
              <w:rPr>
                <w:szCs w:val="18"/>
              </w:rPr>
            </w:pPr>
            <w:r w:rsidRPr="000C32D4">
              <w:rPr>
                <w:szCs w:val="18"/>
              </w:rPr>
              <w:t xml:space="preserve">PESTEL </w:t>
            </w:r>
          </w:p>
        </w:tc>
        <w:tc>
          <w:tcPr>
            <w:tcW w:w="3309" w:type="dxa"/>
            <w:vAlign w:val="center"/>
          </w:tcPr>
          <w:p w14:paraId="4038A8F4" w14:textId="77777777" w:rsidR="00F86D41" w:rsidRPr="000C32D4" w:rsidRDefault="00F86D41" w:rsidP="009D015F">
            <w:pPr>
              <w:pStyle w:val="NMHCNormalAcronymbAbbreviations"/>
              <w:rPr>
                <w:szCs w:val="18"/>
              </w:rPr>
            </w:pPr>
            <w:r w:rsidRPr="000C32D4">
              <w:rPr>
                <w:szCs w:val="18"/>
              </w:rPr>
              <w:t>Political, Economic, Social, Technological, Environmental and Legal</w:t>
            </w:r>
          </w:p>
        </w:tc>
      </w:tr>
      <w:tr w:rsidR="00F86D41" w14:paraId="3E7B1830" w14:textId="77777777" w:rsidTr="007140DC">
        <w:trPr>
          <w:gridAfter w:val="1"/>
          <w:wAfter w:w="18" w:type="dxa"/>
        </w:trPr>
        <w:tc>
          <w:tcPr>
            <w:tcW w:w="1134" w:type="dxa"/>
            <w:vAlign w:val="center"/>
          </w:tcPr>
          <w:p w14:paraId="6AC5A52E" w14:textId="77777777" w:rsidR="00F86D41" w:rsidRPr="000C32D4" w:rsidRDefault="00F86D41" w:rsidP="009D015F">
            <w:pPr>
              <w:pStyle w:val="NMHCAcronymAbbreviation"/>
              <w:rPr>
                <w:szCs w:val="18"/>
              </w:rPr>
            </w:pPr>
            <w:r w:rsidRPr="000C32D4">
              <w:rPr>
                <w:szCs w:val="18"/>
              </w:rPr>
              <w:t>QLD</w:t>
            </w:r>
          </w:p>
        </w:tc>
        <w:tc>
          <w:tcPr>
            <w:tcW w:w="3309" w:type="dxa"/>
            <w:vAlign w:val="center"/>
          </w:tcPr>
          <w:p w14:paraId="3B5ECA13" w14:textId="77777777" w:rsidR="00F86D41" w:rsidRPr="000C32D4" w:rsidRDefault="00F86D41" w:rsidP="009D015F">
            <w:pPr>
              <w:pStyle w:val="NMHCNormalAcronymbAbbreviations"/>
              <w:rPr>
                <w:szCs w:val="18"/>
              </w:rPr>
            </w:pPr>
            <w:r w:rsidRPr="000C32D4">
              <w:rPr>
                <w:szCs w:val="18"/>
              </w:rPr>
              <w:t xml:space="preserve">Queensland </w:t>
            </w:r>
          </w:p>
        </w:tc>
      </w:tr>
      <w:tr w:rsidR="00F86D41" w14:paraId="4F197CA3" w14:textId="77777777" w:rsidTr="007140DC">
        <w:trPr>
          <w:gridAfter w:val="1"/>
          <w:wAfter w:w="18" w:type="dxa"/>
        </w:trPr>
        <w:tc>
          <w:tcPr>
            <w:tcW w:w="1134" w:type="dxa"/>
            <w:vAlign w:val="center"/>
          </w:tcPr>
          <w:p w14:paraId="135BC8C0" w14:textId="77777777" w:rsidR="00F86D41" w:rsidRPr="000C32D4" w:rsidRDefault="00F86D41" w:rsidP="009D015F">
            <w:pPr>
              <w:pStyle w:val="NMHCAcronymAbbreviation"/>
              <w:rPr>
                <w:szCs w:val="18"/>
              </w:rPr>
            </w:pPr>
            <w:r w:rsidRPr="000C32D4">
              <w:rPr>
                <w:szCs w:val="18"/>
              </w:rPr>
              <w:t>PHN</w:t>
            </w:r>
          </w:p>
        </w:tc>
        <w:tc>
          <w:tcPr>
            <w:tcW w:w="3309" w:type="dxa"/>
            <w:vAlign w:val="center"/>
          </w:tcPr>
          <w:p w14:paraId="43312306" w14:textId="77777777" w:rsidR="00F86D41" w:rsidRPr="000C32D4" w:rsidRDefault="00F86D41" w:rsidP="009D015F">
            <w:pPr>
              <w:pStyle w:val="NMHCNormalAcronymbAbbreviations"/>
              <w:rPr>
                <w:szCs w:val="18"/>
              </w:rPr>
            </w:pPr>
            <w:r w:rsidRPr="000C32D4">
              <w:rPr>
                <w:szCs w:val="18"/>
              </w:rPr>
              <w:t>Primary Health Networks</w:t>
            </w:r>
          </w:p>
        </w:tc>
      </w:tr>
      <w:tr w:rsidR="00F86D41" w14:paraId="1322F5E9" w14:textId="77777777" w:rsidTr="007140DC">
        <w:trPr>
          <w:gridAfter w:val="1"/>
          <w:wAfter w:w="18" w:type="dxa"/>
          <w:trHeight w:val="210"/>
        </w:trPr>
        <w:tc>
          <w:tcPr>
            <w:tcW w:w="1134" w:type="dxa"/>
            <w:vAlign w:val="center"/>
          </w:tcPr>
          <w:p w14:paraId="1FCF62CB" w14:textId="77777777" w:rsidR="00F86D41" w:rsidRPr="000C32D4" w:rsidRDefault="00F86D41" w:rsidP="009D015F">
            <w:pPr>
              <w:pStyle w:val="NMHCAcronymAbbreviation"/>
              <w:rPr>
                <w:szCs w:val="18"/>
              </w:rPr>
            </w:pPr>
            <w:r w:rsidRPr="000C32D4">
              <w:rPr>
                <w:szCs w:val="18"/>
              </w:rPr>
              <w:t>RC2023</w:t>
            </w:r>
          </w:p>
        </w:tc>
        <w:tc>
          <w:tcPr>
            <w:tcW w:w="3309" w:type="dxa"/>
            <w:vAlign w:val="center"/>
          </w:tcPr>
          <w:p w14:paraId="720DB699" w14:textId="77777777" w:rsidR="00F86D41" w:rsidRPr="000C32D4" w:rsidRDefault="00F86D41" w:rsidP="009D015F">
            <w:pPr>
              <w:pStyle w:val="NMHCNormalAcronymbAbbreviations"/>
              <w:rPr>
                <w:szCs w:val="18"/>
              </w:rPr>
            </w:pPr>
            <w:r w:rsidRPr="000C32D4">
              <w:rPr>
                <w:szCs w:val="18"/>
              </w:rPr>
              <w:t>National Report Card 2023</w:t>
            </w:r>
          </w:p>
        </w:tc>
      </w:tr>
      <w:tr w:rsidR="00F86D41" w14:paraId="64F76D35" w14:textId="77777777" w:rsidTr="007140DC">
        <w:trPr>
          <w:gridAfter w:val="1"/>
          <w:wAfter w:w="18" w:type="dxa"/>
          <w:trHeight w:val="210"/>
        </w:trPr>
        <w:tc>
          <w:tcPr>
            <w:tcW w:w="1134" w:type="dxa"/>
            <w:vAlign w:val="center"/>
          </w:tcPr>
          <w:p w14:paraId="3F409588" w14:textId="77777777" w:rsidR="00F86D41" w:rsidRPr="000C32D4" w:rsidRDefault="00F86D41" w:rsidP="009D015F">
            <w:pPr>
              <w:pStyle w:val="NMHCAcronymAbbreviation"/>
              <w:rPr>
                <w:szCs w:val="18"/>
              </w:rPr>
            </w:pPr>
            <w:r w:rsidRPr="000C32D4">
              <w:rPr>
                <w:szCs w:val="18"/>
              </w:rPr>
              <w:t>RC2024</w:t>
            </w:r>
          </w:p>
        </w:tc>
        <w:tc>
          <w:tcPr>
            <w:tcW w:w="3309" w:type="dxa"/>
            <w:vAlign w:val="center"/>
          </w:tcPr>
          <w:p w14:paraId="2BB54A7D" w14:textId="77777777" w:rsidR="00F86D41" w:rsidRPr="000C32D4" w:rsidRDefault="00F86D41" w:rsidP="009D015F">
            <w:pPr>
              <w:pStyle w:val="NMHCNormalAcronymbAbbreviations"/>
              <w:rPr>
                <w:szCs w:val="18"/>
              </w:rPr>
            </w:pPr>
            <w:r w:rsidRPr="000C32D4">
              <w:rPr>
                <w:szCs w:val="18"/>
              </w:rPr>
              <w:t>National Report Card 2024</w:t>
            </w:r>
          </w:p>
        </w:tc>
      </w:tr>
      <w:tr w:rsidR="00F86D41" w14:paraId="33FA94AF" w14:textId="77777777" w:rsidTr="007140DC">
        <w:trPr>
          <w:gridAfter w:val="1"/>
          <w:wAfter w:w="18" w:type="dxa"/>
          <w:trHeight w:val="210"/>
        </w:trPr>
        <w:tc>
          <w:tcPr>
            <w:tcW w:w="1134" w:type="dxa"/>
            <w:vAlign w:val="center"/>
          </w:tcPr>
          <w:p w14:paraId="03257541" w14:textId="77777777" w:rsidR="00F86D41" w:rsidRPr="000C32D4" w:rsidRDefault="00F86D41" w:rsidP="009D015F">
            <w:pPr>
              <w:pStyle w:val="NMHCAcronymAbbreviation"/>
              <w:rPr>
                <w:szCs w:val="18"/>
              </w:rPr>
            </w:pPr>
            <w:r w:rsidRPr="000C32D4">
              <w:rPr>
                <w:szCs w:val="18"/>
              </w:rPr>
              <w:t>RC2025</w:t>
            </w:r>
          </w:p>
        </w:tc>
        <w:tc>
          <w:tcPr>
            <w:tcW w:w="3309" w:type="dxa"/>
            <w:vAlign w:val="center"/>
          </w:tcPr>
          <w:p w14:paraId="4F1000C6" w14:textId="77777777" w:rsidR="00F86D41" w:rsidRPr="000C32D4" w:rsidRDefault="00F86D41" w:rsidP="009D015F">
            <w:pPr>
              <w:pStyle w:val="NMHCNormalAcronymbAbbreviations"/>
              <w:rPr>
                <w:szCs w:val="18"/>
              </w:rPr>
            </w:pPr>
            <w:r w:rsidRPr="000C32D4">
              <w:rPr>
                <w:szCs w:val="18"/>
              </w:rPr>
              <w:t>Report Card 2025</w:t>
            </w:r>
          </w:p>
        </w:tc>
      </w:tr>
      <w:tr w:rsidR="00F86D41" w14:paraId="5EB6153B" w14:textId="77777777" w:rsidTr="007140DC">
        <w:trPr>
          <w:gridAfter w:val="1"/>
          <w:wAfter w:w="18" w:type="dxa"/>
          <w:trHeight w:val="210"/>
        </w:trPr>
        <w:tc>
          <w:tcPr>
            <w:tcW w:w="1134" w:type="dxa"/>
            <w:vAlign w:val="center"/>
          </w:tcPr>
          <w:p w14:paraId="2F26C582" w14:textId="77777777" w:rsidR="00F86D41" w:rsidRPr="000C32D4" w:rsidRDefault="00F86D41" w:rsidP="009D015F">
            <w:pPr>
              <w:pStyle w:val="NMHCAcronymAbbreviation"/>
              <w:rPr>
                <w:szCs w:val="18"/>
              </w:rPr>
            </w:pPr>
            <w:r w:rsidRPr="000C32D4">
              <w:rPr>
                <w:szCs w:val="18"/>
              </w:rPr>
              <w:t xml:space="preserve">SEIFA </w:t>
            </w:r>
          </w:p>
        </w:tc>
        <w:tc>
          <w:tcPr>
            <w:tcW w:w="3309" w:type="dxa"/>
            <w:vAlign w:val="center"/>
          </w:tcPr>
          <w:p w14:paraId="7D73CE16" w14:textId="77777777" w:rsidR="00F86D41" w:rsidRPr="000C32D4" w:rsidRDefault="00F86D41" w:rsidP="009D015F">
            <w:pPr>
              <w:pStyle w:val="NMHCNormalAcronymbAbbreviations"/>
              <w:rPr>
                <w:szCs w:val="18"/>
              </w:rPr>
            </w:pPr>
            <w:r w:rsidRPr="000C32D4">
              <w:rPr>
                <w:szCs w:val="18"/>
              </w:rPr>
              <w:t>Socio-Economic Indexes for Areas</w:t>
            </w:r>
          </w:p>
        </w:tc>
      </w:tr>
      <w:tr w:rsidR="00F86D41" w14:paraId="4716C37F" w14:textId="77777777" w:rsidTr="007140DC">
        <w:trPr>
          <w:gridAfter w:val="1"/>
          <w:wAfter w:w="18" w:type="dxa"/>
          <w:trHeight w:val="210"/>
        </w:trPr>
        <w:tc>
          <w:tcPr>
            <w:tcW w:w="1134" w:type="dxa"/>
            <w:vAlign w:val="center"/>
          </w:tcPr>
          <w:p w14:paraId="0A596036" w14:textId="77777777" w:rsidR="00F86D41" w:rsidRPr="000C32D4" w:rsidRDefault="00F86D41" w:rsidP="009D015F">
            <w:pPr>
              <w:pStyle w:val="NMHCAcronymAbbreviation"/>
              <w:rPr>
                <w:szCs w:val="18"/>
              </w:rPr>
            </w:pPr>
            <w:r w:rsidRPr="000C32D4">
              <w:rPr>
                <w:szCs w:val="18"/>
              </w:rPr>
              <w:t>SEWB</w:t>
            </w:r>
          </w:p>
        </w:tc>
        <w:tc>
          <w:tcPr>
            <w:tcW w:w="3309" w:type="dxa"/>
            <w:vAlign w:val="center"/>
          </w:tcPr>
          <w:p w14:paraId="21CCC10D" w14:textId="77777777" w:rsidR="00F86D41" w:rsidRPr="000C32D4" w:rsidRDefault="00F86D41" w:rsidP="009D015F">
            <w:pPr>
              <w:pStyle w:val="NMHCNormalAcronymbAbbreviations"/>
              <w:rPr>
                <w:szCs w:val="18"/>
              </w:rPr>
            </w:pPr>
            <w:r w:rsidRPr="000C32D4">
              <w:rPr>
                <w:szCs w:val="18"/>
              </w:rPr>
              <w:t xml:space="preserve">Social and emotional wellbeing </w:t>
            </w:r>
          </w:p>
        </w:tc>
      </w:tr>
      <w:tr w:rsidR="00F86D41" w14:paraId="56592468" w14:textId="77777777" w:rsidTr="00830421">
        <w:trPr>
          <w:gridAfter w:val="1"/>
          <w:wAfter w:w="18" w:type="dxa"/>
          <w:trHeight w:val="285"/>
        </w:trPr>
        <w:tc>
          <w:tcPr>
            <w:tcW w:w="1134" w:type="dxa"/>
            <w:vAlign w:val="center"/>
          </w:tcPr>
          <w:p w14:paraId="4F56CCAE" w14:textId="77777777" w:rsidR="00F86D41" w:rsidRPr="000C32D4" w:rsidRDefault="00F86D41" w:rsidP="009D015F">
            <w:pPr>
              <w:pStyle w:val="NMHCAcronymAbbreviation"/>
              <w:rPr>
                <w:szCs w:val="18"/>
              </w:rPr>
            </w:pPr>
            <w:r w:rsidRPr="000C32D4">
              <w:rPr>
                <w:szCs w:val="18"/>
              </w:rPr>
              <w:t>YES Survey</w:t>
            </w:r>
          </w:p>
        </w:tc>
        <w:tc>
          <w:tcPr>
            <w:tcW w:w="3309" w:type="dxa"/>
            <w:vAlign w:val="center"/>
          </w:tcPr>
          <w:p w14:paraId="4FF71E7B" w14:textId="77777777" w:rsidR="00F86D41" w:rsidRPr="000C32D4" w:rsidRDefault="00F86D41" w:rsidP="009D015F">
            <w:pPr>
              <w:pStyle w:val="NMHCNormalAcronymbAbbreviations"/>
              <w:rPr>
                <w:szCs w:val="18"/>
              </w:rPr>
            </w:pPr>
            <w:r w:rsidRPr="000C32D4">
              <w:rPr>
                <w:szCs w:val="18"/>
              </w:rPr>
              <w:t>Your Experience of Service Survey</w:t>
            </w:r>
          </w:p>
        </w:tc>
      </w:tr>
    </w:tbl>
    <w:p w14:paraId="34D68DD0" w14:textId="77777777" w:rsidR="00F86D41" w:rsidRPr="00666FB2" w:rsidRDefault="00F86D41" w:rsidP="00F86D41">
      <w:pPr>
        <w:sectPr w:rsidR="00F86D41" w:rsidRPr="00666FB2" w:rsidSect="00350F14">
          <w:endnotePr>
            <w:numFmt w:val="decimal"/>
          </w:endnotePr>
          <w:type w:val="continuous"/>
          <w:pgSz w:w="11900" w:h="16840"/>
          <w:pgMar w:top="1701" w:right="1134" w:bottom="1701" w:left="1134" w:header="1134" w:footer="567" w:gutter="0"/>
          <w:cols w:num="2" w:space="708"/>
          <w:noEndnote/>
          <w:titlePg/>
          <w:docGrid w:linePitch="360"/>
        </w:sectPr>
      </w:pPr>
    </w:p>
    <w:p w14:paraId="1C875FAE" w14:textId="5F2005A7" w:rsidR="00F86D41" w:rsidRDefault="00F86D41" w:rsidP="00F86D41">
      <w:pPr>
        <w:pStyle w:val="Heading1"/>
        <w:sectPr w:rsidR="00F86D41" w:rsidSect="00350F14">
          <w:footerReference w:type="default" r:id="rId192"/>
          <w:footnotePr>
            <w:numFmt w:val="lowerRoman"/>
          </w:footnotePr>
          <w:endnotePr>
            <w:numFmt w:val="decimal"/>
          </w:endnotePr>
          <w:type w:val="continuous"/>
          <w:pgSz w:w="11900" w:h="16840"/>
          <w:pgMar w:top="1701" w:right="1134" w:bottom="1701" w:left="1134" w:header="1134" w:footer="567" w:gutter="0"/>
          <w:cols w:space="708"/>
          <w:noEndnote/>
          <w:docGrid w:linePitch="360"/>
        </w:sectPr>
      </w:pPr>
      <w:r>
        <w:br w:type="page"/>
      </w:r>
      <w:bookmarkStart w:id="40" w:name="_Toc237878292"/>
      <w:r>
        <w:lastRenderedPageBreak/>
        <w:t>Glossary</w:t>
      </w:r>
      <w:bookmarkEnd w:id="40"/>
    </w:p>
    <w:p w14:paraId="722A7550" w14:textId="1DE4C965" w:rsidR="00F86D41" w:rsidRDefault="00C0341B" w:rsidP="00F86D41">
      <w:pPr>
        <w:pStyle w:val="NMHCGlossarySubheading"/>
      </w:pPr>
      <w:r>
        <w:br/>
      </w:r>
      <w:r w:rsidR="00F86D41">
        <w:t>Affective Disorder</w:t>
      </w:r>
    </w:p>
    <w:p w14:paraId="61E37AF7" w14:textId="77777777" w:rsidR="00F86D41" w:rsidRDefault="00F86D41" w:rsidP="00B80252">
      <w:r w:rsidRPr="00CF1E48">
        <w:rPr>
          <w:shd w:val="clear" w:color="auto" w:fill="FFFFFF"/>
        </w:rPr>
        <w:t>Affective disorders involve mood disturbance or change in affect. Most of these disorders tend to be recurrent and the onset of individual episodes can often be related to stressful events or situations</w:t>
      </w:r>
      <w:r>
        <w:rPr>
          <w:shd w:val="clear" w:color="auto" w:fill="FFFFFF"/>
        </w:rPr>
        <w:t xml:space="preserve">. </w:t>
      </w:r>
    </w:p>
    <w:p w14:paraId="6EF14E23" w14:textId="77777777" w:rsidR="00F86D41" w:rsidRPr="00B80252" w:rsidRDefault="00F86D41" w:rsidP="00B80252">
      <w:pPr>
        <w:pStyle w:val="NMHCGlossarySubheading"/>
      </w:pPr>
      <w:r w:rsidRPr="00B80252">
        <w:t xml:space="preserve">Ambulatory mental health care  </w:t>
      </w:r>
    </w:p>
    <w:p w14:paraId="3A4F90F2" w14:textId="77777777" w:rsidR="00F86D41" w:rsidRDefault="00F86D41" w:rsidP="00B80252">
      <w:r>
        <w:t xml:space="preserve">Mental health care provided to hospital patients who are not admitted to hospital, such as patients of emergency departments and outpatient clinics. The term is also used to refer to care provided to patients of community-based (non-hospital) health care services. </w:t>
      </w:r>
    </w:p>
    <w:p w14:paraId="197873E6" w14:textId="77777777" w:rsidR="00F86D41" w:rsidRPr="00B80252" w:rsidRDefault="00F86D41" w:rsidP="00B80252">
      <w:pPr>
        <w:pStyle w:val="NMHCGlossarySubheading"/>
      </w:pPr>
      <w:r w:rsidRPr="00B80252">
        <w:t>Anxiety Disorder</w:t>
      </w:r>
    </w:p>
    <w:p w14:paraId="3D030C2E" w14:textId="77777777" w:rsidR="00F86D41" w:rsidRDefault="00F86D41" w:rsidP="00B80252">
      <w:r w:rsidRPr="008504E7">
        <w:rPr>
          <w:shd w:val="clear" w:color="auto" w:fill="FFFFFF"/>
        </w:rPr>
        <w:t>Anxiety disorders generally involve feelings of tension, distress, or nervousness. A person may avoid, or endure with dread, situations which cause these types of feelings</w:t>
      </w:r>
      <w:r>
        <w:t>.</w:t>
      </w:r>
    </w:p>
    <w:p w14:paraId="38F72172" w14:textId="77777777" w:rsidR="00F86D41" w:rsidRPr="00B80252" w:rsidRDefault="00F86D41" w:rsidP="00B80252">
      <w:pPr>
        <w:pStyle w:val="NMHCGlossarySubheading"/>
      </w:pPr>
      <w:r w:rsidRPr="00B80252">
        <w:t xml:space="preserve">Community mental health care </w:t>
      </w:r>
    </w:p>
    <w:p w14:paraId="2FF38C86" w14:textId="55322C5E" w:rsidR="00F86D41" w:rsidRPr="00B80252" w:rsidRDefault="00F86D41" w:rsidP="00B80252">
      <w:pPr>
        <w:rPr>
          <w:shd w:val="clear" w:color="auto" w:fill="FFFFFF"/>
        </w:rPr>
      </w:pPr>
      <w:r w:rsidRPr="004E5D44">
        <w:rPr>
          <w:shd w:val="clear" w:color="auto" w:fill="FFFFFF"/>
        </w:rPr>
        <w:t>Government-funded and government-operated specialised mental health care provided by community mental health care services and hospital-based ambulatory care services, such as outpatient and day clinics.</w:t>
      </w:r>
    </w:p>
    <w:p w14:paraId="2D62BB16" w14:textId="77777777" w:rsidR="00F86D41" w:rsidRPr="00B80252" w:rsidRDefault="00F86D41" w:rsidP="00B80252">
      <w:pPr>
        <w:pStyle w:val="NMHCGlossarySubheading"/>
      </w:pPr>
      <w:r w:rsidRPr="00B80252">
        <w:t>Consumer</w:t>
      </w:r>
    </w:p>
    <w:p w14:paraId="5D7B8AD2" w14:textId="74F8809D" w:rsidR="00F86D41" w:rsidRPr="00B80252" w:rsidRDefault="00F86D41" w:rsidP="00B80252">
      <w:pPr>
        <w:rPr>
          <w:b/>
          <w:shd w:val="clear" w:color="auto" w:fill="FFFFFF"/>
        </w:rPr>
      </w:pPr>
      <w:r w:rsidRPr="004E5D44">
        <w:rPr>
          <w:shd w:val="clear" w:color="auto" w:fill="FFFFFF"/>
        </w:rPr>
        <w:t xml:space="preserve">A person living with mental illness who uses, has used or may use a mental health service. </w:t>
      </w:r>
    </w:p>
    <w:p w14:paraId="67898E6D" w14:textId="77777777" w:rsidR="00F86D41" w:rsidRPr="00B80252" w:rsidRDefault="00F86D41" w:rsidP="00B80252">
      <w:pPr>
        <w:pStyle w:val="NMHCGlossarySubheading"/>
      </w:pPr>
      <w:r w:rsidRPr="00B80252">
        <w:t xml:space="preserve">Loneliness </w:t>
      </w:r>
    </w:p>
    <w:p w14:paraId="696E5C92" w14:textId="77777777" w:rsidR="00B80252" w:rsidRDefault="00F86D41" w:rsidP="00B80252">
      <w:r w:rsidRPr="004E5D44">
        <w:rPr>
          <w:shd w:val="clear" w:color="auto" w:fill="FFFFFF"/>
        </w:rPr>
        <w:t>A negative subjective appraisal of social relationships, arising when an individual perceives their social connections as insufficient in meeting their social needs</w:t>
      </w:r>
      <w:r w:rsidRPr="00B80252">
        <w:t>.</w:t>
      </w:r>
      <w:r w:rsidR="00B80252">
        <w:t xml:space="preserve"> </w:t>
      </w:r>
    </w:p>
    <w:p w14:paraId="076B3F6B" w14:textId="4FC50A8A" w:rsidR="00F86D41" w:rsidRPr="00B80252" w:rsidRDefault="00F86D41" w:rsidP="00B80252">
      <w:pPr>
        <w:rPr>
          <w:shd w:val="clear" w:color="auto" w:fill="FFFFFF"/>
        </w:rPr>
      </w:pPr>
      <w:r w:rsidRPr="00B80252">
        <w:t>The loneliness measure is based on a 3-item scale (‘People don’t come to visit me as often as I would like’, ‘I often need help from other people but can’t get it’, ‘I often feel very lonely’).</w:t>
      </w:r>
      <w:r w:rsidRPr="005D3B1D">
        <w:rPr>
          <w:szCs w:val="18"/>
        </w:rPr>
        <w:t xml:space="preserve"> </w:t>
      </w:r>
    </w:p>
    <w:p w14:paraId="386CAF28" w14:textId="77777777" w:rsidR="00F86D41" w:rsidRPr="00B80252" w:rsidRDefault="00F86D41" w:rsidP="00B80252">
      <w:pPr>
        <w:pStyle w:val="NMHCGlossarySubheading"/>
      </w:pPr>
      <w:r w:rsidRPr="00B80252">
        <w:t>Long-term health condition</w:t>
      </w:r>
    </w:p>
    <w:p w14:paraId="42CBF88E" w14:textId="305FB2B4" w:rsidR="00B80252" w:rsidRDefault="00F86D41" w:rsidP="00CB4379">
      <w:r w:rsidRPr="00B80252">
        <w:t xml:space="preserve">In the HILDA survey, the term ‘long-term health condition’ is used to describe any long-term health condition, impairment or disability which a </w:t>
      </w:r>
      <w:proofErr w:type="gramStart"/>
      <w:r w:rsidRPr="00B80252">
        <w:t>respondent reports</w:t>
      </w:r>
      <w:proofErr w:type="gramEnd"/>
      <w:r w:rsidRPr="00B80252">
        <w:t xml:space="preserve"> that restricts them in their everyday activities, and which has lasted or is likely to last for six months or more. People with a long-term mental health condition are respondents who indicated they had a nervous or emotional condition which requires</w:t>
      </w:r>
      <w:r w:rsidR="00B80252">
        <w:t xml:space="preserve"> </w:t>
      </w:r>
      <w:r w:rsidRPr="00930F48">
        <w:t>treatment and</w:t>
      </w:r>
      <w:r>
        <w:t>/or</w:t>
      </w:r>
      <w:r w:rsidRPr="00930F48">
        <w:t xml:space="preserve"> any mental illness which requires help or supervision.</w:t>
      </w:r>
    </w:p>
    <w:p w14:paraId="7648CA65" w14:textId="77777777" w:rsidR="00B80252" w:rsidRDefault="00B80252" w:rsidP="00B80252">
      <w:pPr>
        <w:pStyle w:val="NMHCGlossarySubheading"/>
      </w:pPr>
    </w:p>
    <w:p w14:paraId="070AFB20" w14:textId="6D9B34E3" w:rsidR="00F86D41" w:rsidRPr="00B80252" w:rsidRDefault="00F86D41" w:rsidP="00B80252">
      <w:pPr>
        <w:pStyle w:val="NMHCGlossarySubheading"/>
      </w:pPr>
      <w:r w:rsidRPr="00B80252">
        <w:t>Mental disorder</w:t>
      </w:r>
    </w:p>
    <w:p w14:paraId="72B7FBA8" w14:textId="539E0199" w:rsidR="00F86D41" w:rsidRPr="00B80252" w:rsidRDefault="00F86D41" w:rsidP="00B80252">
      <w:pPr>
        <w:rPr>
          <w:rFonts w:ascii="Roboto-Light" w:eastAsiaTheme="minorEastAsia" w:hAnsi="Roboto-Light"/>
          <w:b/>
          <w:color w:val="000000"/>
        </w:rPr>
      </w:pPr>
      <w:r w:rsidRPr="004E5D44">
        <w:rPr>
          <w:shd w:val="clear" w:color="auto" w:fill="FFFFFF"/>
        </w:rPr>
        <w:t>A mental disorder is characterised by a 'clinically significant disturbance in an individual’s cognition, emotional regulation, or behaviour</w:t>
      </w:r>
      <w:r w:rsidRPr="482444D8">
        <w:rPr>
          <w:rStyle w:val="EndnoteReference"/>
          <w:rFonts w:ascii="Roboto-Light" w:eastAsiaTheme="minorEastAsia" w:hAnsi="Roboto-Light"/>
          <w:color w:val="000000"/>
        </w:rPr>
        <w:endnoteReference w:id="165"/>
      </w:r>
      <w:r w:rsidRPr="482444D8">
        <w:rPr>
          <w:rFonts w:ascii="Roboto-Light" w:eastAsiaTheme="minorEastAsia" w:hAnsi="Roboto-Light"/>
          <w:color w:val="000000"/>
        </w:rPr>
        <w:t xml:space="preserve">'. </w:t>
      </w:r>
      <w:r w:rsidRPr="004E5D44">
        <w:rPr>
          <w:shd w:val="clear" w:color="auto" w:fill="FFFFFF"/>
        </w:rPr>
        <w:t>The term itself covers a range of disorders including anxiety, affective and substance use disorders.</w:t>
      </w:r>
    </w:p>
    <w:p w14:paraId="173E4888" w14:textId="77777777" w:rsidR="00F86D41" w:rsidRPr="00B80252" w:rsidRDefault="00F86D41" w:rsidP="00B80252">
      <w:pPr>
        <w:pStyle w:val="NMHCGlossarySubheading"/>
      </w:pPr>
      <w:r w:rsidRPr="00B80252">
        <w:t xml:space="preserve">Mental health </w:t>
      </w:r>
    </w:p>
    <w:p w14:paraId="4B713D7B" w14:textId="77777777" w:rsidR="00F86D41" w:rsidRPr="004E5D44" w:rsidRDefault="00F86D41" w:rsidP="00B80252">
      <w:pPr>
        <w:rPr>
          <w:shd w:val="clear" w:color="auto" w:fill="FFFFFF"/>
        </w:rPr>
      </w:pPr>
      <w:r w:rsidRPr="004E5D44">
        <w:rPr>
          <w:shd w:val="clear" w:color="auto" w:fill="FFFFFF"/>
        </w:rPr>
        <w:t xml:space="preserve">The World Health Organization defines mental health as a state of wellbeing in which every person realises their own potential, can cope with the normal stresses of life, can work productively and fruitfully and is able to </w:t>
      </w:r>
      <w:proofErr w:type="gramStart"/>
      <w:r w:rsidRPr="004E5D44">
        <w:rPr>
          <w:shd w:val="clear" w:color="auto" w:fill="FFFFFF"/>
        </w:rPr>
        <w:t>make a contribution</w:t>
      </w:r>
      <w:proofErr w:type="gramEnd"/>
      <w:r w:rsidRPr="004E5D44">
        <w:rPr>
          <w:shd w:val="clear" w:color="auto" w:fill="FFFFFF"/>
        </w:rPr>
        <w:t xml:space="preserve"> to their community.</w:t>
      </w:r>
    </w:p>
    <w:p w14:paraId="52507ABD" w14:textId="77777777" w:rsidR="00F86D41" w:rsidRPr="00B80252" w:rsidRDefault="00F86D41" w:rsidP="00B80252">
      <w:pPr>
        <w:pStyle w:val="NMHCGlossarySubheading"/>
      </w:pPr>
      <w:r w:rsidRPr="00B80252">
        <w:t>Psychological distress</w:t>
      </w:r>
    </w:p>
    <w:p w14:paraId="398CAC29" w14:textId="58C842FD" w:rsidR="00F86D41" w:rsidRPr="00B80252" w:rsidRDefault="00F86D41" w:rsidP="00B80252">
      <w:pPr>
        <w:rPr>
          <w:b/>
          <w:shd w:val="clear" w:color="auto" w:fill="FFFFFF"/>
        </w:rPr>
      </w:pPr>
      <w:r w:rsidRPr="004E5D44">
        <w:rPr>
          <w:shd w:val="clear" w:color="auto" w:fill="FFFFFF"/>
        </w:rPr>
        <w:t>Measured using the Kessler Psychological Distress</w:t>
      </w:r>
      <w:r w:rsidR="00B80252">
        <w:rPr>
          <w:b/>
          <w:shd w:val="clear" w:color="auto" w:fill="FFFFFF"/>
        </w:rPr>
        <w:t xml:space="preserve"> </w:t>
      </w:r>
      <w:r w:rsidRPr="004E5D44">
        <w:rPr>
          <w:shd w:val="clear" w:color="auto" w:fill="FFFFFF"/>
        </w:rPr>
        <w:t>Scale. The scale measures the level of current anxiety and depressive symptoms a person may have experienced in the 4 weeks before the interview.</w:t>
      </w:r>
    </w:p>
    <w:p w14:paraId="64B5617B" w14:textId="77777777" w:rsidR="00F86D41" w:rsidRPr="00B80252" w:rsidRDefault="00F86D41" w:rsidP="00B80252">
      <w:pPr>
        <w:pStyle w:val="NMHCGlossarySubheading"/>
      </w:pPr>
      <w:r w:rsidRPr="00B80252">
        <w:t>Restraint</w:t>
      </w:r>
    </w:p>
    <w:p w14:paraId="77815154" w14:textId="1FCF46F5" w:rsidR="00F86D41" w:rsidRPr="00B80252" w:rsidRDefault="00F86D41" w:rsidP="00B80252">
      <w:pPr>
        <w:rPr>
          <w:b/>
          <w:shd w:val="clear" w:color="auto" w:fill="FFFFFF"/>
        </w:rPr>
      </w:pPr>
      <w:r w:rsidRPr="004E5D44">
        <w:rPr>
          <w:shd w:val="clear" w:color="auto" w:fill="FFFFFF"/>
        </w:rPr>
        <w:t>The process of holding down or stopping a person from moving freely, either through use of an item or device (i.e., mechanical restraint) or one’s hands or body (i.e., physical restraint).</w:t>
      </w:r>
    </w:p>
    <w:p w14:paraId="3719ECF1" w14:textId="77777777" w:rsidR="00F86D41" w:rsidRPr="00B80252" w:rsidRDefault="00F86D41" w:rsidP="00B80252">
      <w:pPr>
        <w:pStyle w:val="NMHCGlossarySubheading"/>
      </w:pPr>
      <w:r w:rsidRPr="00B80252">
        <w:t>Seclusion</w:t>
      </w:r>
    </w:p>
    <w:p w14:paraId="4B5CEFF2" w14:textId="55437DB6" w:rsidR="00F86D41" w:rsidRPr="00B80252" w:rsidRDefault="00F86D41" w:rsidP="00B80252">
      <w:pPr>
        <w:rPr>
          <w:b/>
          <w:shd w:val="clear" w:color="auto" w:fill="FFFFFF"/>
        </w:rPr>
      </w:pPr>
      <w:r w:rsidRPr="004E5D44">
        <w:rPr>
          <w:shd w:val="clear" w:color="auto" w:fill="FFFFFF"/>
        </w:rPr>
        <w:t>The confinement of a consumer/patient at any time</w:t>
      </w:r>
      <w:r w:rsidR="00B80252">
        <w:rPr>
          <w:b/>
          <w:shd w:val="clear" w:color="auto" w:fill="FFFFFF"/>
        </w:rPr>
        <w:t xml:space="preserve"> </w:t>
      </w:r>
      <w:r w:rsidRPr="004E5D44">
        <w:rPr>
          <w:shd w:val="clear" w:color="auto" w:fill="FFFFFF"/>
        </w:rPr>
        <w:t>of the day or night alone in a room or area from which</w:t>
      </w:r>
      <w:r w:rsidR="00B80252">
        <w:rPr>
          <w:b/>
          <w:shd w:val="clear" w:color="auto" w:fill="FFFFFF"/>
        </w:rPr>
        <w:t xml:space="preserve"> </w:t>
      </w:r>
      <w:r w:rsidRPr="004E5D44">
        <w:rPr>
          <w:shd w:val="clear" w:color="auto" w:fill="FFFFFF"/>
        </w:rPr>
        <w:t>free exit is prevented.</w:t>
      </w:r>
    </w:p>
    <w:p w14:paraId="476DEA29" w14:textId="77777777" w:rsidR="00F86D41" w:rsidRPr="00B80252" w:rsidRDefault="00F86D41" w:rsidP="00B80252">
      <w:pPr>
        <w:pStyle w:val="NMHCGlossarySubheading"/>
      </w:pPr>
      <w:r w:rsidRPr="00B80252">
        <w:t>Specialised mental health services</w:t>
      </w:r>
    </w:p>
    <w:p w14:paraId="0A522D73" w14:textId="649A880B" w:rsidR="00F86D41" w:rsidRPr="00B80252" w:rsidRDefault="00F86D41" w:rsidP="00B80252">
      <w:pPr>
        <w:rPr>
          <w:b/>
          <w:shd w:val="clear" w:color="auto" w:fill="FFFFFF"/>
        </w:rPr>
      </w:pPr>
      <w:r w:rsidRPr="004E5D44">
        <w:rPr>
          <w:shd w:val="clear" w:color="auto" w:fill="FFFFFF"/>
        </w:rPr>
        <w:t>Services with a primary function to provide treatment,</w:t>
      </w:r>
      <w:r w:rsidR="00B80252">
        <w:rPr>
          <w:b/>
          <w:shd w:val="clear" w:color="auto" w:fill="FFFFFF"/>
        </w:rPr>
        <w:t xml:space="preserve"> </w:t>
      </w:r>
      <w:r w:rsidRPr="004E5D44">
        <w:rPr>
          <w:shd w:val="clear" w:color="auto" w:fill="FFFFFF"/>
        </w:rPr>
        <w:t>rehabilitation or community health support targeted</w:t>
      </w:r>
      <w:r w:rsidR="00B80252">
        <w:rPr>
          <w:b/>
          <w:shd w:val="clear" w:color="auto" w:fill="FFFFFF"/>
        </w:rPr>
        <w:t xml:space="preserve"> </w:t>
      </w:r>
      <w:r w:rsidRPr="004E5D44">
        <w:rPr>
          <w:shd w:val="clear" w:color="auto" w:fill="FFFFFF"/>
        </w:rPr>
        <w:t>towards people with a mental disorder or psychiatric</w:t>
      </w:r>
      <w:r w:rsidR="00B80252">
        <w:rPr>
          <w:b/>
          <w:shd w:val="clear" w:color="auto" w:fill="FFFFFF"/>
        </w:rPr>
        <w:t xml:space="preserve"> </w:t>
      </w:r>
      <w:r w:rsidRPr="004E5D44">
        <w:rPr>
          <w:shd w:val="clear" w:color="auto" w:fill="FFFFFF"/>
        </w:rPr>
        <w:t>disability. This includes admitted patient mental health</w:t>
      </w:r>
      <w:r w:rsidR="00B80252">
        <w:rPr>
          <w:b/>
          <w:shd w:val="clear" w:color="auto" w:fill="FFFFFF"/>
        </w:rPr>
        <w:t xml:space="preserve"> </w:t>
      </w:r>
      <w:r w:rsidRPr="004E5D44">
        <w:rPr>
          <w:shd w:val="clear" w:color="auto" w:fill="FFFFFF"/>
        </w:rPr>
        <w:t>care services, ambulatory mental health care services and residential mental health care services.</w:t>
      </w:r>
    </w:p>
    <w:p w14:paraId="0DA654D8" w14:textId="77777777" w:rsidR="00F86D41" w:rsidRPr="000B61C7" w:rsidRDefault="00F86D41" w:rsidP="00F86D41">
      <w:pPr>
        <w:pStyle w:val="NMHCGlossarySubheading"/>
      </w:pPr>
      <w:r w:rsidRPr="000B61C7">
        <w:t>Substance use disorder</w:t>
      </w:r>
    </w:p>
    <w:p w14:paraId="7F847EEC" w14:textId="77777777" w:rsidR="00B80252" w:rsidRDefault="00F86D41" w:rsidP="00F86D41">
      <w:pPr>
        <w:rPr>
          <w:lang w:val="en-AU"/>
        </w:rPr>
        <w:sectPr w:rsidR="00B80252" w:rsidSect="00B80252">
          <w:footnotePr>
            <w:numFmt w:val="lowerRoman"/>
          </w:footnotePr>
          <w:endnotePr>
            <w:numFmt w:val="decimal"/>
          </w:endnotePr>
          <w:type w:val="continuous"/>
          <w:pgSz w:w="11900" w:h="16840"/>
          <w:pgMar w:top="1701" w:right="1134" w:bottom="1701" w:left="1134" w:header="1134" w:footer="567" w:gutter="0"/>
          <w:cols w:num="2" w:space="708"/>
          <w:noEndnote/>
          <w:docGrid w:linePitch="360"/>
        </w:sectPr>
      </w:pPr>
      <w:r w:rsidRPr="00CE3AC1">
        <w:rPr>
          <w:lang w:val="en-AU"/>
        </w:rPr>
        <w:t xml:space="preserve">Substance </w:t>
      </w:r>
      <w:r>
        <w:rPr>
          <w:lang w:val="en-AU"/>
        </w:rPr>
        <w:t>u</w:t>
      </w:r>
      <w:r w:rsidRPr="00CE3AC1">
        <w:rPr>
          <w:lang w:val="en-AU"/>
        </w:rPr>
        <w:t xml:space="preserve">se </w:t>
      </w:r>
      <w:r>
        <w:rPr>
          <w:lang w:val="en-AU"/>
        </w:rPr>
        <w:t>d</w:t>
      </w:r>
      <w:r w:rsidRPr="00CE3AC1">
        <w:rPr>
          <w:lang w:val="en-AU"/>
        </w:rPr>
        <w:t xml:space="preserve">isorders involve the </w:t>
      </w:r>
      <w:r>
        <w:rPr>
          <w:lang w:val="en-AU"/>
        </w:rPr>
        <w:t>h</w:t>
      </w:r>
      <w:r w:rsidRPr="00CE3AC1">
        <w:rPr>
          <w:lang w:val="en-AU"/>
        </w:rPr>
        <w:t xml:space="preserve">armful </w:t>
      </w:r>
      <w:r>
        <w:rPr>
          <w:lang w:val="en-AU"/>
        </w:rPr>
        <w:t>u</w:t>
      </w:r>
      <w:r w:rsidRPr="00CE3AC1">
        <w:rPr>
          <w:lang w:val="en-AU"/>
        </w:rPr>
        <w:t xml:space="preserve">se and/or </w:t>
      </w:r>
      <w:r>
        <w:rPr>
          <w:lang w:val="en-AU"/>
        </w:rPr>
        <w:t>d</w:t>
      </w:r>
      <w:r w:rsidRPr="00CE3AC1">
        <w:rPr>
          <w:lang w:val="en-AU"/>
        </w:rPr>
        <w:t>ependence on alcohol and/or drugs. The misuse of drugs, defined as the use of illicit substances and the misuse of prescribed medicines, included opioids</w:t>
      </w:r>
      <w:r>
        <w:rPr>
          <w:lang w:val="en-AU"/>
        </w:rPr>
        <w:t xml:space="preserve">, </w:t>
      </w:r>
      <w:r w:rsidRPr="00CE3AC1">
        <w:rPr>
          <w:lang w:val="en-AU"/>
        </w:rPr>
        <w:t>cannabinoids</w:t>
      </w:r>
      <w:r>
        <w:rPr>
          <w:lang w:val="en-AU"/>
        </w:rPr>
        <w:t xml:space="preserve">, </w:t>
      </w:r>
      <w:r w:rsidRPr="00CE3AC1">
        <w:rPr>
          <w:lang w:val="en-AU"/>
        </w:rPr>
        <w:t>sedatives</w:t>
      </w:r>
      <w:r>
        <w:rPr>
          <w:lang w:val="en-AU"/>
        </w:rPr>
        <w:t xml:space="preserve"> and </w:t>
      </w:r>
      <w:r w:rsidRPr="00CE3AC1">
        <w:rPr>
          <w:lang w:val="en-AU"/>
        </w:rPr>
        <w:t>stimulant</w:t>
      </w:r>
      <w:r w:rsidR="00011374">
        <w:rPr>
          <w:lang w:val="en-AU"/>
        </w:rPr>
        <w:t>s.</w:t>
      </w:r>
    </w:p>
    <w:p w14:paraId="2E1C51D6" w14:textId="77777777" w:rsidR="000C32D4" w:rsidRDefault="00B80252" w:rsidP="000C32D4">
      <w:pPr>
        <w:pStyle w:val="Heading1"/>
        <w:tabs>
          <w:tab w:val="left" w:pos="2365"/>
        </w:tabs>
      </w:pPr>
      <w:bookmarkStart w:id="41" w:name="_Toc237878293"/>
      <w:r w:rsidRPr="008B1E66">
        <w:lastRenderedPageBreak/>
        <w:t>Referenc</w:t>
      </w:r>
      <w:r w:rsidR="009339E0">
        <w:t>e</w:t>
      </w:r>
      <w:r w:rsidR="00604985">
        <w:t>s</w:t>
      </w:r>
      <w:bookmarkEnd w:id="41"/>
      <w:r w:rsidR="00604985">
        <w:br/>
      </w:r>
    </w:p>
    <w:p w14:paraId="35CB8C5F" w14:textId="7E436E82" w:rsidR="000C32D4" w:rsidRPr="000C32D4" w:rsidRDefault="000C32D4" w:rsidP="007140DC">
      <w:pPr>
        <w:sectPr w:rsidR="000C32D4" w:rsidRPr="000C32D4" w:rsidSect="00C0341B">
          <w:footnotePr>
            <w:numFmt w:val="lowerRoman"/>
          </w:footnotePr>
          <w:endnotePr>
            <w:numFmt w:val="decimal"/>
          </w:endnotePr>
          <w:pgSz w:w="11900" w:h="16840"/>
          <w:pgMar w:top="1701" w:right="1134" w:bottom="1701" w:left="1134" w:header="1134" w:footer="567" w:gutter="0"/>
          <w:cols w:space="708"/>
          <w:docGrid w:linePitch="360"/>
        </w:sectPr>
      </w:pPr>
    </w:p>
    <w:p w14:paraId="58A0A90C" w14:textId="08154D2D" w:rsidR="00B80252" w:rsidRPr="00B80252" w:rsidRDefault="00B80252" w:rsidP="00B80252">
      <w:pPr>
        <w:pStyle w:val="Heading1"/>
        <w:tabs>
          <w:tab w:val="left" w:pos="2365"/>
        </w:tabs>
        <w:sectPr w:rsidR="00B80252" w:rsidRPr="00B80252" w:rsidSect="000A477D">
          <w:footnotePr>
            <w:numFmt w:val="lowerRoman"/>
          </w:footnotePr>
          <w:endnotePr>
            <w:numFmt w:val="decimal"/>
          </w:endnotePr>
          <w:type w:val="continuous"/>
          <w:pgSz w:w="11900" w:h="16840"/>
          <w:pgMar w:top="1701" w:right="1134" w:bottom="1701" w:left="1134" w:header="1134" w:footer="567" w:gutter="0"/>
          <w:cols w:space="708"/>
          <w:docGrid w:linePitch="360"/>
        </w:sectPr>
      </w:pPr>
    </w:p>
    <w:p w14:paraId="1479EEED" w14:textId="77777777" w:rsidR="00C00D1D" w:rsidRDefault="00604985" w:rsidP="00604985">
      <w:pPr>
        <w:pStyle w:val="Heading1"/>
      </w:pPr>
      <w:bookmarkStart w:id="42" w:name="_Toc237878294"/>
      <w:bookmarkEnd w:id="5"/>
      <w:bookmarkEnd w:id="6"/>
      <w:bookmarkEnd w:id="7"/>
      <w:bookmarkEnd w:id="8"/>
      <w:r>
        <w:lastRenderedPageBreak/>
        <w:t>Appendix 1</w:t>
      </w:r>
      <w:bookmarkEnd w:id="42"/>
    </w:p>
    <w:p w14:paraId="583EDAF0" w14:textId="46826C1A" w:rsidR="00604985" w:rsidRPr="00C00D1D" w:rsidRDefault="00604985" w:rsidP="00C00D1D">
      <w:pPr>
        <w:pStyle w:val="NMHCIntroParagraph"/>
      </w:pPr>
      <w:r w:rsidRPr="00C00D1D">
        <w:t xml:space="preserve">Report Card Reporting Framework </w:t>
      </w:r>
    </w:p>
    <w:p w14:paraId="7E6217DA" w14:textId="77777777" w:rsidR="00604985" w:rsidRDefault="00604985" w:rsidP="00604985">
      <w:pPr>
        <w:pStyle w:val="Heading2"/>
      </w:pPr>
      <w:r w:rsidRPr="00EA0EF9">
        <w:t> Core Question: How well is the mental health system faring in meeting the needs of people in Australia? </w:t>
      </w:r>
    </w:p>
    <w:p w14:paraId="143A1144" w14:textId="77777777" w:rsidR="00604985" w:rsidRPr="00462800" w:rsidRDefault="00604985" w:rsidP="00604985"/>
    <w:tbl>
      <w:tblPr>
        <w:tblW w:w="5000" w:type="pct"/>
        <w:tblBorders>
          <w:top w:val="outset" w:sz="6" w:space="0" w:color="auto"/>
          <w:left w:val="outset" w:sz="6" w:space="0" w:color="auto"/>
          <w:bottom w:val="outset" w:sz="6" w:space="0" w:color="auto"/>
          <w:right w:val="outset" w:sz="6" w:space="0" w:color="auto"/>
        </w:tblBorders>
        <w:tblLayout w:type="fixed"/>
        <w:tblCellMar>
          <w:top w:w="57" w:type="dxa"/>
          <w:left w:w="57" w:type="dxa"/>
          <w:bottom w:w="57" w:type="dxa"/>
          <w:right w:w="57" w:type="dxa"/>
        </w:tblCellMar>
        <w:tblLook w:val="04A0" w:firstRow="1" w:lastRow="0" w:firstColumn="1" w:lastColumn="0" w:noHBand="0" w:noVBand="1"/>
      </w:tblPr>
      <w:tblGrid>
        <w:gridCol w:w="1409"/>
        <w:gridCol w:w="1275"/>
        <w:gridCol w:w="3094"/>
        <w:gridCol w:w="2512"/>
        <w:gridCol w:w="5128"/>
      </w:tblGrid>
      <w:tr w:rsidR="00604985" w:rsidRPr="009A0B4E" w14:paraId="7506AEDE" w14:textId="77777777" w:rsidTr="00604985">
        <w:trPr>
          <w:trHeight w:val="534"/>
        </w:trPr>
        <w:tc>
          <w:tcPr>
            <w:tcW w:w="525"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545A60" w:themeFill="accent3"/>
            <w:hideMark/>
          </w:tcPr>
          <w:p w14:paraId="12B515FA" w14:textId="77777777" w:rsidR="00604985" w:rsidRPr="003E3A81" w:rsidRDefault="00604985" w:rsidP="009D015F">
            <w:pPr>
              <w:spacing w:after="0" w:line="240" w:lineRule="auto"/>
              <w:textAlignment w:val="baseline"/>
              <w:rPr>
                <w:rFonts w:ascii="Merriweather 18pt" w:eastAsia="Times New Roman" w:hAnsi="Merriweather 18pt"/>
                <w:color w:val="FFFFFF" w:themeColor="background1"/>
                <w:szCs w:val="18"/>
                <w:lang w:eastAsia="en-AU"/>
              </w:rPr>
            </w:pPr>
            <w:r w:rsidRPr="003E3A81">
              <w:rPr>
                <w:rFonts w:ascii="Merriweather 18pt" w:eastAsia="Times New Roman" w:hAnsi="Merriweather 18pt" w:cs="Arial"/>
                <w:b/>
                <w:bCs/>
                <w:color w:val="FFFFFF" w:themeColor="background1"/>
                <w:szCs w:val="18"/>
                <w:lang w:eastAsia="en-AU"/>
              </w:rPr>
              <w:t>Domains</w:t>
            </w:r>
            <w:r w:rsidRPr="003E3A81">
              <w:rPr>
                <w:rFonts w:ascii="Merriweather 18pt" w:eastAsia="Times New Roman" w:hAnsi="Merriweather 18pt" w:cs="Arial"/>
                <w:color w:val="FFFFFF" w:themeColor="background1"/>
                <w:szCs w:val="18"/>
                <w:lang w:eastAsia="en-AU"/>
              </w:rPr>
              <w:t> </w:t>
            </w:r>
          </w:p>
        </w:tc>
        <w:tc>
          <w:tcPr>
            <w:tcW w:w="1628" w:type="pct"/>
            <w:gridSpan w:val="2"/>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545A60" w:themeFill="accent3"/>
          </w:tcPr>
          <w:p w14:paraId="4818DB1B" w14:textId="77777777" w:rsidR="00604985" w:rsidRPr="003E3A81" w:rsidRDefault="00604985" w:rsidP="009D015F">
            <w:pPr>
              <w:spacing w:after="0" w:line="240" w:lineRule="auto"/>
              <w:textAlignment w:val="baseline"/>
              <w:rPr>
                <w:rFonts w:ascii="Merriweather 18pt" w:eastAsia="Times New Roman" w:hAnsi="Merriweather 18pt"/>
                <w:color w:val="FFFFFF" w:themeColor="background1"/>
                <w:szCs w:val="18"/>
                <w:lang w:eastAsia="en-AU"/>
              </w:rPr>
            </w:pPr>
            <w:r w:rsidRPr="003E3A81">
              <w:rPr>
                <w:rFonts w:ascii="Merriweather 18pt" w:eastAsia="Times New Roman" w:hAnsi="Merriweather 18pt" w:cs="Arial"/>
                <w:b/>
                <w:bCs/>
                <w:color w:val="FFFFFF" w:themeColor="background1"/>
                <w:szCs w:val="18"/>
                <w:lang w:eastAsia="en-AU"/>
              </w:rPr>
              <w:t>Guiding Questions</w:t>
            </w:r>
            <w:r w:rsidRPr="003E3A81">
              <w:rPr>
                <w:rFonts w:ascii="Merriweather 18pt" w:eastAsia="Times New Roman" w:hAnsi="Merriweather 18pt" w:cs="Arial"/>
                <w:color w:val="FFFFFF" w:themeColor="background1"/>
                <w:szCs w:val="18"/>
                <w:lang w:eastAsia="en-AU"/>
              </w:rPr>
              <w:t> </w:t>
            </w: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545A60" w:themeFill="accent3"/>
          </w:tcPr>
          <w:p w14:paraId="7C9A78FD" w14:textId="77777777" w:rsidR="00604985" w:rsidRPr="003E3A81" w:rsidRDefault="00604985" w:rsidP="009D015F">
            <w:pPr>
              <w:spacing w:after="0" w:line="240" w:lineRule="auto"/>
              <w:textAlignment w:val="baseline"/>
              <w:rPr>
                <w:rFonts w:ascii="Merriweather 18pt" w:eastAsia="Times New Roman" w:hAnsi="Merriweather 18pt" w:cs="Arial"/>
                <w:b/>
                <w:bCs/>
                <w:color w:val="FFFFFF" w:themeColor="background1"/>
                <w:szCs w:val="18"/>
                <w:lang w:eastAsia="en-AU"/>
              </w:rPr>
            </w:pPr>
            <w:r w:rsidRPr="003E3A81">
              <w:rPr>
                <w:rFonts w:ascii="Merriweather 18pt" w:eastAsia="Times New Roman" w:hAnsi="Merriweather 18pt" w:cs="Arial"/>
                <w:b/>
                <w:bCs/>
                <w:color w:val="FFFFFF" w:themeColor="background1"/>
                <w:szCs w:val="18"/>
                <w:lang w:eastAsia="en-AU"/>
              </w:rPr>
              <w:t xml:space="preserve">Indicators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545A60" w:themeFill="accent3"/>
          </w:tcPr>
          <w:p w14:paraId="4D208E7A" w14:textId="77777777" w:rsidR="00604985" w:rsidRPr="003E3A81" w:rsidRDefault="00604985" w:rsidP="009D015F">
            <w:pPr>
              <w:spacing w:after="0" w:line="240" w:lineRule="auto"/>
              <w:textAlignment w:val="baseline"/>
              <w:rPr>
                <w:rFonts w:ascii="Merriweather 18pt" w:eastAsia="Times New Roman" w:hAnsi="Merriweather 18pt" w:cs="Arial"/>
                <w:b/>
                <w:bCs/>
                <w:color w:val="FFFFFF" w:themeColor="background1"/>
                <w:szCs w:val="18"/>
                <w:lang w:eastAsia="en-AU"/>
              </w:rPr>
            </w:pPr>
            <w:r w:rsidRPr="003E3A81">
              <w:rPr>
                <w:rFonts w:ascii="Merriweather 18pt" w:eastAsia="Times New Roman" w:hAnsi="Merriweather 18pt" w:cs="Arial"/>
                <w:b/>
                <w:bCs/>
                <w:color w:val="FFFFFF" w:themeColor="background1"/>
                <w:szCs w:val="18"/>
                <w:lang w:eastAsia="en-AU"/>
              </w:rPr>
              <w:t xml:space="preserve">Data sources </w:t>
            </w:r>
            <w:r w:rsidRPr="003E3A81">
              <w:rPr>
                <w:rFonts w:ascii="Merriweather 18pt" w:eastAsia="Times New Roman" w:hAnsi="Merriweather 18pt" w:cs="Arial"/>
                <w:b/>
                <w:bCs/>
                <w:color w:val="FFFFFF" w:themeColor="background1"/>
                <w:szCs w:val="18"/>
                <w:lang w:eastAsia="en-AU"/>
              </w:rPr>
              <w:br/>
            </w:r>
            <w:r w:rsidRPr="009A0B4E">
              <w:rPr>
                <w:color w:val="FFFFFF" w:themeColor="background1"/>
                <w:szCs w:val="18"/>
                <w:lang w:eastAsia="en-AU"/>
              </w:rPr>
              <w:t>(including drawing on supplementary data sources when there are no updates to the primary data sources since last Report Card)</w:t>
            </w:r>
          </w:p>
        </w:tc>
      </w:tr>
      <w:tr w:rsidR="00604985" w:rsidRPr="009A0B4E" w14:paraId="66352F7B" w14:textId="77777777" w:rsidTr="00604985">
        <w:trPr>
          <w:trHeight w:val="872"/>
        </w:trPr>
        <w:tc>
          <w:tcPr>
            <w:tcW w:w="525" w:type="pct"/>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F2F6D5"/>
            <w:hideMark/>
          </w:tcPr>
          <w:p w14:paraId="1C6F5E9B" w14:textId="77777777" w:rsidR="00604985" w:rsidRPr="003E3A81" w:rsidRDefault="00604985" w:rsidP="009D015F">
            <w:pPr>
              <w:spacing w:after="0" w:line="240" w:lineRule="auto"/>
              <w:textAlignment w:val="baseline"/>
              <w:rPr>
                <w:rFonts w:eastAsia="Times New Roman"/>
                <w:szCs w:val="18"/>
                <w:lang w:eastAsia="en-AU"/>
              </w:rPr>
            </w:pPr>
            <w:r w:rsidRPr="003E3A81">
              <w:rPr>
                <w:rFonts w:eastAsia="Times New Roman" w:cs="Arial"/>
                <w:b/>
                <w:bCs/>
                <w:szCs w:val="18"/>
                <w:lang w:eastAsia="en-AU"/>
              </w:rPr>
              <w:t>Mental Health</w:t>
            </w:r>
            <w:r w:rsidRPr="003E3A81">
              <w:rPr>
                <w:rFonts w:eastAsia="Times New Roman" w:cs="Arial"/>
                <w:szCs w:val="18"/>
                <w:lang w:eastAsia="en-AU"/>
              </w:rPr>
              <w:t> </w:t>
            </w:r>
            <w:r w:rsidRPr="003E3A81">
              <w:rPr>
                <w:rFonts w:eastAsia="Times New Roman" w:cs="Arial"/>
                <w:b/>
                <w:bCs/>
                <w:szCs w:val="18"/>
                <w:lang w:eastAsia="en-AU"/>
              </w:rPr>
              <w:t>- Domain 1</w:t>
            </w:r>
          </w:p>
          <w:p w14:paraId="778D1F9F" w14:textId="77777777" w:rsidR="00604985" w:rsidRPr="003E3A81" w:rsidRDefault="00604985" w:rsidP="009D015F">
            <w:pPr>
              <w:spacing w:after="0" w:line="240" w:lineRule="auto"/>
              <w:textAlignment w:val="baseline"/>
              <w:rPr>
                <w:rFonts w:eastAsia="Times New Roman"/>
                <w:szCs w:val="18"/>
                <w:lang w:eastAsia="en-AU"/>
              </w:rPr>
            </w:pPr>
            <w:r w:rsidRPr="003E3A81">
              <w:rPr>
                <w:rFonts w:eastAsia="Times New Roman" w:cs="Arial"/>
                <w:szCs w:val="18"/>
                <w:lang w:eastAsia="en-AU"/>
              </w:rPr>
              <w:t>What is the status of key mental health and wellbeing outcomes for people with lived experience of mental health challenges? </w:t>
            </w:r>
          </w:p>
        </w:tc>
        <w:tc>
          <w:tcPr>
            <w:tcW w:w="1628" w:type="pct"/>
            <w:gridSpan w:val="2"/>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C030341" w14:textId="77777777" w:rsidR="00604985" w:rsidRPr="003E3A81" w:rsidRDefault="00604985" w:rsidP="009D015F">
            <w:pPr>
              <w:rPr>
                <w:b/>
                <w:bCs/>
                <w:szCs w:val="18"/>
              </w:rPr>
            </w:pPr>
            <w:r w:rsidRPr="003E3A81">
              <w:rPr>
                <w:b/>
                <w:bCs/>
                <w:szCs w:val="18"/>
              </w:rPr>
              <w:t>How mentally healthy are people in Australia? </w:t>
            </w:r>
          </w:p>
          <w:p w14:paraId="1AA0D56B" w14:textId="77777777" w:rsidR="00604985" w:rsidRPr="003E3A81" w:rsidRDefault="00604985" w:rsidP="009D015F">
            <w:pPr>
              <w:rPr>
                <w:b/>
                <w:bCs/>
                <w:szCs w:val="18"/>
              </w:rPr>
            </w:pPr>
            <w:r w:rsidRPr="003E3A81">
              <w:rPr>
                <w:b/>
                <w:bCs/>
                <w:szCs w:val="18"/>
              </w:rPr>
              <w:t>Is it the same for everyone? </w:t>
            </w: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72826A4" w14:textId="77777777" w:rsidR="00604985" w:rsidRPr="003E3A81" w:rsidRDefault="00604985" w:rsidP="009D015F">
            <w:pPr>
              <w:pStyle w:val="ListBullet"/>
            </w:pPr>
            <w:r w:rsidRPr="003E3A81">
              <w:t>Prevalence of mental disorders</w:t>
            </w:r>
          </w:p>
          <w:p w14:paraId="4A5F20F8" w14:textId="77777777" w:rsidR="00604985" w:rsidRPr="003E3A81" w:rsidRDefault="00604985" w:rsidP="009D015F">
            <w:pPr>
              <w:pStyle w:val="ListBullet"/>
              <w:numPr>
                <w:ilvl w:val="0"/>
                <w:numId w:val="0"/>
              </w:numPr>
              <w:ind w:left="170"/>
            </w:pP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E809732" w14:textId="77777777" w:rsidR="00604985" w:rsidRPr="003E3A81" w:rsidRDefault="00604985" w:rsidP="009D015F">
            <w:pPr>
              <w:rPr>
                <w:szCs w:val="18"/>
              </w:rPr>
            </w:pPr>
            <w:r w:rsidRPr="003E3A81">
              <w:rPr>
                <w:szCs w:val="18"/>
              </w:rPr>
              <w:t>National Study of Mental Health and Wellbeing (2020-2022)</w:t>
            </w:r>
            <w:r w:rsidRPr="003E3A81">
              <w:rPr>
                <w:szCs w:val="18"/>
              </w:rPr>
              <w:br/>
            </w:r>
            <w:r w:rsidRPr="003E3A81">
              <w:rPr>
                <w:i/>
                <w:iCs/>
                <w:szCs w:val="18"/>
              </w:rPr>
              <w:t xml:space="preserve">National Health Survey </w:t>
            </w:r>
            <w:r w:rsidRPr="003E3A81">
              <w:rPr>
                <w:szCs w:val="18"/>
              </w:rPr>
              <w:t xml:space="preserve">and </w:t>
            </w:r>
            <w:r w:rsidRPr="003E3A81">
              <w:rPr>
                <w:i/>
                <w:iCs/>
                <w:szCs w:val="18"/>
              </w:rPr>
              <w:t>National Aboriginal and Torres Strait Islander Health Survey (2022-2023)</w:t>
            </w:r>
          </w:p>
        </w:tc>
      </w:tr>
      <w:tr w:rsidR="00604985" w:rsidRPr="009A0B4E" w14:paraId="2EF8A054" w14:textId="77777777" w:rsidTr="00604985">
        <w:trPr>
          <w:trHeight w:val="487"/>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F2F6D5"/>
          </w:tcPr>
          <w:p w14:paraId="216B651E"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1628" w:type="pct"/>
            <w:gridSpan w:val="2"/>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012E4CD" w14:textId="77777777" w:rsidR="00604985" w:rsidRPr="003E3A81" w:rsidRDefault="00604985" w:rsidP="009D015F">
            <w:pPr>
              <w:rPr>
                <w:b/>
                <w:bCs/>
                <w:szCs w:val="18"/>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FE04917" w14:textId="77777777" w:rsidR="00604985" w:rsidRPr="003E3A81" w:rsidRDefault="00604985" w:rsidP="009D015F">
            <w:pPr>
              <w:pStyle w:val="ListBullet"/>
            </w:pPr>
            <w:r w:rsidRPr="003E3A81">
              <w:t>Psychological distress</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A60CF2C" w14:textId="77777777" w:rsidR="00604985" w:rsidRPr="003E3A81" w:rsidRDefault="00604985" w:rsidP="009D015F">
            <w:pPr>
              <w:rPr>
                <w:szCs w:val="18"/>
              </w:rPr>
            </w:pPr>
            <w:r w:rsidRPr="003E3A81">
              <w:rPr>
                <w:szCs w:val="18"/>
              </w:rPr>
              <w:t>National Health Survey (2022)</w:t>
            </w:r>
            <w:r w:rsidRPr="003E3A81">
              <w:rPr>
                <w:szCs w:val="18"/>
              </w:rPr>
              <w:br/>
            </w:r>
            <w:r w:rsidRPr="003E3A81">
              <w:rPr>
                <w:i/>
                <w:iCs/>
                <w:szCs w:val="18"/>
              </w:rPr>
              <w:t>General Social Survey (2025)</w:t>
            </w:r>
          </w:p>
        </w:tc>
      </w:tr>
      <w:tr w:rsidR="00604985" w:rsidRPr="009A0B4E" w14:paraId="34CB6775" w14:textId="77777777" w:rsidTr="00604985">
        <w:trPr>
          <w:trHeight w:val="428"/>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F2F6D5"/>
          </w:tcPr>
          <w:p w14:paraId="132B8C16"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1628" w:type="pct"/>
            <w:gridSpan w:val="2"/>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8A9EC1B" w14:textId="77777777" w:rsidR="00604985" w:rsidRPr="003E3A81" w:rsidRDefault="00604985" w:rsidP="009D015F">
            <w:pPr>
              <w:rPr>
                <w:b/>
                <w:bCs/>
                <w:szCs w:val="18"/>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9D37F8D" w14:textId="77777777" w:rsidR="00604985" w:rsidRPr="003E3A81" w:rsidRDefault="00604985" w:rsidP="009D015F">
            <w:pPr>
              <w:pStyle w:val="ListBullet"/>
            </w:pPr>
            <w:r w:rsidRPr="003E3A81">
              <w:t>Overall life satisfaction</w:t>
            </w:r>
          </w:p>
          <w:p w14:paraId="41D149D2" w14:textId="77777777" w:rsidR="00604985" w:rsidRPr="003E3A81" w:rsidRDefault="00604985" w:rsidP="009D015F">
            <w:pPr>
              <w:pStyle w:val="ListBullet"/>
              <w:numPr>
                <w:ilvl w:val="0"/>
                <w:numId w:val="0"/>
              </w:numPr>
              <w:ind w:left="170"/>
            </w:pP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509D209" w14:textId="77777777" w:rsidR="00604985" w:rsidRPr="003E3A81" w:rsidRDefault="00604985" w:rsidP="009D015F">
            <w:pPr>
              <w:rPr>
                <w:szCs w:val="18"/>
              </w:rPr>
            </w:pPr>
            <w:r w:rsidRPr="003E3A81">
              <w:rPr>
                <w:szCs w:val="18"/>
              </w:rPr>
              <w:t>General Social Survey (2025)</w:t>
            </w:r>
            <w:r w:rsidRPr="003E3A81">
              <w:rPr>
                <w:szCs w:val="18"/>
              </w:rPr>
              <w:br/>
            </w:r>
            <w:r w:rsidRPr="003E3A81">
              <w:rPr>
                <w:i/>
                <w:iCs/>
                <w:szCs w:val="18"/>
              </w:rPr>
              <w:t xml:space="preserve">Household Income and Labour Dynamics in Australia Survey (HILDA) (most recent module for this indicator is 2024) </w:t>
            </w:r>
          </w:p>
        </w:tc>
      </w:tr>
      <w:tr w:rsidR="00604985" w:rsidRPr="009A0B4E" w14:paraId="1738AFD7" w14:textId="77777777" w:rsidTr="00604985">
        <w:trPr>
          <w:trHeight w:val="487"/>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F2F6D5"/>
          </w:tcPr>
          <w:p w14:paraId="7A4CB237"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1628" w:type="pct"/>
            <w:gridSpan w:val="2"/>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B5DE974" w14:textId="77777777" w:rsidR="00604985" w:rsidRPr="003E3A81" w:rsidRDefault="00604985" w:rsidP="009D015F">
            <w:pPr>
              <w:rPr>
                <w:b/>
                <w:bCs/>
                <w:szCs w:val="18"/>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CD2028D" w14:textId="77777777" w:rsidR="00604985" w:rsidRPr="003E3A81" w:rsidRDefault="00604985" w:rsidP="009D015F">
            <w:pPr>
              <w:pStyle w:val="ListBullet"/>
            </w:pPr>
            <w:r w:rsidRPr="003E3A81">
              <w:t>Feeling in control</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FB894FD" w14:textId="6B72B7E1" w:rsidR="00604985" w:rsidRPr="003E3A81" w:rsidRDefault="00604985" w:rsidP="009D015F">
            <w:pPr>
              <w:rPr>
                <w:szCs w:val="18"/>
              </w:rPr>
            </w:pPr>
            <w:r w:rsidRPr="003E3A81">
              <w:rPr>
                <w:szCs w:val="18"/>
              </w:rPr>
              <w:t>HILDA</w:t>
            </w:r>
            <w:r w:rsidR="00F11428">
              <w:rPr>
                <w:szCs w:val="18"/>
              </w:rPr>
              <w:t xml:space="preserve"> </w:t>
            </w:r>
            <w:r w:rsidRPr="003E3A81">
              <w:rPr>
                <w:szCs w:val="18"/>
              </w:rPr>
              <w:t>Survey (most recent module for this indicator is 2023)</w:t>
            </w:r>
          </w:p>
        </w:tc>
      </w:tr>
      <w:tr w:rsidR="00604985" w:rsidRPr="009A0B4E" w14:paraId="3139F204" w14:textId="77777777" w:rsidTr="00604985">
        <w:trPr>
          <w:trHeight w:val="317"/>
        </w:trPr>
        <w:tc>
          <w:tcPr>
            <w:tcW w:w="525" w:type="pct"/>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D9EDFA"/>
            <w:hideMark/>
          </w:tcPr>
          <w:p w14:paraId="74BE7D3B" w14:textId="77777777" w:rsidR="00604985" w:rsidRPr="003E3A81" w:rsidRDefault="00604985" w:rsidP="009D015F">
            <w:pPr>
              <w:spacing w:after="0" w:line="240" w:lineRule="auto"/>
              <w:textAlignment w:val="baseline"/>
              <w:rPr>
                <w:rFonts w:eastAsia="Times New Roman"/>
                <w:szCs w:val="18"/>
                <w:lang w:eastAsia="en-AU"/>
              </w:rPr>
            </w:pPr>
            <w:r w:rsidRPr="003E3A81">
              <w:rPr>
                <w:rFonts w:eastAsia="Times New Roman" w:cs="Arial"/>
                <w:b/>
                <w:bCs/>
                <w:szCs w:val="18"/>
                <w:lang w:eastAsia="en-AU"/>
              </w:rPr>
              <w:t>Social Determinants</w:t>
            </w:r>
            <w:r w:rsidRPr="003E3A81">
              <w:rPr>
                <w:rFonts w:eastAsia="Times New Roman" w:cs="Arial"/>
                <w:szCs w:val="18"/>
                <w:lang w:eastAsia="en-AU"/>
              </w:rPr>
              <w:t xml:space="preserve"> - </w:t>
            </w:r>
            <w:r w:rsidRPr="003E3A81">
              <w:rPr>
                <w:rFonts w:eastAsia="Times New Roman" w:cs="Arial"/>
                <w:b/>
                <w:bCs/>
                <w:szCs w:val="18"/>
                <w:lang w:eastAsia="en-AU"/>
              </w:rPr>
              <w:t>Domain 2</w:t>
            </w:r>
          </w:p>
          <w:p w14:paraId="4AD72E21" w14:textId="77777777" w:rsidR="00604985" w:rsidRPr="003E3A81" w:rsidRDefault="00604985" w:rsidP="009D015F">
            <w:pPr>
              <w:spacing w:after="0" w:line="240" w:lineRule="auto"/>
              <w:textAlignment w:val="baseline"/>
              <w:rPr>
                <w:rFonts w:eastAsia="Times New Roman"/>
                <w:szCs w:val="18"/>
                <w:lang w:eastAsia="en-AU"/>
              </w:rPr>
            </w:pPr>
            <w:r w:rsidRPr="003E3A81">
              <w:rPr>
                <w:rFonts w:eastAsia="Times New Roman" w:cs="Arial"/>
                <w:szCs w:val="18"/>
                <w:lang w:eastAsia="en-AU"/>
              </w:rPr>
              <w:t xml:space="preserve">How are the broader social factors that have an impact on mental health of people </w:t>
            </w:r>
            <w:r w:rsidRPr="003E3A81">
              <w:rPr>
                <w:rFonts w:eastAsia="Times New Roman" w:cs="Arial"/>
                <w:szCs w:val="18"/>
                <w:lang w:eastAsia="en-AU"/>
              </w:rPr>
              <w:lastRenderedPageBreak/>
              <w:t>in Australia, as well as the whole of life outcomes for people with lived experience, tracking? </w:t>
            </w:r>
          </w:p>
        </w:tc>
        <w:tc>
          <w:tcPr>
            <w:tcW w:w="1628" w:type="pct"/>
            <w:gridSpan w:val="2"/>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C117ED5" w14:textId="77777777" w:rsidR="00604985" w:rsidRPr="003E3A81" w:rsidRDefault="00604985" w:rsidP="009D015F">
            <w:pPr>
              <w:rPr>
                <w:b/>
                <w:bCs/>
                <w:szCs w:val="18"/>
              </w:rPr>
            </w:pPr>
            <w:r w:rsidRPr="003E3A81">
              <w:rPr>
                <w:b/>
                <w:bCs/>
                <w:szCs w:val="18"/>
              </w:rPr>
              <w:lastRenderedPageBreak/>
              <w:t>Are the factors that influence mental health improving? </w:t>
            </w:r>
          </w:p>
          <w:p w14:paraId="063B78DD" w14:textId="77777777" w:rsidR="00604985" w:rsidRPr="003E3A81" w:rsidRDefault="00604985" w:rsidP="009D015F">
            <w:pPr>
              <w:rPr>
                <w:b/>
                <w:bCs/>
                <w:szCs w:val="18"/>
              </w:rPr>
            </w:pPr>
            <w:r w:rsidRPr="003E3A81">
              <w:rPr>
                <w:b/>
                <w:bCs/>
                <w:szCs w:val="18"/>
              </w:rPr>
              <w:t>What are the experiences of people with mental health challenges compared to the community?</w:t>
            </w: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29874B4" w14:textId="77777777" w:rsidR="00604985" w:rsidRPr="003E3A81" w:rsidRDefault="00604985" w:rsidP="009D015F">
            <w:pPr>
              <w:pStyle w:val="ListBullet"/>
            </w:pPr>
            <w:r w:rsidRPr="003E3A81">
              <w:t>Proportion of children who are developmentally vulnerable</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DC1DCA2" w14:textId="77777777" w:rsidR="00604985" w:rsidRPr="003E3A81" w:rsidRDefault="00604985" w:rsidP="009D015F">
            <w:pPr>
              <w:rPr>
                <w:szCs w:val="18"/>
              </w:rPr>
            </w:pPr>
            <w:r w:rsidRPr="003E3A81">
              <w:rPr>
                <w:szCs w:val="18"/>
              </w:rPr>
              <w:t>Australian Early Development Census (2024)</w:t>
            </w:r>
          </w:p>
        </w:tc>
      </w:tr>
      <w:tr w:rsidR="00604985" w:rsidRPr="009A0B4E" w14:paraId="7484A62C" w14:textId="77777777" w:rsidTr="00604985">
        <w:trPr>
          <w:trHeight w:val="311"/>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D9EDFA"/>
          </w:tcPr>
          <w:p w14:paraId="17066204"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1628" w:type="pct"/>
            <w:gridSpan w:val="2"/>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AEAEFC5" w14:textId="77777777" w:rsidR="00604985" w:rsidRPr="003E3A81" w:rsidRDefault="00604985" w:rsidP="009D015F">
            <w:pPr>
              <w:spacing w:after="0" w:line="240" w:lineRule="auto"/>
              <w:textAlignment w:val="baseline"/>
              <w:rPr>
                <w:rFonts w:eastAsia="Times New Roman" w:cs="Arial"/>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1FD3ADF" w14:textId="77777777" w:rsidR="00604985" w:rsidRPr="003E3A81" w:rsidRDefault="00604985" w:rsidP="009D015F">
            <w:pPr>
              <w:pStyle w:val="ListBullet"/>
            </w:pPr>
            <w:r w:rsidRPr="003E3A81">
              <w:t>Housing security (homelessness)</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AC862D6" w14:textId="77777777" w:rsidR="00604985" w:rsidRPr="003E3A81" w:rsidRDefault="00604985" w:rsidP="009D015F">
            <w:pPr>
              <w:rPr>
                <w:szCs w:val="18"/>
              </w:rPr>
            </w:pPr>
            <w:r w:rsidRPr="003E3A81">
              <w:rPr>
                <w:szCs w:val="18"/>
              </w:rPr>
              <w:t>National Study of Mental Health and Wellbeing (2020-2022)</w:t>
            </w:r>
            <w:r w:rsidRPr="003E3A81">
              <w:rPr>
                <w:szCs w:val="18"/>
              </w:rPr>
              <w:br/>
            </w:r>
            <w:r w:rsidRPr="003E3A81">
              <w:rPr>
                <w:i/>
                <w:iCs/>
                <w:szCs w:val="18"/>
              </w:rPr>
              <w:t xml:space="preserve">Census of Population and Housing (most recent is 2021) </w:t>
            </w:r>
            <w:r w:rsidRPr="003E3A81">
              <w:rPr>
                <w:szCs w:val="18"/>
              </w:rPr>
              <w:t xml:space="preserve">and </w:t>
            </w:r>
            <w:r w:rsidRPr="003E3A81">
              <w:rPr>
                <w:i/>
                <w:iCs/>
                <w:szCs w:val="18"/>
              </w:rPr>
              <w:t>Specialist Homelessness Services Collection (most recent 2024-25)</w:t>
            </w:r>
          </w:p>
        </w:tc>
      </w:tr>
      <w:tr w:rsidR="00604985" w:rsidRPr="009A0B4E" w14:paraId="377B0C74" w14:textId="77777777" w:rsidTr="00604985">
        <w:trPr>
          <w:trHeight w:val="311"/>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D9EDFA"/>
          </w:tcPr>
          <w:p w14:paraId="1FE7DE8C"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1628" w:type="pct"/>
            <w:gridSpan w:val="2"/>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D515E61" w14:textId="77777777" w:rsidR="00604985" w:rsidRPr="003E3A81" w:rsidRDefault="00604985" w:rsidP="009D015F">
            <w:pPr>
              <w:spacing w:after="0" w:line="240" w:lineRule="auto"/>
              <w:textAlignment w:val="baseline"/>
              <w:rPr>
                <w:rFonts w:eastAsia="Times New Roman" w:cs="Arial"/>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59E6795" w14:textId="77777777" w:rsidR="00604985" w:rsidRPr="003E3A81" w:rsidRDefault="00604985" w:rsidP="009D015F">
            <w:pPr>
              <w:pStyle w:val="ListBullet"/>
            </w:pPr>
            <w:r w:rsidRPr="003E3A81">
              <w:t>Financial stress</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8F8AFBF" w14:textId="77777777" w:rsidR="00604985" w:rsidRPr="003E3A81" w:rsidRDefault="00604985" w:rsidP="009D015F">
            <w:pPr>
              <w:rPr>
                <w:szCs w:val="18"/>
              </w:rPr>
            </w:pPr>
            <w:r w:rsidRPr="003E3A81">
              <w:rPr>
                <w:szCs w:val="18"/>
              </w:rPr>
              <w:t>General Social Survey (2025)</w:t>
            </w:r>
            <w:r w:rsidRPr="003E3A81">
              <w:rPr>
                <w:szCs w:val="18"/>
              </w:rPr>
              <w:br/>
            </w:r>
            <w:r w:rsidRPr="003E3A81">
              <w:rPr>
                <w:i/>
                <w:iCs/>
                <w:szCs w:val="18"/>
              </w:rPr>
              <w:t xml:space="preserve">HILDA Survey (most recent module for this indicator is 2024), Scanlon Mapping Social Cohesion Survey (2025) </w:t>
            </w:r>
          </w:p>
        </w:tc>
      </w:tr>
      <w:tr w:rsidR="00604985" w:rsidRPr="009A0B4E" w14:paraId="79DFA76B" w14:textId="77777777" w:rsidTr="00604985">
        <w:trPr>
          <w:trHeight w:val="311"/>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D9EDFA"/>
          </w:tcPr>
          <w:p w14:paraId="06997E5C"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1628" w:type="pct"/>
            <w:gridSpan w:val="2"/>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9913616" w14:textId="77777777" w:rsidR="00604985" w:rsidRPr="003E3A81" w:rsidRDefault="00604985" w:rsidP="009D015F">
            <w:pPr>
              <w:spacing w:after="0" w:line="240" w:lineRule="auto"/>
              <w:textAlignment w:val="baseline"/>
              <w:rPr>
                <w:rFonts w:eastAsia="Times New Roman" w:cs="Arial"/>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2D4B957" w14:textId="77777777" w:rsidR="00604985" w:rsidRPr="003E3A81" w:rsidRDefault="00604985" w:rsidP="009D015F">
            <w:pPr>
              <w:pStyle w:val="ListBullet"/>
            </w:pPr>
            <w:r w:rsidRPr="003E3A81">
              <w:t>Employment rate</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5D72629" w14:textId="77777777" w:rsidR="00604985" w:rsidRPr="003E3A81" w:rsidRDefault="00604985" w:rsidP="009D015F">
            <w:pPr>
              <w:rPr>
                <w:szCs w:val="18"/>
              </w:rPr>
            </w:pPr>
            <w:r w:rsidRPr="003E3A81">
              <w:rPr>
                <w:szCs w:val="18"/>
              </w:rPr>
              <w:t>National Health Survey (2022)</w:t>
            </w:r>
          </w:p>
        </w:tc>
      </w:tr>
      <w:tr w:rsidR="00604985" w:rsidRPr="009A0B4E" w14:paraId="2854F9B0" w14:textId="77777777" w:rsidTr="00604985">
        <w:trPr>
          <w:trHeight w:val="311"/>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D9EDFA"/>
          </w:tcPr>
          <w:p w14:paraId="14269A60"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1628" w:type="pct"/>
            <w:gridSpan w:val="2"/>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7FD1AEF" w14:textId="77777777" w:rsidR="00604985" w:rsidRPr="003E3A81" w:rsidRDefault="00604985" w:rsidP="009D015F">
            <w:pPr>
              <w:spacing w:after="0" w:line="240" w:lineRule="auto"/>
              <w:textAlignment w:val="baseline"/>
              <w:rPr>
                <w:rFonts w:eastAsia="Times New Roman" w:cs="Arial"/>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3FF164C" w14:textId="77777777" w:rsidR="00604985" w:rsidRPr="003E3A81" w:rsidRDefault="00604985" w:rsidP="009D015F">
            <w:pPr>
              <w:pStyle w:val="ListBullet"/>
            </w:pPr>
            <w:r w:rsidRPr="003E3A81">
              <w:t>Engagement in employment or study for young people</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C07226C" w14:textId="77777777" w:rsidR="00604985" w:rsidRPr="003E3A81" w:rsidRDefault="00604985" w:rsidP="009D015F">
            <w:pPr>
              <w:rPr>
                <w:szCs w:val="18"/>
              </w:rPr>
            </w:pPr>
            <w:r w:rsidRPr="003E3A81">
              <w:rPr>
                <w:szCs w:val="18"/>
              </w:rPr>
              <w:t>National Health Survey (2022)</w:t>
            </w:r>
          </w:p>
          <w:p w14:paraId="18C067A6" w14:textId="77777777" w:rsidR="00604985" w:rsidRPr="003E3A81" w:rsidRDefault="00604985" w:rsidP="009D015F">
            <w:pPr>
              <w:rPr>
                <w:szCs w:val="18"/>
              </w:rPr>
            </w:pPr>
          </w:p>
        </w:tc>
      </w:tr>
      <w:tr w:rsidR="00604985" w:rsidRPr="009A0B4E" w14:paraId="57ECEE86" w14:textId="77777777" w:rsidTr="00604985">
        <w:trPr>
          <w:trHeight w:val="311"/>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D9EDFA"/>
          </w:tcPr>
          <w:p w14:paraId="5EFB991F"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1628" w:type="pct"/>
            <w:gridSpan w:val="2"/>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52E1F56" w14:textId="77777777" w:rsidR="00604985" w:rsidRPr="003E3A81" w:rsidRDefault="00604985" w:rsidP="009D015F">
            <w:pPr>
              <w:spacing w:after="0" w:line="240" w:lineRule="auto"/>
              <w:textAlignment w:val="baseline"/>
              <w:rPr>
                <w:rFonts w:eastAsia="Times New Roman" w:cs="Arial"/>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57527B9" w14:textId="77777777" w:rsidR="00604985" w:rsidRPr="003E3A81" w:rsidRDefault="00604985" w:rsidP="009D015F">
            <w:pPr>
              <w:pStyle w:val="ListBullet"/>
            </w:pPr>
            <w:r w:rsidRPr="003E3A81">
              <w:t>Prevalence of physical health conditions</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A8192E2" w14:textId="77777777" w:rsidR="00604985" w:rsidRPr="003E3A81" w:rsidRDefault="00604985" w:rsidP="009D015F">
            <w:pPr>
              <w:rPr>
                <w:szCs w:val="18"/>
              </w:rPr>
            </w:pPr>
            <w:r w:rsidRPr="003E3A81">
              <w:rPr>
                <w:szCs w:val="18"/>
              </w:rPr>
              <w:t>National Study of Mental Health and Wellbeing (2020-2022)</w:t>
            </w:r>
            <w:r w:rsidRPr="003E3A81">
              <w:rPr>
                <w:szCs w:val="18"/>
              </w:rPr>
              <w:br/>
            </w:r>
            <w:r w:rsidRPr="003E3A81">
              <w:rPr>
                <w:i/>
                <w:iCs/>
                <w:szCs w:val="18"/>
              </w:rPr>
              <w:t>National Health Survey (2022)</w:t>
            </w:r>
          </w:p>
        </w:tc>
      </w:tr>
      <w:tr w:rsidR="00604985" w:rsidRPr="009A0B4E" w14:paraId="6A73FE73" w14:textId="77777777" w:rsidTr="00604985">
        <w:trPr>
          <w:trHeight w:val="403"/>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D9EDFA"/>
          </w:tcPr>
          <w:p w14:paraId="37875F46"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1628" w:type="pct"/>
            <w:gridSpan w:val="2"/>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F5EDD0A" w14:textId="77777777" w:rsidR="00604985" w:rsidRPr="003E3A81" w:rsidRDefault="00604985" w:rsidP="009D015F">
            <w:pPr>
              <w:spacing w:after="0" w:line="240" w:lineRule="auto"/>
              <w:textAlignment w:val="baseline"/>
              <w:rPr>
                <w:rFonts w:eastAsia="Times New Roman" w:cs="Arial"/>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552B5F4" w14:textId="77777777" w:rsidR="00604985" w:rsidRPr="003E3A81" w:rsidRDefault="00604985" w:rsidP="009D015F">
            <w:pPr>
              <w:pStyle w:val="ListBullet"/>
            </w:pPr>
            <w:r w:rsidRPr="003E3A81">
              <w:t>Alcohol consumption</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11B2C01" w14:textId="77777777" w:rsidR="00604985" w:rsidRPr="003E3A81" w:rsidRDefault="00604985" w:rsidP="009D015F">
            <w:pPr>
              <w:rPr>
                <w:szCs w:val="18"/>
              </w:rPr>
            </w:pPr>
            <w:r w:rsidRPr="003E3A81">
              <w:rPr>
                <w:szCs w:val="18"/>
              </w:rPr>
              <w:t>National Drug Strategy Household Survey (2022-23)</w:t>
            </w:r>
          </w:p>
        </w:tc>
      </w:tr>
      <w:tr w:rsidR="00604985" w:rsidRPr="009A0B4E" w14:paraId="218CE23B" w14:textId="77777777" w:rsidTr="00604985">
        <w:trPr>
          <w:trHeight w:val="311"/>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D9EDFA"/>
          </w:tcPr>
          <w:p w14:paraId="7EF564AE"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1628" w:type="pct"/>
            <w:gridSpan w:val="2"/>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7245E6C" w14:textId="77777777" w:rsidR="00604985" w:rsidRPr="003E3A81" w:rsidRDefault="00604985" w:rsidP="009D015F">
            <w:pPr>
              <w:spacing w:after="0" w:line="240" w:lineRule="auto"/>
              <w:textAlignment w:val="baseline"/>
              <w:rPr>
                <w:rFonts w:eastAsia="Times New Roman" w:cs="Arial"/>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9472EC6" w14:textId="77777777" w:rsidR="00604985" w:rsidRPr="003E3A81" w:rsidRDefault="00604985" w:rsidP="009D015F">
            <w:pPr>
              <w:pStyle w:val="ListBullet"/>
            </w:pPr>
            <w:r w:rsidRPr="003E3A81">
              <w:t>Feeling lonely</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ADA3E17" w14:textId="77777777" w:rsidR="00604985" w:rsidRPr="003E3A81" w:rsidRDefault="00604985" w:rsidP="009D015F">
            <w:pPr>
              <w:rPr>
                <w:szCs w:val="18"/>
              </w:rPr>
            </w:pPr>
            <w:r w:rsidRPr="003E3A81">
              <w:rPr>
                <w:szCs w:val="18"/>
              </w:rPr>
              <w:t>HILDA Survey (2024)</w:t>
            </w:r>
          </w:p>
        </w:tc>
      </w:tr>
      <w:tr w:rsidR="00604985" w:rsidRPr="009A0B4E" w14:paraId="73300AA3" w14:textId="77777777" w:rsidTr="00604985">
        <w:trPr>
          <w:trHeight w:val="311"/>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D9EDFA"/>
          </w:tcPr>
          <w:p w14:paraId="34CFBE3C"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1628" w:type="pct"/>
            <w:gridSpan w:val="2"/>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0C1E49B" w14:textId="77777777" w:rsidR="00604985" w:rsidRPr="003E3A81" w:rsidRDefault="00604985" w:rsidP="009D015F">
            <w:pPr>
              <w:spacing w:after="0" w:line="240" w:lineRule="auto"/>
              <w:textAlignment w:val="baseline"/>
              <w:rPr>
                <w:rFonts w:eastAsia="Times New Roman" w:cs="Arial"/>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96BDBDC" w14:textId="77777777" w:rsidR="00604985" w:rsidRPr="003E3A81" w:rsidRDefault="00604985" w:rsidP="009D015F">
            <w:pPr>
              <w:pStyle w:val="ListBullet"/>
            </w:pPr>
            <w:r w:rsidRPr="003E3A81">
              <w:t>Experiences of discrimination</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9DE60B0" w14:textId="77777777" w:rsidR="00604985" w:rsidRPr="003E3A81" w:rsidRDefault="00604985" w:rsidP="009D015F">
            <w:pPr>
              <w:rPr>
                <w:szCs w:val="18"/>
              </w:rPr>
            </w:pPr>
            <w:r w:rsidRPr="003E3A81">
              <w:rPr>
                <w:szCs w:val="18"/>
              </w:rPr>
              <w:t>General Social Survey (2025)</w:t>
            </w:r>
            <w:r w:rsidRPr="003E3A81">
              <w:rPr>
                <w:szCs w:val="18"/>
              </w:rPr>
              <w:br/>
            </w:r>
            <w:r w:rsidRPr="003E3A81">
              <w:rPr>
                <w:i/>
                <w:iCs/>
                <w:szCs w:val="18"/>
              </w:rPr>
              <w:t>Scanlon Mapping Social Cohesion Survey (2025)</w:t>
            </w:r>
          </w:p>
        </w:tc>
      </w:tr>
      <w:tr w:rsidR="00604985" w:rsidRPr="009A0B4E" w14:paraId="6B85FF3B" w14:textId="77777777" w:rsidTr="00604985">
        <w:trPr>
          <w:trHeight w:val="813"/>
        </w:trPr>
        <w:tc>
          <w:tcPr>
            <w:tcW w:w="525" w:type="pct"/>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hideMark/>
          </w:tcPr>
          <w:p w14:paraId="15151317" w14:textId="77777777" w:rsidR="00604985" w:rsidRPr="003E3A81" w:rsidRDefault="00604985" w:rsidP="009D015F">
            <w:pPr>
              <w:spacing w:after="0" w:line="240" w:lineRule="auto"/>
              <w:textAlignment w:val="baseline"/>
              <w:rPr>
                <w:rFonts w:eastAsia="Times New Roman"/>
                <w:szCs w:val="18"/>
                <w:lang w:eastAsia="en-AU"/>
              </w:rPr>
            </w:pPr>
            <w:r w:rsidRPr="003E3A81">
              <w:rPr>
                <w:rFonts w:eastAsia="Times New Roman" w:cs="Arial"/>
                <w:b/>
                <w:bCs/>
                <w:szCs w:val="18"/>
                <w:lang w:eastAsia="en-AU"/>
              </w:rPr>
              <w:t xml:space="preserve">Mental Health System - </w:t>
            </w:r>
            <w:r w:rsidRPr="003E3A81">
              <w:rPr>
                <w:rFonts w:eastAsia="Times New Roman" w:cs="Arial"/>
                <w:b/>
                <w:bCs/>
                <w:szCs w:val="18"/>
                <w:lang w:eastAsia="en-AU"/>
              </w:rPr>
              <w:br/>
              <w:t>Domain 3</w:t>
            </w:r>
          </w:p>
          <w:p w14:paraId="648A2734" w14:textId="77777777" w:rsidR="00604985" w:rsidRPr="003E3A81" w:rsidRDefault="00604985" w:rsidP="009D015F">
            <w:pPr>
              <w:spacing w:after="0" w:line="240" w:lineRule="auto"/>
              <w:textAlignment w:val="baseline"/>
              <w:rPr>
                <w:rFonts w:eastAsia="Times New Roman" w:cs="Arial"/>
                <w:szCs w:val="18"/>
                <w:lang w:eastAsia="en-AU"/>
              </w:rPr>
            </w:pPr>
            <w:r w:rsidRPr="003E3A81">
              <w:rPr>
                <w:rFonts w:eastAsia="Times New Roman" w:cs="Arial"/>
                <w:szCs w:val="18"/>
                <w:lang w:eastAsia="en-AU"/>
              </w:rPr>
              <w:t>How are the system activities that impact the mental health outcomes of people in Australia performing?</w:t>
            </w:r>
          </w:p>
          <w:p w14:paraId="230EEB88" w14:textId="77777777" w:rsidR="00604985" w:rsidRPr="003E3A81" w:rsidRDefault="00604985" w:rsidP="009D015F">
            <w:pPr>
              <w:spacing w:after="0" w:line="240" w:lineRule="auto"/>
              <w:textAlignment w:val="baseline"/>
              <w:rPr>
                <w:rFonts w:eastAsia="Times New Roman"/>
                <w:szCs w:val="18"/>
                <w:lang w:eastAsia="en-AU"/>
              </w:rPr>
            </w:pPr>
            <w:r w:rsidRPr="003E3A81">
              <w:rPr>
                <w:rFonts w:eastAsia="Times New Roman" w:cs="Arial"/>
                <w:szCs w:val="18"/>
                <w:lang w:eastAsia="en-AU"/>
              </w:rPr>
              <w:t> </w:t>
            </w:r>
          </w:p>
        </w:tc>
        <w:tc>
          <w:tcPr>
            <w:tcW w:w="475" w:type="pct"/>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E6E7AA1" w14:textId="77777777" w:rsidR="00604985" w:rsidRPr="003E3A81" w:rsidRDefault="00604985" w:rsidP="009D015F">
            <w:pPr>
              <w:rPr>
                <w:b/>
                <w:bCs/>
                <w:szCs w:val="18"/>
              </w:rPr>
            </w:pPr>
            <w:r w:rsidRPr="003E3A81">
              <w:rPr>
                <w:b/>
                <w:bCs/>
                <w:szCs w:val="18"/>
              </w:rPr>
              <w:t xml:space="preserve">Accessibility </w:t>
            </w:r>
          </w:p>
        </w:tc>
        <w:tc>
          <w:tcPr>
            <w:tcW w:w="1153" w:type="pct"/>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hideMark/>
          </w:tcPr>
          <w:p w14:paraId="3F632B22" w14:textId="77777777" w:rsidR="00604985" w:rsidRPr="003E3A81" w:rsidRDefault="00604985" w:rsidP="009D015F">
            <w:pPr>
              <w:rPr>
                <w:b/>
                <w:bCs/>
                <w:szCs w:val="18"/>
                <w:lang w:eastAsia="en-AU"/>
              </w:rPr>
            </w:pPr>
            <w:r w:rsidRPr="003E3A81">
              <w:rPr>
                <w:b/>
                <w:bCs/>
                <w:szCs w:val="18"/>
                <w:lang w:eastAsia="en-AU"/>
              </w:rPr>
              <w:t>Are consumers, carers, family and kin getting the right care and support when they need it?  ​ </w:t>
            </w:r>
          </w:p>
          <w:p w14:paraId="5A7A9D7A" w14:textId="77777777" w:rsidR="00604985" w:rsidRPr="003E3A81" w:rsidRDefault="00604985" w:rsidP="009D015F">
            <w:pPr>
              <w:spacing w:after="0" w:line="240" w:lineRule="auto"/>
              <w:textAlignment w:val="baseline"/>
              <w:rPr>
                <w:rFonts w:eastAsia="Times New Roman"/>
                <w:b/>
                <w:bCs/>
                <w:szCs w:val="18"/>
                <w:lang w:eastAsia="en-AU"/>
              </w:rPr>
            </w:pPr>
            <w:r w:rsidRPr="003E3A81">
              <w:rPr>
                <w:rFonts w:eastAsia="Times New Roman"/>
                <w:b/>
                <w:bCs/>
                <w:szCs w:val="18"/>
                <w:lang w:eastAsia="en-AU"/>
              </w:rPr>
              <w:t> </w:t>
            </w:r>
          </w:p>
          <w:p w14:paraId="2CF84144" w14:textId="77777777" w:rsidR="00604985" w:rsidRPr="003E3A81" w:rsidRDefault="00604985" w:rsidP="009D015F">
            <w:pPr>
              <w:spacing w:after="0" w:line="240" w:lineRule="auto"/>
              <w:textAlignment w:val="baseline"/>
              <w:rPr>
                <w:rFonts w:eastAsia="Times New Roman"/>
                <w:b/>
                <w:bCs/>
                <w:szCs w:val="18"/>
                <w:lang w:eastAsia="en-AU"/>
              </w:rPr>
            </w:pPr>
            <w:r w:rsidRPr="003E3A81">
              <w:rPr>
                <w:rFonts w:eastAsia="Times New Roman"/>
                <w:b/>
                <w:bCs/>
                <w:szCs w:val="18"/>
                <w:lang w:eastAsia="en-AU"/>
              </w:rPr>
              <w:t> </w:t>
            </w:r>
          </w:p>
          <w:p w14:paraId="4AEC8F6A" w14:textId="77777777" w:rsidR="00604985" w:rsidRPr="003E3A81" w:rsidRDefault="00604985" w:rsidP="009D015F">
            <w:pPr>
              <w:spacing w:after="0" w:line="240" w:lineRule="auto"/>
              <w:textAlignment w:val="baseline"/>
              <w:rPr>
                <w:rFonts w:eastAsia="Times New Roman"/>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046BACF" w14:textId="77777777" w:rsidR="00604985" w:rsidRPr="003E3A81" w:rsidRDefault="00604985" w:rsidP="009D015F">
            <w:pPr>
              <w:pStyle w:val="ListBullet"/>
            </w:pPr>
            <w:r w:rsidRPr="003E3A81">
              <w:t>Mental health care is timely, affordable and geographically accessible for all communities</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4798737" w14:textId="77777777" w:rsidR="00604985" w:rsidRPr="003E3A81" w:rsidRDefault="00604985" w:rsidP="009D015F">
            <w:pPr>
              <w:pStyle w:val="AIHWbodytext"/>
              <w:spacing w:before="0"/>
              <w:rPr>
                <w:rFonts w:ascii="Roboto Light" w:hAnsi="Roboto Light" w:cs="Roboto-Light"/>
                <w:color w:val="545A60" w:themeColor="accent3"/>
                <w:sz w:val="18"/>
                <w:szCs w:val="18"/>
                <w:lang w:val="en-GB"/>
              </w:rPr>
            </w:pPr>
            <w:r w:rsidRPr="003E3A81">
              <w:rPr>
                <w:rFonts w:ascii="Roboto Light" w:hAnsi="Roboto Light" w:cs="Roboto-Light"/>
                <w:color w:val="545A60" w:themeColor="accent3"/>
                <w:sz w:val="18"/>
                <w:szCs w:val="18"/>
                <w:lang w:val="en-GB"/>
              </w:rPr>
              <w:t>AIHW analysis of National Hospital Morbidity Database 2023-24, National Residential Mental Health Care Database 2023-24, National Non-admitted Patient Emergency Department Care Database 2024-25, National Community Mental Health Care Database 2023-24, AIHW analysis of MBS data maintained by the Australian Government Department of Health Disability and Ageing 2024-25, AIHW analysis of PBS data maintained by the Australian Government of Health, Disability and Ageing 2024-25</w:t>
            </w:r>
          </w:p>
          <w:p w14:paraId="2545381A" w14:textId="77777777" w:rsidR="00604985" w:rsidRPr="003E3A81" w:rsidRDefault="00604985" w:rsidP="009D015F">
            <w:pPr>
              <w:rPr>
                <w:szCs w:val="18"/>
              </w:rPr>
            </w:pPr>
          </w:p>
        </w:tc>
      </w:tr>
      <w:tr w:rsidR="00604985" w:rsidRPr="009A0B4E" w14:paraId="155F842A" w14:textId="77777777" w:rsidTr="00604985">
        <w:trPr>
          <w:trHeight w:val="813"/>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tcPr>
          <w:p w14:paraId="0E9D66B5"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779F35D"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C7A06CF" w14:textId="77777777" w:rsidR="00604985" w:rsidRPr="003E3A81" w:rsidRDefault="00604985" w:rsidP="009D015F">
            <w:pPr>
              <w:spacing w:after="0" w:line="240" w:lineRule="auto"/>
              <w:textAlignment w:val="baseline"/>
              <w:rPr>
                <w:rFonts w:eastAsia="Times New Roman"/>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0640CBD" w14:textId="77777777" w:rsidR="00604985" w:rsidRPr="003E3A81" w:rsidRDefault="00604985" w:rsidP="009D015F">
            <w:pPr>
              <w:pStyle w:val="ListBullet"/>
            </w:pPr>
            <w:r w:rsidRPr="003E3A81">
              <w:t>Treatment rates</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9498AD2" w14:textId="77777777" w:rsidR="00604985" w:rsidRPr="003E3A81" w:rsidRDefault="00604985" w:rsidP="009D015F">
            <w:pPr>
              <w:rPr>
                <w:szCs w:val="18"/>
                <w:lang w:eastAsia="en-AU"/>
              </w:rPr>
            </w:pPr>
            <w:r w:rsidRPr="003E3A81">
              <w:rPr>
                <w:szCs w:val="18"/>
              </w:rPr>
              <w:t xml:space="preserve">AIHW analysis of data from State and Territory governments (unpublished); Private Mental Health Alliance Centralised Data Management Service data (unpublished) 2007–08 to 2014–15; Private Psychiatric Hospitals Data Reporting and Analysis </w:t>
            </w:r>
            <w:r w:rsidRPr="003E3A81">
              <w:rPr>
                <w:szCs w:val="18"/>
              </w:rPr>
              <w:lastRenderedPageBreak/>
              <w:t>Service (unpublished) 2015–16 onwards; Department of Health, Disability and Ageing MBS Statistics (unpublished); Department of Veterans' Affairs Treatment Account System data (unpublished).</w:t>
            </w:r>
            <w:r w:rsidRPr="003E3A81" w:rsidDel="00B76DBF">
              <w:rPr>
                <w:szCs w:val="18"/>
                <w:lang w:eastAsia="en-AU"/>
              </w:rPr>
              <w:t xml:space="preserve"> </w:t>
            </w:r>
          </w:p>
        </w:tc>
      </w:tr>
      <w:tr w:rsidR="00604985" w:rsidRPr="009A0B4E" w14:paraId="1D64136E" w14:textId="77777777" w:rsidTr="00604985">
        <w:trPr>
          <w:trHeight w:val="813"/>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tcPr>
          <w:p w14:paraId="0C5E0C10"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F017C43"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708BD87" w14:textId="77777777" w:rsidR="00604985" w:rsidRPr="003E3A81" w:rsidRDefault="00604985" w:rsidP="009D015F">
            <w:pPr>
              <w:spacing w:after="0" w:line="240" w:lineRule="auto"/>
              <w:textAlignment w:val="baseline"/>
              <w:rPr>
                <w:rFonts w:eastAsia="Times New Roman"/>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55BBDCF" w14:textId="77777777" w:rsidR="00604985" w:rsidRPr="003E3A81" w:rsidRDefault="00604985" w:rsidP="009D015F">
            <w:pPr>
              <w:pStyle w:val="ListBullet"/>
            </w:pPr>
            <w:r w:rsidRPr="003E3A81">
              <w:t>Unmet need for mental health care</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B8D78E8" w14:textId="77777777" w:rsidR="00604985" w:rsidRPr="003E3A81" w:rsidRDefault="00604985" w:rsidP="009D015F">
            <w:pPr>
              <w:rPr>
                <w:szCs w:val="18"/>
                <w:lang w:eastAsia="en-AU"/>
              </w:rPr>
            </w:pPr>
            <w:r w:rsidRPr="003E3A81">
              <w:rPr>
                <w:szCs w:val="18"/>
                <w:lang w:eastAsia="en-AU"/>
              </w:rPr>
              <w:t>Identified data gap in national data source, with scoping of future options underway.</w:t>
            </w:r>
          </w:p>
        </w:tc>
      </w:tr>
      <w:tr w:rsidR="00604985" w:rsidRPr="009A0B4E" w14:paraId="1C6F63A7" w14:textId="77777777" w:rsidTr="00604985">
        <w:trPr>
          <w:trHeight w:val="336"/>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tcPr>
          <w:p w14:paraId="234A30D0"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03F6AD6"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BF27453" w14:textId="77777777" w:rsidR="00604985" w:rsidRPr="003E3A81" w:rsidRDefault="00604985" w:rsidP="009D015F">
            <w:pPr>
              <w:spacing w:after="0" w:line="240" w:lineRule="auto"/>
              <w:textAlignment w:val="baseline"/>
              <w:rPr>
                <w:rFonts w:eastAsia="Times New Roman"/>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F65733D" w14:textId="77777777" w:rsidR="00604985" w:rsidRPr="003E3A81" w:rsidRDefault="00604985" w:rsidP="009D015F">
            <w:pPr>
              <w:pStyle w:val="ListBullet"/>
            </w:pPr>
            <w:r w:rsidRPr="003E3A81">
              <w:t>Access to non-government mental health services</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202B1E4" w14:textId="77777777" w:rsidR="00604985" w:rsidRPr="003E3A81" w:rsidRDefault="00604985" w:rsidP="009D015F">
            <w:pPr>
              <w:rPr>
                <w:szCs w:val="18"/>
                <w:lang w:eastAsia="en-AU"/>
              </w:rPr>
            </w:pPr>
            <w:r w:rsidRPr="003E3A81">
              <w:rPr>
                <w:szCs w:val="18"/>
                <w:lang w:eastAsia="en-AU"/>
              </w:rPr>
              <w:t xml:space="preserve">Identified data gap in national data source, with scoping of future options underway. </w:t>
            </w:r>
          </w:p>
        </w:tc>
      </w:tr>
      <w:tr w:rsidR="00604985" w:rsidRPr="009A0B4E" w14:paraId="7FCC4E62" w14:textId="77777777" w:rsidTr="00604985">
        <w:trPr>
          <w:trHeight w:val="719"/>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tcPr>
          <w:p w14:paraId="784EBFC0" w14:textId="77777777" w:rsidR="00604985" w:rsidRPr="003E3A81" w:rsidRDefault="00604985" w:rsidP="009D015F">
            <w:pPr>
              <w:spacing w:after="0" w:line="240" w:lineRule="auto"/>
              <w:textAlignment w:val="baseline"/>
              <w:rPr>
                <w:rFonts w:eastAsia="Times New Roman" w:cs="Arial"/>
                <w:b/>
                <w:bCs/>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01F30E6"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7A39CAE" w14:textId="77777777" w:rsidR="00604985" w:rsidRPr="003E3A81" w:rsidRDefault="00604985" w:rsidP="009D015F">
            <w:pPr>
              <w:spacing w:after="0" w:line="240" w:lineRule="auto"/>
              <w:textAlignment w:val="baseline"/>
              <w:rPr>
                <w:rFonts w:eastAsia="Times New Roman"/>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ABE90BB" w14:textId="77777777" w:rsidR="00604985" w:rsidRPr="003E3A81" w:rsidRDefault="00604985" w:rsidP="009D015F">
            <w:pPr>
              <w:pStyle w:val="ListBullet"/>
            </w:pPr>
            <w:r w:rsidRPr="003E3A81">
              <w:t>Services received that did not meet needs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BC35623" w14:textId="77777777" w:rsidR="00604985" w:rsidRPr="003E3A81" w:rsidRDefault="00604985" w:rsidP="009D015F">
            <w:pPr>
              <w:rPr>
                <w:szCs w:val="18"/>
              </w:rPr>
            </w:pPr>
            <w:r w:rsidRPr="003E3A81">
              <w:rPr>
                <w:szCs w:val="18"/>
              </w:rPr>
              <w:t>Identified data gap in national data source, with scoping of future options underway.</w:t>
            </w:r>
          </w:p>
        </w:tc>
      </w:tr>
      <w:tr w:rsidR="00604985" w:rsidRPr="009A0B4E" w14:paraId="3C22BB58" w14:textId="77777777" w:rsidTr="00604985">
        <w:trPr>
          <w:trHeight w:val="332"/>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hideMark/>
          </w:tcPr>
          <w:p w14:paraId="5BE8055A"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F22425B" w14:textId="77777777" w:rsidR="00604985" w:rsidRPr="003E3A81" w:rsidRDefault="00604985" w:rsidP="009D015F">
            <w:pPr>
              <w:rPr>
                <w:b/>
                <w:bCs/>
                <w:szCs w:val="18"/>
              </w:rPr>
            </w:pPr>
          </w:p>
        </w:tc>
        <w:tc>
          <w:tcPr>
            <w:tcW w:w="1153" w:type="pct"/>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hideMark/>
          </w:tcPr>
          <w:p w14:paraId="10589625" w14:textId="77777777" w:rsidR="00604985" w:rsidRPr="003E3A81" w:rsidRDefault="00604985" w:rsidP="009D015F">
            <w:pPr>
              <w:rPr>
                <w:rFonts w:cs="Aptos Display"/>
                <w:b/>
                <w:bCs/>
                <w:szCs w:val="18"/>
                <w:lang w:eastAsia="en-AU"/>
              </w:rPr>
            </w:pPr>
            <w:r w:rsidRPr="003E3A81">
              <w:rPr>
                <w:b/>
                <w:bCs/>
                <w:szCs w:val="18"/>
                <w:lang w:eastAsia="en-AU"/>
              </w:rPr>
              <w:t>To what extent are</w:t>
            </w:r>
            <w:r w:rsidRPr="003E3A81">
              <w:rPr>
                <w:rFonts w:cs="Arial"/>
                <w:b/>
                <w:bCs/>
                <w:szCs w:val="18"/>
                <w:lang w:eastAsia="en-AU"/>
              </w:rPr>
              <w:t> </w:t>
            </w:r>
            <w:r w:rsidRPr="003E3A81">
              <w:rPr>
                <w:b/>
                <w:bCs/>
                <w:szCs w:val="18"/>
                <w:lang w:eastAsia="en-AU"/>
              </w:rPr>
              <w:t>consumers,</w:t>
            </w:r>
            <w:r w:rsidRPr="003E3A81">
              <w:rPr>
                <w:rFonts w:cs="Arial"/>
                <w:b/>
                <w:bCs/>
                <w:szCs w:val="18"/>
                <w:lang w:eastAsia="en-AU"/>
              </w:rPr>
              <w:t> </w:t>
            </w:r>
            <w:r w:rsidRPr="003E3A81">
              <w:rPr>
                <w:b/>
                <w:bCs/>
                <w:szCs w:val="18"/>
                <w:lang w:eastAsia="en-AU"/>
              </w:rPr>
              <w:t>carers,</w:t>
            </w:r>
            <w:r w:rsidRPr="003E3A81">
              <w:rPr>
                <w:rFonts w:cs="Arial"/>
                <w:b/>
                <w:bCs/>
                <w:szCs w:val="18"/>
                <w:lang w:eastAsia="en-AU"/>
              </w:rPr>
              <w:t> </w:t>
            </w:r>
            <w:r w:rsidRPr="003E3A81">
              <w:rPr>
                <w:b/>
                <w:bCs/>
                <w:szCs w:val="18"/>
                <w:lang w:eastAsia="en-AU"/>
              </w:rPr>
              <w:t>family</w:t>
            </w:r>
            <w:r w:rsidRPr="003E3A81">
              <w:rPr>
                <w:rFonts w:cs="Arial"/>
                <w:b/>
                <w:bCs/>
                <w:szCs w:val="18"/>
                <w:lang w:eastAsia="en-AU"/>
              </w:rPr>
              <w:t> </w:t>
            </w:r>
            <w:r w:rsidRPr="003E3A81">
              <w:rPr>
                <w:b/>
                <w:bCs/>
                <w:szCs w:val="18"/>
                <w:lang w:eastAsia="en-AU"/>
              </w:rPr>
              <w:t>and</w:t>
            </w:r>
            <w:r w:rsidRPr="003E3A81">
              <w:rPr>
                <w:rFonts w:cs="Arial"/>
                <w:b/>
                <w:bCs/>
                <w:szCs w:val="18"/>
                <w:lang w:eastAsia="en-AU"/>
              </w:rPr>
              <w:t> </w:t>
            </w:r>
            <w:r w:rsidRPr="003E3A81">
              <w:rPr>
                <w:b/>
                <w:bCs/>
                <w:szCs w:val="18"/>
                <w:lang w:eastAsia="en-AU"/>
              </w:rPr>
              <w:t>kin</w:t>
            </w:r>
            <w:r w:rsidRPr="003E3A81">
              <w:rPr>
                <w:rFonts w:cs="Arial"/>
                <w:b/>
                <w:bCs/>
                <w:szCs w:val="18"/>
                <w:lang w:eastAsia="en-AU"/>
              </w:rPr>
              <w:t> </w:t>
            </w:r>
            <w:r w:rsidRPr="003E3A81">
              <w:rPr>
                <w:b/>
                <w:bCs/>
                <w:szCs w:val="18"/>
                <w:lang w:eastAsia="en-AU"/>
              </w:rPr>
              <w:t>unable to access the mental health</w:t>
            </w:r>
            <w:r w:rsidRPr="003E3A81">
              <w:rPr>
                <w:rFonts w:cs="Aptos Display"/>
                <w:b/>
                <w:bCs/>
                <w:szCs w:val="18"/>
                <w:lang w:eastAsia="en-AU"/>
              </w:rPr>
              <w:t> </w:t>
            </w:r>
            <w:r w:rsidRPr="003E3A81">
              <w:rPr>
                <w:b/>
                <w:bCs/>
                <w:szCs w:val="18"/>
                <w:lang w:eastAsia="en-AU"/>
              </w:rPr>
              <w:t>supports</w:t>
            </w:r>
            <w:r w:rsidRPr="003E3A81">
              <w:rPr>
                <w:rFonts w:cs="Arial"/>
                <w:b/>
                <w:bCs/>
                <w:szCs w:val="18"/>
                <w:lang w:eastAsia="en-AU"/>
              </w:rPr>
              <w:t> </w:t>
            </w:r>
            <w:r w:rsidRPr="003E3A81">
              <w:rPr>
                <w:b/>
                <w:bCs/>
                <w:szCs w:val="18"/>
                <w:lang w:eastAsia="en-AU"/>
              </w:rPr>
              <w:t>they need,</w:t>
            </w:r>
            <w:r w:rsidRPr="003E3A81">
              <w:rPr>
                <w:rFonts w:cs="Arial"/>
                <w:b/>
                <w:bCs/>
                <w:szCs w:val="18"/>
                <w:lang w:eastAsia="en-AU"/>
              </w:rPr>
              <w:t> </w:t>
            </w:r>
            <w:r w:rsidRPr="003E3A81">
              <w:rPr>
                <w:b/>
                <w:bCs/>
                <w:szCs w:val="18"/>
                <w:lang w:eastAsia="en-AU"/>
              </w:rPr>
              <w:t>trust</w:t>
            </w:r>
            <w:r w:rsidRPr="003E3A81">
              <w:rPr>
                <w:rFonts w:cs="Arial"/>
                <w:b/>
                <w:bCs/>
                <w:szCs w:val="18"/>
                <w:lang w:eastAsia="en-AU"/>
              </w:rPr>
              <w:t> </w:t>
            </w:r>
            <w:r w:rsidRPr="003E3A81">
              <w:rPr>
                <w:b/>
                <w:bCs/>
                <w:szCs w:val="18"/>
                <w:lang w:eastAsia="en-AU"/>
              </w:rPr>
              <w:t>and prefer?</w:t>
            </w:r>
            <w:r w:rsidRPr="003E3A81">
              <w:rPr>
                <w:rFonts w:cs="Arial"/>
                <w:b/>
                <w:bCs/>
                <w:szCs w:val="18"/>
                <w:lang w:eastAsia="en-AU"/>
              </w:rPr>
              <w:t> ​</w:t>
            </w:r>
            <w:r w:rsidRPr="003E3A81">
              <w:rPr>
                <w:rFonts w:cs="Aptos Display"/>
                <w:b/>
                <w:bCs/>
                <w:szCs w:val="18"/>
                <w:lang w:eastAsia="en-AU"/>
              </w:rPr>
              <w:t> </w:t>
            </w:r>
          </w:p>
          <w:p w14:paraId="3184D14D"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F5E31DE" w14:textId="77777777" w:rsidR="00604985" w:rsidRPr="003E3A81" w:rsidRDefault="00604985" w:rsidP="009D015F">
            <w:pPr>
              <w:pStyle w:val="ListBullet"/>
              <w:rPr>
                <w:rFonts w:cs="Aptos Display"/>
              </w:rPr>
            </w:pPr>
            <w:r w:rsidRPr="003E3A81">
              <w:t>Cost related delays to accessing care </w:t>
            </w:r>
            <w:r w:rsidRPr="003E3A81">
              <w:rPr>
                <w:rFonts w:ascii="Arial" w:hAnsi="Arial"/>
              </w:rPr>
              <w:t>​</w:t>
            </w:r>
            <w:r w:rsidRPr="003E3A81">
              <w:rPr>
                <w:rFonts w:cs="Aptos Display"/>
              </w:rPr>
              <w:t>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BABE2A5" w14:textId="77777777" w:rsidR="00604985" w:rsidRPr="003E3A81" w:rsidRDefault="00604985" w:rsidP="009D015F">
            <w:pPr>
              <w:rPr>
                <w:szCs w:val="18"/>
                <w:lang w:eastAsia="en-AU"/>
              </w:rPr>
            </w:pPr>
            <w:r w:rsidRPr="003E3A81">
              <w:rPr>
                <w:szCs w:val="18"/>
                <w:lang w:eastAsia="en-AU"/>
              </w:rPr>
              <w:t>ABS Patient Experience Survey (ABS) (2024-2025)</w:t>
            </w:r>
          </w:p>
        </w:tc>
      </w:tr>
      <w:tr w:rsidR="00604985" w:rsidRPr="009A0B4E" w14:paraId="66FC5CBB" w14:textId="77777777" w:rsidTr="00604985">
        <w:trPr>
          <w:trHeight w:val="266"/>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tcPr>
          <w:p w14:paraId="1B79EBEC"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F5C851E"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B6B9536"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947ECC5" w14:textId="77777777" w:rsidR="00604985" w:rsidRPr="003E3A81" w:rsidRDefault="00604985" w:rsidP="009D015F">
            <w:pPr>
              <w:pStyle w:val="ListBullet"/>
              <w:rPr>
                <w:rFonts w:cs="Aptos Display"/>
              </w:rPr>
            </w:pPr>
            <w:r w:rsidRPr="003E3A81">
              <w:t>Wait times</w:t>
            </w:r>
            <w:r w:rsidRPr="003E3A81">
              <w:rPr>
                <w:rFonts w:ascii="Arial" w:hAnsi="Arial"/>
              </w:rPr>
              <w:t> </w:t>
            </w:r>
            <w:r w:rsidRPr="003E3A81">
              <w:t>following referral</w:t>
            </w:r>
            <w:r w:rsidRPr="003E3A81">
              <w:rPr>
                <w:rFonts w:ascii="Arial" w:hAnsi="Arial"/>
              </w:rPr>
              <w:t> ​</w:t>
            </w:r>
            <w:r w:rsidRPr="003E3A81">
              <w:rPr>
                <w:rFonts w:cs="Aptos Display"/>
              </w:rPr>
              <w:t>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753053B" w14:textId="77777777" w:rsidR="00604985" w:rsidRPr="003E3A81" w:rsidRDefault="00604985" w:rsidP="009D015F">
            <w:pPr>
              <w:rPr>
                <w:szCs w:val="18"/>
                <w:lang w:eastAsia="en-AU"/>
              </w:rPr>
            </w:pPr>
            <w:r w:rsidRPr="003E3A81">
              <w:rPr>
                <w:szCs w:val="18"/>
                <w:lang w:eastAsia="en-AU"/>
              </w:rPr>
              <w:t xml:space="preserve">Identified data gap in national data source, with scoping of future options underway. </w:t>
            </w:r>
          </w:p>
        </w:tc>
      </w:tr>
      <w:tr w:rsidR="00604985" w:rsidRPr="009A0B4E" w14:paraId="7B1693B2" w14:textId="77777777" w:rsidTr="00604985">
        <w:trPr>
          <w:trHeight w:val="460"/>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tcPr>
          <w:p w14:paraId="7A7E69E4"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EB1489C"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23B8161"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FDF57FB" w14:textId="77777777" w:rsidR="00604985" w:rsidRPr="003E3A81" w:rsidRDefault="00604985" w:rsidP="009D015F">
            <w:pPr>
              <w:pStyle w:val="ListBullet"/>
            </w:pPr>
            <w:r w:rsidRPr="003E3A81">
              <w:t>Capability and capacity of families,</w:t>
            </w:r>
            <w:r w:rsidRPr="003E3A81">
              <w:rPr>
                <w:rFonts w:ascii="Arial" w:hAnsi="Arial"/>
              </w:rPr>
              <w:t> </w:t>
            </w:r>
            <w:r w:rsidRPr="003E3A81">
              <w:t>carers</w:t>
            </w:r>
            <w:r w:rsidRPr="003E3A81">
              <w:rPr>
                <w:rFonts w:ascii="Arial" w:hAnsi="Arial"/>
              </w:rPr>
              <w:t> </w:t>
            </w:r>
            <w:r w:rsidRPr="003E3A81">
              <w:t>and kin to effectively support</w:t>
            </w:r>
            <w:r w:rsidRPr="003E3A81">
              <w:rPr>
                <w:rFonts w:ascii="Arial" w:hAnsi="Arial"/>
              </w:rPr>
              <w:t> </w:t>
            </w:r>
            <w:r w:rsidRPr="003E3A81">
              <w:t>people experiencing mental health challenges</w:t>
            </w:r>
            <w:r w:rsidRPr="003E3A81">
              <w:rPr>
                <w:rFonts w:ascii="Arial" w:hAnsi="Arial"/>
              </w:rPr>
              <w:t> ​</w:t>
            </w:r>
            <w:r w:rsidRPr="003E3A81">
              <w:rPr>
                <w:rFonts w:cs="Aptos Display"/>
              </w:rPr>
              <w:t>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63F07AF" w14:textId="77777777" w:rsidR="00604985" w:rsidRPr="003E3A81" w:rsidRDefault="00604985" w:rsidP="009D015F">
            <w:pPr>
              <w:rPr>
                <w:szCs w:val="18"/>
                <w:lang w:eastAsia="en-AU"/>
              </w:rPr>
            </w:pPr>
            <w:r w:rsidRPr="003E3A81">
              <w:rPr>
                <w:szCs w:val="18"/>
                <w:lang w:eastAsia="en-AU"/>
              </w:rPr>
              <w:t xml:space="preserve">Identified data in national data source, with scoping of future options underway. </w:t>
            </w:r>
          </w:p>
        </w:tc>
      </w:tr>
      <w:tr w:rsidR="00604985" w:rsidRPr="009A0B4E" w14:paraId="77528D00" w14:textId="77777777" w:rsidTr="00604985">
        <w:trPr>
          <w:trHeight w:val="486"/>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hideMark/>
          </w:tcPr>
          <w:p w14:paraId="2C2D0CAD"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74C09CF" w14:textId="77777777" w:rsidR="00604985" w:rsidRPr="003E3A81" w:rsidRDefault="00604985" w:rsidP="009D015F">
            <w:pPr>
              <w:rPr>
                <w:b/>
                <w:bCs/>
                <w:szCs w:val="18"/>
              </w:rPr>
            </w:pPr>
          </w:p>
        </w:tc>
        <w:tc>
          <w:tcPr>
            <w:tcW w:w="1153" w:type="pct"/>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hideMark/>
          </w:tcPr>
          <w:p w14:paraId="1B21368C" w14:textId="77777777" w:rsidR="00604985" w:rsidRPr="003E3A81" w:rsidRDefault="00604985" w:rsidP="009D015F">
            <w:pPr>
              <w:rPr>
                <w:b/>
                <w:bCs/>
                <w:szCs w:val="18"/>
                <w:lang w:eastAsia="en-AU"/>
              </w:rPr>
            </w:pPr>
            <w:r w:rsidRPr="003E3A81">
              <w:rPr>
                <w:b/>
                <w:bCs/>
                <w:szCs w:val="18"/>
                <w:lang w:eastAsia="en-AU"/>
              </w:rPr>
              <w:t>To what extent do</w:t>
            </w:r>
            <w:r w:rsidRPr="003E3A81">
              <w:rPr>
                <w:rFonts w:cs="Arial"/>
                <w:b/>
                <w:bCs/>
                <w:szCs w:val="18"/>
                <w:lang w:eastAsia="en-AU"/>
              </w:rPr>
              <w:t> </w:t>
            </w:r>
            <w:r w:rsidRPr="003E3A81">
              <w:rPr>
                <w:b/>
                <w:bCs/>
                <w:szCs w:val="18"/>
                <w:lang w:eastAsia="en-AU"/>
              </w:rPr>
              <w:t>consumers, carers, family and kin</w:t>
            </w:r>
            <w:r w:rsidRPr="003E3A81">
              <w:rPr>
                <w:rFonts w:cs="Arial"/>
                <w:b/>
                <w:bCs/>
                <w:szCs w:val="18"/>
                <w:lang w:eastAsia="en-AU"/>
              </w:rPr>
              <w:t> </w:t>
            </w:r>
            <w:r w:rsidRPr="003E3A81">
              <w:rPr>
                <w:b/>
                <w:bCs/>
                <w:szCs w:val="18"/>
                <w:lang w:eastAsia="en-AU"/>
              </w:rPr>
              <w:t>have</w:t>
            </w:r>
            <w:r w:rsidRPr="003E3A81">
              <w:rPr>
                <w:rFonts w:cs="Arial"/>
                <w:b/>
                <w:bCs/>
                <w:szCs w:val="18"/>
                <w:lang w:eastAsia="en-AU"/>
              </w:rPr>
              <w:t> </w:t>
            </w:r>
            <w:r w:rsidRPr="003E3A81">
              <w:rPr>
                <w:b/>
                <w:bCs/>
                <w:szCs w:val="18"/>
                <w:lang w:eastAsia="en-AU"/>
              </w:rPr>
              <w:t>awareness, understanding, and trust towards</w:t>
            </w:r>
            <w:r w:rsidRPr="003E3A81">
              <w:rPr>
                <w:rFonts w:cs="Arial"/>
                <w:b/>
                <w:bCs/>
                <w:szCs w:val="18"/>
                <w:lang w:eastAsia="en-AU"/>
              </w:rPr>
              <w:t> </w:t>
            </w:r>
            <w:r w:rsidRPr="003E3A81">
              <w:rPr>
                <w:b/>
                <w:bCs/>
                <w:szCs w:val="18"/>
                <w:lang w:eastAsia="en-AU"/>
              </w:rPr>
              <w:t>available mental health</w:t>
            </w:r>
            <w:r w:rsidRPr="003E3A81">
              <w:rPr>
                <w:rFonts w:cs="Aptos Display"/>
                <w:b/>
                <w:bCs/>
                <w:szCs w:val="18"/>
                <w:lang w:eastAsia="en-AU"/>
              </w:rPr>
              <w:t> </w:t>
            </w:r>
            <w:r w:rsidRPr="003E3A81">
              <w:rPr>
                <w:b/>
                <w:bCs/>
                <w:szCs w:val="18"/>
                <w:lang w:eastAsia="en-AU"/>
              </w:rPr>
              <w:t>supports?</w:t>
            </w:r>
          </w:p>
          <w:p w14:paraId="6436655C"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5DB65B9" w14:textId="77777777" w:rsidR="00604985" w:rsidRPr="003E3A81" w:rsidRDefault="00604985" w:rsidP="009D015F">
            <w:pPr>
              <w:pStyle w:val="ListBullet"/>
              <w:rPr>
                <w:rFonts w:cs="Aptos Display"/>
              </w:rPr>
            </w:pPr>
            <w:r w:rsidRPr="003E3A81">
              <w:t>Knowledge and awareness of how to navigate to relevant mental health</w:t>
            </w:r>
            <w:r w:rsidRPr="003E3A81">
              <w:rPr>
                <w:rFonts w:ascii="Arial" w:hAnsi="Arial"/>
              </w:rPr>
              <w:t> </w:t>
            </w:r>
            <w:r w:rsidRPr="003E3A81">
              <w:t>care</w:t>
            </w:r>
            <w:r w:rsidRPr="003E3A81">
              <w:rPr>
                <w:rFonts w:ascii="Arial" w:hAnsi="Arial"/>
              </w:rPr>
              <w:t>   ​</w:t>
            </w:r>
            <w:r w:rsidRPr="003E3A81">
              <w:rPr>
                <w:rFonts w:cs="Aptos Display"/>
              </w:rPr>
              <w:t>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CDA21E2" w14:textId="77777777" w:rsidR="00604985" w:rsidRPr="003E3A81" w:rsidRDefault="00604985" w:rsidP="009D015F">
            <w:pPr>
              <w:rPr>
                <w:szCs w:val="18"/>
                <w:lang w:eastAsia="en-AU"/>
              </w:rPr>
            </w:pPr>
            <w:r w:rsidRPr="003E3A81">
              <w:rPr>
                <w:szCs w:val="18"/>
                <w:lang w:eastAsia="en-AU"/>
              </w:rPr>
              <w:t>Identified data gap in national data source, with scoping of future options underway.</w:t>
            </w:r>
          </w:p>
        </w:tc>
      </w:tr>
      <w:tr w:rsidR="00604985" w:rsidRPr="009A0B4E" w14:paraId="578C48D3" w14:textId="77777777" w:rsidTr="00604985">
        <w:trPr>
          <w:trHeight w:val="346"/>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tcPr>
          <w:p w14:paraId="34F83828"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18F1373"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8E9F01A"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1AD00AB" w14:textId="77777777" w:rsidR="00604985" w:rsidRPr="003E3A81" w:rsidRDefault="00604985" w:rsidP="009D015F">
            <w:pPr>
              <w:pStyle w:val="ListBullet"/>
            </w:pPr>
            <w:r w:rsidRPr="003E3A81">
              <w:t>Mental health literacy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4FF7731" w14:textId="77777777" w:rsidR="00604985" w:rsidRPr="003E3A81" w:rsidRDefault="00604985" w:rsidP="009D015F">
            <w:pPr>
              <w:rPr>
                <w:szCs w:val="18"/>
                <w:lang w:eastAsia="en-AU"/>
              </w:rPr>
            </w:pPr>
            <w:r w:rsidRPr="003E3A81">
              <w:rPr>
                <w:szCs w:val="18"/>
                <w:lang w:eastAsia="en-AU"/>
              </w:rPr>
              <w:t>Identified data gap in national data source, with scoping of future options underway.</w:t>
            </w:r>
          </w:p>
        </w:tc>
      </w:tr>
      <w:tr w:rsidR="00604985" w:rsidRPr="009A0B4E" w14:paraId="21441A6F" w14:textId="77777777" w:rsidTr="00604985">
        <w:trPr>
          <w:trHeight w:val="483"/>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tcPr>
          <w:p w14:paraId="3BD29F11"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A2D35E8"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379B9E1"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FDCDA34" w14:textId="77777777" w:rsidR="00604985" w:rsidRPr="003E3A81" w:rsidRDefault="00604985" w:rsidP="009D015F">
            <w:pPr>
              <w:pStyle w:val="ListBullet"/>
              <w:rPr>
                <w:rFonts w:cs="Aptos Display"/>
              </w:rPr>
            </w:pPr>
            <w:r w:rsidRPr="003E3A81">
              <w:t>Proportion of people who report receiving effective support to navigate</w:t>
            </w:r>
            <w:r w:rsidRPr="003E3A81">
              <w:rPr>
                <w:rFonts w:ascii="Arial" w:hAnsi="Arial"/>
              </w:rPr>
              <w:t> </w:t>
            </w:r>
            <w:r w:rsidRPr="003E3A81">
              <w:t>between multiple mental health providers</w:t>
            </w:r>
            <w:r w:rsidRPr="003E3A81">
              <w:rPr>
                <w:rFonts w:ascii="Arial" w:hAnsi="Arial"/>
              </w:rPr>
              <w:t> </w:t>
            </w:r>
            <w:r w:rsidRPr="003E3A81">
              <w:rPr>
                <w:rFonts w:cs="Aptos Display"/>
              </w:rPr>
              <w:t>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6AC0B8E" w14:textId="77777777" w:rsidR="00604985" w:rsidRPr="003E3A81" w:rsidRDefault="00604985" w:rsidP="009D015F">
            <w:pPr>
              <w:rPr>
                <w:szCs w:val="18"/>
                <w:lang w:eastAsia="en-AU"/>
              </w:rPr>
            </w:pPr>
            <w:r w:rsidRPr="003E3A81">
              <w:rPr>
                <w:szCs w:val="18"/>
                <w:lang w:eastAsia="en-AU"/>
              </w:rPr>
              <w:t xml:space="preserve">Identified data gap in national data source, with scoping of future options underway. </w:t>
            </w:r>
          </w:p>
        </w:tc>
      </w:tr>
      <w:tr w:rsidR="00604985" w:rsidRPr="009A0B4E" w14:paraId="03F7B68A" w14:textId="77777777" w:rsidTr="00CB4379">
        <w:trPr>
          <w:trHeight w:val="483"/>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tcPr>
          <w:p w14:paraId="4CB6D19D"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C946435"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3D4F583"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BDB552B" w14:textId="77777777" w:rsidR="00604985" w:rsidRPr="003E3A81" w:rsidRDefault="00604985" w:rsidP="009D015F">
            <w:pPr>
              <w:pStyle w:val="ListBullet"/>
            </w:pPr>
            <w:r w:rsidRPr="003E3A81">
              <w:t>Experience of stigma in mental health services</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85F1D66" w14:textId="77777777" w:rsidR="00604985" w:rsidRPr="003E3A81" w:rsidRDefault="00604985" w:rsidP="009D015F">
            <w:pPr>
              <w:rPr>
                <w:szCs w:val="18"/>
                <w:lang w:val="en-AU" w:eastAsia="en-AU"/>
              </w:rPr>
            </w:pPr>
            <w:r w:rsidRPr="003E3A81">
              <w:rPr>
                <w:szCs w:val="18"/>
                <w:lang w:eastAsia="en-AU"/>
              </w:rPr>
              <w:t>Identified data gap in national data source, with scoping of future options underway.</w:t>
            </w:r>
          </w:p>
        </w:tc>
      </w:tr>
      <w:tr w:rsidR="00604985" w:rsidRPr="009A0B4E" w14:paraId="5B9FA700" w14:textId="77777777" w:rsidTr="00CB4379">
        <w:trPr>
          <w:trHeight w:val="510"/>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tcPr>
          <w:p w14:paraId="51226F80" w14:textId="77777777" w:rsidR="00604985" w:rsidRPr="003E3A81" w:rsidRDefault="00604985" w:rsidP="009D015F">
            <w:pPr>
              <w:spacing w:after="0" w:line="240" w:lineRule="auto"/>
              <w:rPr>
                <w:rFonts w:eastAsia="Times New Roman"/>
                <w:szCs w:val="18"/>
                <w:lang w:eastAsia="en-AU"/>
              </w:rPr>
            </w:pPr>
          </w:p>
        </w:tc>
        <w:tc>
          <w:tcPr>
            <w:tcW w:w="475" w:type="pct"/>
            <w:vMerge w:val="restart"/>
            <w:tcBorders>
              <w:top w:val="single" w:sz="8" w:space="0" w:color="545A60" w:themeColor="accent3"/>
              <w:left w:val="single" w:sz="8" w:space="0" w:color="545A60" w:themeColor="accent3"/>
              <w:bottom w:val="single" w:sz="4" w:space="0" w:color="auto"/>
              <w:right w:val="single" w:sz="8" w:space="0" w:color="545A60" w:themeColor="accent3"/>
            </w:tcBorders>
          </w:tcPr>
          <w:p w14:paraId="311C5126" w14:textId="288A42C5" w:rsidR="00604985" w:rsidRPr="003E3A81" w:rsidRDefault="00604985" w:rsidP="009D015F">
            <w:pPr>
              <w:rPr>
                <w:b/>
                <w:bCs/>
                <w:szCs w:val="18"/>
              </w:rPr>
            </w:pPr>
            <w:r w:rsidRPr="003E3A81">
              <w:rPr>
                <w:b/>
                <w:bCs/>
                <w:szCs w:val="18"/>
              </w:rPr>
              <w:t xml:space="preserve">Continuity and integration </w:t>
            </w:r>
            <w:r>
              <w:rPr>
                <w:b/>
                <w:bCs/>
                <w:szCs w:val="18"/>
              </w:rPr>
              <w:br/>
            </w:r>
            <w:r w:rsidRPr="003E3A81">
              <w:rPr>
                <w:b/>
                <w:bCs/>
                <w:szCs w:val="18"/>
              </w:rPr>
              <w:t xml:space="preserve">of care </w:t>
            </w:r>
          </w:p>
        </w:tc>
        <w:tc>
          <w:tcPr>
            <w:tcW w:w="1153" w:type="pct"/>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661FBDE" w14:textId="77777777" w:rsidR="00604985" w:rsidRPr="003E3A81" w:rsidRDefault="00604985" w:rsidP="009D015F">
            <w:pPr>
              <w:rPr>
                <w:rFonts w:cs="Aptos Display"/>
                <w:b/>
                <w:bCs/>
                <w:szCs w:val="18"/>
                <w:lang w:eastAsia="en-AU"/>
              </w:rPr>
            </w:pPr>
            <w:r w:rsidRPr="003E3A81">
              <w:rPr>
                <w:b/>
                <w:bCs/>
                <w:szCs w:val="18"/>
                <w:lang w:eastAsia="en-AU"/>
              </w:rPr>
              <w:t>To what extent do consumers, carers, family and</w:t>
            </w:r>
            <w:r w:rsidRPr="003E3A81">
              <w:rPr>
                <w:rFonts w:cs="Arial"/>
                <w:b/>
                <w:bCs/>
                <w:szCs w:val="18"/>
                <w:lang w:eastAsia="en-AU"/>
              </w:rPr>
              <w:t> </w:t>
            </w:r>
            <w:r w:rsidRPr="003E3A81">
              <w:rPr>
                <w:b/>
                <w:bCs/>
                <w:szCs w:val="18"/>
                <w:lang w:eastAsia="en-AU"/>
              </w:rPr>
              <w:t>kin experience</w:t>
            </w:r>
            <w:r w:rsidRPr="003E3A81">
              <w:rPr>
                <w:rFonts w:cs="Aptos Display"/>
                <w:b/>
                <w:bCs/>
                <w:szCs w:val="18"/>
                <w:lang w:eastAsia="en-AU"/>
              </w:rPr>
              <w:t> </w:t>
            </w:r>
            <w:r w:rsidRPr="003E3A81">
              <w:rPr>
                <w:b/>
                <w:bCs/>
                <w:szCs w:val="18"/>
                <w:lang w:eastAsia="en-AU"/>
              </w:rPr>
              <w:t>supported,</w:t>
            </w:r>
            <w:r w:rsidRPr="003E3A81">
              <w:rPr>
                <w:rFonts w:cs="Aptos Display"/>
                <w:b/>
                <w:bCs/>
                <w:szCs w:val="18"/>
                <w:lang w:eastAsia="en-AU"/>
              </w:rPr>
              <w:t> </w:t>
            </w:r>
            <w:r w:rsidRPr="003E3A81">
              <w:rPr>
                <w:b/>
                <w:bCs/>
                <w:szCs w:val="18"/>
                <w:lang w:eastAsia="en-AU"/>
              </w:rPr>
              <w:t>connected navigation</w:t>
            </w:r>
            <w:r w:rsidRPr="003E3A81">
              <w:rPr>
                <w:rFonts w:cs="Arial"/>
                <w:b/>
                <w:bCs/>
                <w:szCs w:val="18"/>
                <w:lang w:eastAsia="en-AU"/>
              </w:rPr>
              <w:t> </w:t>
            </w:r>
            <w:r w:rsidRPr="003E3A81">
              <w:rPr>
                <w:b/>
                <w:bCs/>
                <w:szCs w:val="18"/>
                <w:lang w:eastAsia="en-AU"/>
              </w:rPr>
              <w:t>across all parts of their care journey?</w:t>
            </w:r>
            <w:r w:rsidRPr="003E3A81">
              <w:rPr>
                <w:rFonts w:cs="Arial"/>
                <w:b/>
                <w:bCs/>
                <w:szCs w:val="18"/>
                <w:lang w:eastAsia="en-AU"/>
              </w:rPr>
              <w:t> ​</w:t>
            </w:r>
            <w:r w:rsidRPr="003E3A81">
              <w:rPr>
                <w:rFonts w:cs="Aptos Display"/>
                <w:b/>
                <w:bCs/>
                <w:szCs w:val="18"/>
                <w:lang w:eastAsia="en-AU"/>
              </w:rPr>
              <w:t> </w:t>
            </w:r>
          </w:p>
          <w:p w14:paraId="18083E0E" w14:textId="77777777" w:rsidR="00604985" w:rsidRPr="003E3A81" w:rsidRDefault="00604985" w:rsidP="009D015F">
            <w:pPr>
              <w:rPr>
                <w:rFonts w:cs="Aptos Display"/>
                <w:b/>
                <w:bCs/>
                <w:szCs w:val="18"/>
                <w:lang w:eastAsia="en-AU"/>
              </w:rPr>
            </w:pPr>
          </w:p>
          <w:p w14:paraId="0F4160BA" w14:textId="77777777" w:rsidR="00604985" w:rsidRPr="003E3A81" w:rsidRDefault="00604985" w:rsidP="009D015F">
            <w:pPr>
              <w:rPr>
                <w:b/>
                <w:bCs/>
                <w:szCs w:val="18"/>
                <w:lang w:eastAsia="en-AU"/>
              </w:rPr>
            </w:pPr>
            <w:r w:rsidRPr="003E3A81">
              <w:rPr>
                <w:rFonts w:cs="Aptos Display"/>
                <w:b/>
                <w:bCs/>
                <w:szCs w:val="18"/>
                <w:lang w:eastAsia="en-AU"/>
              </w:rPr>
              <w:t>To what extent do carers, family and kin experience connected navigation across all part of the care journey of the people they support?</w:t>
            </w: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A28778A" w14:textId="77777777" w:rsidR="00604985" w:rsidRPr="003E3A81" w:rsidRDefault="00604985" w:rsidP="009D015F">
            <w:pPr>
              <w:pStyle w:val="ListBullet"/>
            </w:pPr>
            <w:r w:rsidRPr="003E3A81">
              <w:t>Community follow-up after hospitalisation for mental health</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D7EDD45" w14:textId="77777777" w:rsidR="00604985" w:rsidRPr="00BF1CA2" w:rsidRDefault="00604985" w:rsidP="009D015F">
            <w:pPr>
              <w:keepNext/>
              <w:keepLines/>
              <w:spacing w:before="120" w:after="60"/>
              <w:outlineLvl w:val="2"/>
              <w:rPr>
                <w:szCs w:val="18"/>
                <w:lang w:eastAsia="en-AU"/>
              </w:rPr>
            </w:pPr>
            <w:r w:rsidRPr="003E3A81">
              <w:rPr>
                <w:szCs w:val="18"/>
                <w:lang w:eastAsia="en-AU"/>
              </w:rPr>
              <w:t>AIHW analysis of unpublished State and Territory data (2023-24)</w:t>
            </w:r>
          </w:p>
          <w:p w14:paraId="66FB8EBC" w14:textId="77777777" w:rsidR="00604985" w:rsidRPr="003E3A81" w:rsidRDefault="00604985" w:rsidP="009D015F">
            <w:pPr>
              <w:rPr>
                <w:szCs w:val="18"/>
                <w:lang w:eastAsia="en-AU"/>
              </w:rPr>
            </w:pPr>
          </w:p>
        </w:tc>
      </w:tr>
      <w:tr w:rsidR="00604985" w:rsidRPr="009A0B4E" w14:paraId="06358E10" w14:textId="77777777" w:rsidTr="00CB4379">
        <w:trPr>
          <w:trHeight w:val="510"/>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hideMark/>
          </w:tcPr>
          <w:p w14:paraId="16D689A3"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4" w:space="0" w:color="auto"/>
              <w:right w:val="single" w:sz="8" w:space="0" w:color="545A60" w:themeColor="accent3"/>
            </w:tcBorders>
          </w:tcPr>
          <w:p w14:paraId="3F6AF580"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hideMark/>
          </w:tcPr>
          <w:p w14:paraId="05590DB0" w14:textId="77777777" w:rsidR="00604985" w:rsidRPr="003E3A81" w:rsidRDefault="00604985" w:rsidP="009D015F">
            <w:pPr>
              <w:spacing w:after="0" w:line="240" w:lineRule="auto"/>
              <w:textAlignment w:val="baseline"/>
              <w:rPr>
                <w:rFonts w:eastAsia="Times New Roman"/>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46ED8C7" w14:textId="77777777" w:rsidR="00604985" w:rsidRPr="003E3A81" w:rsidRDefault="00604985" w:rsidP="009D015F">
            <w:pPr>
              <w:pStyle w:val="ListBullet"/>
            </w:pPr>
            <w:r w:rsidRPr="003E3A81">
              <w:t>Mental health workforce satisfaction rates (e.g. mental health workers,</w:t>
            </w:r>
            <w:r w:rsidRPr="003E3A81">
              <w:rPr>
                <w:rFonts w:ascii="Arial" w:hAnsi="Arial"/>
              </w:rPr>
              <w:t> </w:t>
            </w:r>
            <w:r w:rsidRPr="003E3A81">
              <w:t>nurses, GPs,</w:t>
            </w:r>
            <w:r w:rsidRPr="003E3A81">
              <w:rPr>
                <w:rFonts w:cs="Aptos Display"/>
              </w:rPr>
              <w:t> </w:t>
            </w:r>
            <w:r w:rsidRPr="003E3A81">
              <w:t>etc.)</w:t>
            </w:r>
            <w:r w:rsidRPr="003E3A81">
              <w:rPr>
                <w:rFonts w:ascii="Arial" w:hAnsi="Arial"/>
              </w:rPr>
              <w:t>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B7F1AD7" w14:textId="77777777" w:rsidR="00604985" w:rsidRPr="003E3A81" w:rsidRDefault="00604985" w:rsidP="009D015F">
            <w:pPr>
              <w:rPr>
                <w:szCs w:val="18"/>
                <w:lang w:eastAsia="en-AU"/>
              </w:rPr>
            </w:pPr>
            <w:r w:rsidRPr="003E3A81">
              <w:rPr>
                <w:szCs w:val="18"/>
                <w:lang w:eastAsia="en-AU"/>
              </w:rPr>
              <w:t>Identified data gap in national data source, with scoping of future options underway.</w:t>
            </w:r>
          </w:p>
        </w:tc>
      </w:tr>
      <w:tr w:rsidR="00604985" w:rsidRPr="009A0B4E" w14:paraId="0EECDFBC" w14:textId="77777777" w:rsidTr="00CB4379">
        <w:trPr>
          <w:trHeight w:val="507"/>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tcPr>
          <w:p w14:paraId="4F97BB20"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4" w:space="0" w:color="auto"/>
              <w:right w:val="single" w:sz="8" w:space="0" w:color="545A60" w:themeColor="accent3"/>
            </w:tcBorders>
          </w:tcPr>
          <w:p w14:paraId="0AF2A720"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A022AB4" w14:textId="77777777" w:rsidR="00604985" w:rsidRPr="003E3A81" w:rsidRDefault="00604985" w:rsidP="009D015F">
            <w:pPr>
              <w:spacing w:after="0" w:line="240" w:lineRule="auto"/>
              <w:textAlignment w:val="baseline"/>
              <w:rPr>
                <w:rFonts w:eastAsia="Times New Roman"/>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02CF815" w14:textId="77777777" w:rsidR="00604985" w:rsidRPr="003E3A81" w:rsidRDefault="00604985" w:rsidP="009D015F">
            <w:pPr>
              <w:pStyle w:val="ListBullet"/>
            </w:pPr>
            <w:r w:rsidRPr="003E3A81">
              <w:t>Proportion of consumers reporting supported navigation across their care journey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8361C6A" w14:textId="77777777" w:rsidR="00604985" w:rsidRPr="003E3A81" w:rsidRDefault="00604985" w:rsidP="009D015F">
            <w:pPr>
              <w:rPr>
                <w:szCs w:val="18"/>
                <w:lang w:eastAsia="en-AU"/>
              </w:rPr>
            </w:pPr>
            <w:r w:rsidRPr="003E3A81">
              <w:rPr>
                <w:szCs w:val="18"/>
                <w:lang w:eastAsia="en-AU"/>
              </w:rPr>
              <w:t>Identified data gap in national data source, with scoping of future options underway.</w:t>
            </w:r>
          </w:p>
        </w:tc>
      </w:tr>
      <w:tr w:rsidR="00604985" w:rsidRPr="009A0B4E" w14:paraId="791B2F78" w14:textId="77777777" w:rsidTr="00CB4379">
        <w:trPr>
          <w:trHeight w:val="334"/>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tcPr>
          <w:p w14:paraId="304FDEE1"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4" w:space="0" w:color="auto"/>
              <w:right w:val="single" w:sz="8" w:space="0" w:color="545A60" w:themeColor="accent3"/>
            </w:tcBorders>
          </w:tcPr>
          <w:p w14:paraId="03261E55"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8664605" w14:textId="77777777" w:rsidR="00604985" w:rsidRPr="003E3A81" w:rsidRDefault="00604985" w:rsidP="009D015F">
            <w:pPr>
              <w:spacing w:after="0" w:line="240" w:lineRule="auto"/>
              <w:textAlignment w:val="baseline"/>
              <w:rPr>
                <w:rFonts w:eastAsia="Times New Roman"/>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6990EED" w14:textId="77777777" w:rsidR="00604985" w:rsidRPr="003E3A81" w:rsidRDefault="00604985" w:rsidP="009D015F">
            <w:pPr>
              <w:pStyle w:val="ListBullet"/>
            </w:pPr>
            <w:r w:rsidRPr="003E3A81">
              <w:t>Rate of discontinuing treatment services following referral</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8DE742A" w14:textId="77777777" w:rsidR="00604985" w:rsidRPr="003E3A81" w:rsidRDefault="00604985" w:rsidP="009D015F">
            <w:pPr>
              <w:rPr>
                <w:szCs w:val="18"/>
                <w:highlight w:val="yellow"/>
                <w:lang w:eastAsia="en-AU"/>
              </w:rPr>
            </w:pPr>
            <w:r w:rsidRPr="003E3A81">
              <w:rPr>
                <w:szCs w:val="18"/>
                <w:lang w:eastAsia="en-AU"/>
              </w:rPr>
              <w:t>Identified data gap in national data source, with scoping of future options underway.</w:t>
            </w:r>
          </w:p>
        </w:tc>
      </w:tr>
      <w:tr w:rsidR="00604985" w:rsidRPr="009A0B4E" w14:paraId="2325C6DD" w14:textId="77777777" w:rsidTr="00CB4379">
        <w:trPr>
          <w:trHeight w:val="267"/>
        </w:trPr>
        <w:tc>
          <w:tcPr>
            <w:tcW w:w="52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shd w:val="clear" w:color="auto" w:fill="CCE5D2"/>
          </w:tcPr>
          <w:p w14:paraId="22F901FC"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4" w:space="0" w:color="auto"/>
              <w:right w:val="single" w:sz="8" w:space="0" w:color="545A60" w:themeColor="accent3"/>
            </w:tcBorders>
          </w:tcPr>
          <w:p w14:paraId="45CDEFE5"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8790BBF" w14:textId="77777777" w:rsidR="00604985" w:rsidRPr="003E3A81" w:rsidRDefault="00604985" w:rsidP="009D015F">
            <w:pPr>
              <w:spacing w:after="0" w:line="240" w:lineRule="auto"/>
              <w:textAlignment w:val="baseline"/>
              <w:rPr>
                <w:rFonts w:eastAsia="Times New Roman"/>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6C452EA" w14:textId="77777777" w:rsidR="00604985" w:rsidRPr="003E3A81" w:rsidRDefault="00604985" w:rsidP="009D015F">
            <w:pPr>
              <w:pStyle w:val="ListBullet"/>
            </w:pPr>
            <w:r w:rsidRPr="003E3A81">
              <w:t>Rates</w:t>
            </w:r>
            <w:r w:rsidRPr="003E3A81">
              <w:rPr>
                <w:rFonts w:ascii="Arial" w:hAnsi="Arial"/>
              </w:rPr>
              <w:t> </w:t>
            </w:r>
            <w:r w:rsidRPr="003E3A81">
              <w:t>of</w:t>
            </w:r>
            <w:r w:rsidRPr="003E3A81">
              <w:rPr>
                <w:rFonts w:cs="Aptos Display"/>
              </w:rPr>
              <w:t> </w:t>
            </w:r>
            <w:r w:rsidRPr="003E3A81">
              <w:t>standardised</w:t>
            </w:r>
            <w:r w:rsidRPr="003E3A81">
              <w:rPr>
                <w:rFonts w:cs="Aptos Display"/>
              </w:rPr>
              <w:t> </w:t>
            </w:r>
            <w:r w:rsidRPr="003E3A81">
              <w:t>assessment and</w:t>
            </w:r>
            <w:r w:rsidRPr="003E3A81">
              <w:rPr>
                <w:rFonts w:cs="Aptos Display"/>
              </w:rPr>
              <w:t> </w:t>
            </w:r>
            <w:r w:rsidRPr="003E3A81">
              <w:t>referrals</w:t>
            </w:r>
            <w:r w:rsidRPr="003E3A81">
              <w:rPr>
                <w:rFonts w:ascii="Arial" w:hAnsi="Arial"/>
              </w:rPr>
              <w:t>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4AD9B25" w14:textId="77777777" w:rsidR="00604985" w:rsidRPr="003E3A81" w:rsidRDefault="00604985" w:rsidP="009D015F">
            <w:pPr>
              <w:rPr>
                <w:szCs w:val="18"/>
                <w:highlight w:val="yellow"/>
                <w:lang w:eastAsia="en-AU"/>
              </w:rPr>
            </w:pPr>
            <w:r w:rsidRPr="003E3A81">
              <w:rPr>
                <w:szCs w:val="18"/>
                <w:lang w:eastAsia="en-AU"/>
              </w:rPr>
              <w:t>Identified data gap in national data source, with scoping of future options underway.</w:t>
            </w:r>
          </w:p>
        </w:tc>
      </w:tr>
      <w:tr w:rsidR="00604985" w:rsidRPr="009A0B4E" w14:paraId="093D1216" w14:textId="77777777" w:rsidTr="00CB4379">
        <w:trPr>
          <w:trHeight w:val="601"/>
        </w:trPr>
        <w:tc>
          <w:tcPr>
            <w:tcW w:w="525" w:type="pct"/>
            <w:vMerge/>
            <w:tcBorders>
              <w:top w:val="single" w:sz="8" w:space="0" w:color="545A60" w:themeColor="accent3"/>
              <w:left w:val="single" w:sz="8" w:space="0" w:color="545A60" w:themeColor="accent3"/>
              <w:bottom w:val="single" w:sz="4" w:space="0" w:color="auto"/>
              <w:right w:val="single" w:sz="8" w:space="0" w:color="545A60" w:themeColor="accent3"/>
            </w:tcBorders>
            <w:shd w:val="clear" w:color="auto" w:fill="CCE5D2"/>
          </w:tcPr>
          <w:p w14:paraId="7B4ADFC1"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4" w:space="0" w:color="auto"/>
              <w:right w:val="single" w:sz="8" w:space="0" w:color="545A60" w:themeColor="accent3"/>
            </w:tcBorders>
          </w:tcPr>
          <w:p w14:paraId="0276D64B"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407B35F" w14:textId="77777777" w:rsidR="00604985" w:rsidRPr="003E3A81" w:rsidRDefault="00604985" w:rsidP="009D015F">
            <w:pPr>
              <w:spacing w:after="0" w:line="240" w:lineRule="auto"/>
              <w:textAlignment w:val="baseline"/>
              <w:rPr>
                <w:rFonts w:eastAsia="Times New Roman"/>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678F8DD" w14:textId="77777777" w:rsidR="00604985" w:rsidRPr="003E3A81" w:rsidRDefault="00604985" w:rsidP="009D015F">
            <w:pPr>
              <w:pStyle w:val="ListBullet"/>
            </w:pPr>
            <w:r w:rsidRPr="003E3A81">
              <w:t>Consumer and family rated measures of referral “warmth”​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9F00D59" w14:textId="77777777" w:rsidR="00604985" w:rsidRPr="003E3A81" w:rsidRDefault="00604985" w:rsidP="009D015F">
            <w:pPr>
              <w:rPr>
                <w:szCs w:val="18"/>
                <w:highlight w:val="yellow"/>
                <w:lang w:eastAsia="en-AU"/>
              </w:rPr>
            </w:pPr>
            <w:r w:rsidRPr="003E3A81">
              <w:rPr>
                <w:szCs w:val="18"/>
                <w:lang w:eastAsia="en-AU"/>
              </w:rPr>
              <w:t>Identified data gap in national data source, with scoping of future options underway.</w:t>
            </w:r>
          </w:p>
        </w:tc>
      </w:tr>
      <w:tr w:rsidR="00604985" w:rsidRPr="009A0B4E" w14:paraId="1C677230" w14:textId="77777777" w:rsidTr="00CB4379">
        <w:trPr>
          <w:trHeight w:val="460"/>
        </w:trPr>
        <w:tc>
          <w:tcPr>
            <w:tcW w:w="525" w:type="pct"/>
            <w:vMerge w:val="restart"/>
            <w:tcBorders>
              <w:top w:val="single" w:sz="4" w:space="0" w:color="auto"/>
              <w:left w:val="single" w:sz="8" w:space="0" w:color="545A60" w:themeColor="accent3"/>
              <w:bottom w:val="single" w:sz="4" w:space="0" w:color="auto"/>
              <w:right w:val="single" w:sz="8" w:space="0" w:color="545A60" w:themeColor="accent3"/>
            </w:tcBorders>
            <w:shd w:val="clear" w:color="auto" w:fill="CCE5D2"/>
          </w:tcPr>
          <w:p w14:paraId="06EB881F" w14:textId="77777777" w:rsidR="00604985" w:rsidRPr="003E3A81" w:rsidRDefault="00604985" w:rsidP="009D015F">
            <w:pPr>
              <w:spacing w:after="0" w:line="240" w:lineRule="auto"/>
              <w:rPr>
                <w:rFonts w:eastAsia="Times New Roman"/>
                <w:szCs w:val="18"/>
                <w:lang w:eastAsia="en-AU"/>
              </w:rPr>
            </w:pPr>
          </w:p>
        </w:tc>
        <w:tc>
          <w:tcPr>
            <w:tcW w:w="475" w:type="pct"/>
            <w:vMerge w:val="restart"/>
            <w:tcBorders>
              <w:top w:val="single" w:sz="4" w:space="0" w:color="auto"/>
              <w:left w:val="single" w:sz="8" w:space="0" w:color="545A60" w:themeColor="accent3"/>
              <w:bottom w:val="single" w:sz="8" w:space="0" w:color="545A60" w:themeColor="accent3"/>
              <w:right w:val="single" w:sz="8" w:space="0" w:color="545A60" w:themeColor="accent3"/>
            </w:tcBorders>
          </w:tcPr>
          <w:p w14:paraId="14D1D499" w14:textId="77777777" w:rsidR="00604985" w:rsidRPr="003E3A81" w:rsidRDefault="00604985" w:rsidP="009D015F">
            <w:pPr>
              <w:rPr>
                <w:b/>
                <w:bCs/>
                <w:szCs w:val="18"/>
              </w:rPr>
            </w:pPr>
            <w:r w:rsidRPr="003E3A81">
              <w:rPr>
                <w:b/>
                <w:bCs/>
                <w:szCs w:val="18"/>
              </w:rPr>
              <w:t>Safety and quality ​ </w:t>
            </w:r>
          </w:p>
        </w:tc>
        <w:tc>
          <w:tcPr>
            <w:tcW w:w="1153" w:type="pct"/>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0D5A20F" w14:textId="77777777" w:rsidR="00604985" w:rsidRPr="003E3A81" w:rsidRDefault="00604985" w:rsidP="009D015F">
            <w:pPr>
              <w:rPr>
                <w:b/>
                <w:bCs/>
                <w:szCs w:val="18"/>
                <w:lang w:eastAsia="en-AU"/>
              </w:rPr>
            </w:pPr>
            <w:r w:rsidRPr="003E3A81">
              <w:rPr>
                <w:b/>
                <w:bCs/>
                <w:szCs w:val="18"/>
                <w:lang w:eastAsia="en-AU"/>
              </w:rPr>
              <w:t>To what extent do</w:t>
            </w:r>
            <w:r w:rsidRPr="003E3A81">
              <w:rPr>
                <w:rFonts w:cs="Arial"/>
                <w:b/>
                <w:bCs/>
                <w:szCs w:val="18"/>
                <w:lang w:eastAsia="en-AU"/>
              </w:rPr>
              <w:t> </w:t>
            </w:r>
            <w:r w:rsidRPr="003E3A81">
              <w:rPr>
                <w:b/>
                <w:bCs/>
                <w:szCs w:val="18"/>
                <w:lang w:eastAsia="en-AU"/>
              </w:rPr>
              <w:t>consumers, carers,</w:t>
            </w:r>
            <w:r w:rsidRPr="003E3A81">
              <w:rPr>
                <w:rFonts w:cs="Arial"/>
                <w:b/>
                <w:bCs/>
                <w:szCs w:val="18"/>
                <w:lang w:eastAsia="en-AU"/>
              </w:rPr>
              <w:t> </w:t>
            </w:r>
            <w:r w:rsidRPr="003E3A81">
              <w:rPr>
                <w:b/>
                <w:bCs/>
                <w:szCs w:val="18"/>
                <w:lang w:eastAsia="en-AU"/>
              </w:rPr>
              <w:t>family</w:t>
            </w:r>
            <w:r w:rsidRPr="003E3A81">
              <w:rPr>
                <w:rFonts w:cs="Arial"/>
                <w:b/>
                <w:bCs/>
                <w:szCs w:val="18"/>
                <w:lang w:eastAsia="en-AU"/>
              </w:rPr>
              <w:t> </w:t>
            </w:r>
            <w:r w:rsidRPr="003E3A81">
              <w:rPr>
                <w:b/>
                <w:bCs/>
                <w:szCs w:val="18"/>
                <w:lang w:eastAsia="en-AU"/>
              </w:rPr>
              <w:t>and</w:t>
            </w:r>
            <w:r w:rsidRPr="003E3A81">
              <w:rPr>
                <w:rFonts w:cs="Arial"/>
                <w:b/>
                <w:bCs/>
                <w:szCs w:val="18"/>
                <w:lang w:eastAsia="en-AU"/>
              </w:rPr>
              <w:t> </w:t>
            </w:r>
            <w:r w:rsidRPr="003E3A81">
              <w:rPr>
                <w:b/>
                <w:bCs/>
                <w:szCs w:val="18"/>
                <w:lang w:eastAsia="en-AU"/>
              </w:rPr>
              <w:t>kin</w:t>
            </w:r>
            <w:r w:rsidRPr="003E3A81">
              <w:rPr>
                <w:rFonts w:cs="Arial"/>
                <w:b/>
                <w:bCs/>
                <w:szCs w:val="18"/>
                <w:lang w:eastAsia="en-AU"/>
              </w:rPr>
              <w:t> </w:t>
            </w:r>
            <w:r w:rsidRPr="003E3A81">
              <w:rPr>
                <w:b/>
                <w:bCs/>
                <w:szCs w:val="18"/>
                <w:lang w:eastAsia="en-AU"/>
              </w:rPr>
              <w:t>receive care</w:t>
            </w:r>
            <w:r w:rsidRPr="003E3A81">
              <w:rPr>
                <w:rFonts w:cs="Aptos Display"/>
                <w:b/>
                <w:bCs/>
                <w:szCs w:val="18"/>
                <w:lang w:eastAsia="en-AU"/>
              </w:rPr>
              <w:t> </w:t>
            </w:r>
            <w:r w:rsidRPr="003E3A81">
              <w:rPr>
                <w:b/>
                <w:bCs/>
                <w:szCs w:val="18"/>
                <w:lang w:eastAsia="en-AU"/>
              </w:rPr>
              <w:t>that</w:t>
            </w:r>
            <w:r w:rsidRPr="003E3A81">
              <w:rPr>
                <w:rFonts w:cs="Aptos Display"/>
                <w:b/>
                <w:bCs/>
                <w:szCs w:val="18"/>
                <w:lang w:eastAsia="en-AU"/>
              </w:rPr>
              <w:t> </w:t>
            </w:r>
            <w:r w:rsidRPr="003E3A81">
              <w:rPr>
                <w:b/>
                <w:bCs/>
                <w:szCs w:val="18"/>
                <w:lang w:eastAsia="en-AU"/>
              </w:rPr>
              <w:t>feels</w:t>
            </w:r>
            <w:r w:rsidRPr="003E3A81">
              <w:rPr>
                <w:rFonts w:cs="Aptos Display"/>
                <w:b/>
                <w:bCs/>
                <w:szCs w:val="18"/>
                <w:lang w:eastAsia="en-AU"/>
              </w:rPr>
              <w:t> </w:t>
            </w:r>
            <w:r w:rsidRPr="003E3A81">
              <w:rPr>
                <w:b/>
                <w:bCs/>
                <w:szCs w:val="18"/>
                <w:lang w:eastAsia="en-AU"/>
              </w:rPr>
              <w:t xml:space="preserve">safe, </w:t>
            </w:r>
            <w:r w:rsidRPr="003E3A81">
              <w:rPr>
                <w:rFonts w:cs="Aptos Display"/>
                <w:b/>
                <w:bCs/>
                <w:szCs w:val="18"/>
                <w:lang w:eastAsia="en-AU"/>
              </w:rPr>
              <w:t xml:space="preserve">respects their rights, </w:t>
            </w:r>
            <w:r w:rsidRPr="003E3A81">
              <w:rPr>
                <w:b/>
                <w:bCs/>
                <w:szCs w:val="18"/>
                <w:lang w:eastAsia="en-AU"/>
              </w:rPr>
              <w:t>rights-respecting</w:t>
            </w:r>
            <w:r w:rsidRPr="003E3A81">
              <w:rPr>
                <w:rFonts w:cs="Arial"/>
                <w:b/>
                <w:bCs/>
                <w:szCs w:val="18"/>
                <w:lang w:eastAsia="en-AU"/>
              </w:rPr>
              <w:t> </w:t>
            </w:r>
            <w:r w:rsidRPr="003E3A81">
              <w:rPr>
                <w:b/>
                <w:bCs/>
                <w:szCs w:val="18"/>
                <w:lang w:eastAsia="en-AU"/>
              </w:rPr>
              <w:t>and aligned with and is responsive to their preferences,</w:t>
            </w:r>
            <w:r w:rsidRPr="003E3A81">
              <w:rPr>
                <w:rFonts w:cs="Arial"/>
                <w:b/>
                <w:bCs/>
                <w:szCs w:val="18"/>
                <w:lang w:eastAsia="en-AU"/>
              </w:rPr>
              <w:t> </w:t>
            </w:r>
            <w:r w:rsidRPr="003E3A81">
              <w:rPr>
                <w:b/>
                <w:bCs/>
                <w:szCs w:val="18"/>
                <w:lang w:eastAsia="en-AU"/>
              </w:rPr>
              <w:t>culture</w:t>
            </w:r>
            <w:r w:rsidRPr="003E3A81">
              <w:rPr>
                <w:rFonts w:cs="Arial"/>
                <w:b/>
                <w:bCs/>
                <w:szCs w:val="18"/>
                <w:lang w:eastAsia="en-AU"/>
              </w:rPr>
              <w:t> </w:t>
            </w:r>
            <w:r w:rsidRPr="003E3A81">
              <w:rPr>
                <w:b/>
                <w:bCs/>
                <w:szCs w:val="18"/>
                <w:lang w:eastAsia="en-AU"/>
              </w:rPr>
              <w:t>and</w:t>
            </w:r>
            <w:r w:rsidRPr="003E3A81">
              <w:rPr>
                <w:rFonts w:cs="Arial"/>
                <w:b/>
                <w:bCs/>
                <w:szCs w:val="18"/>
                <w:lang w:eastAsia="en-AU"/>
              </w:rPr>
              <w:t> </w:t>
            </w:r>
            <w:r w:rsidRPr="003E3A81">
              <w:rPr>
                <w:b/>
                <w:bCs/>
                <w:szCs w:val="18"/>
                <w:lang w:eastAsia="en-AU"/>
              </w:rPr>
              <w:t>identity?</w:t>
            </w:r>
            <w:r w:rsidRPr="003E3A81">
              <w:rPr>
                <w:rFonts w:cs="Arial"/>
                <w:b/>
                <w:bCs/>
                <w:szCs w:val="18"/>
                <w:lang w:eastAsia="en-AU"/>
              </w:rPr>
              <w:t> ​</w:t>
            </w:r>
            <w:r w:rsidRPr="003E3A81">
              <w:rPr>
                <w:rFonts w:cs="Aptos Display"/>
                <w:b/>
                <w:bCs/>
                <w:szCs w:val="18"/>
                <w:lang w:eastAsia="en-AU"/>
              </w:rPr>
              <w:t> </w:t>
            </w: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EB7074C" w14:textId="77777777" w:rsidR="00604985" w:rsidRPr="003E3A81" w:rsidRDefault="00604985" w:rsidP="009D015F">
            <w:pPr>
              <w:pStyle w:val="ListBullet"/>
            </w:pPr>
            <w:r w:rsidRPr="003E3A81">
              <w:t>Use of restrictive and involuntary practices in mental health care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E9FAD06" w14:textId="77777777" w:rsidR="00604985" w:rsidRPr="003E3A81" w:rsidRDefault="00604985" w:rsidP="009D015F">
            <w:pPr>
              <w:keepNext/>
              <w:keepLines/>
              <w:spacing w:before="120" w:after="60"/>
              <w:outlineLvl w:val="2"/>
              <w:rPr>
                <w:szCs w:val="18"/>
                <w:lang w:eastAsia="en-AU"/>
              </w:rPr>
            </w:pPr>
            <w:r w:rsidRPr="003E3A81">
              <w:rPr>
                <w:szCs w:val="18"/>
                <w:lang w:eastAsia="en-AU"/>
              </w:rPr>
              <w:t>AIHW analysis of National Seclusion and Restraint Database 2024-25</w:t>
            </w:r>
          </w:p>
          <w:p w14:paraId="0EBDA4C9" w14:textId="77777777" w:rsidR="00604985" w:rsidRPr="003E3A81" w:rsidRDefault="00604985" w:rsidP="009D015F">
            <w:pPr>
              <w:rPr>
                <w:szCs w:val="18"/>
                <w:lang w:eastAsia="en-AU"/>
              </w:rPr>
            </w:pPr>
          </w:p>
        </w:tc>
      </w:tr>
      <w:tr w:rsidR="00604985" w:rsidRPr="009A0B4E" w14:paraId="69D352BE" w14:textId="77777777" w:rsidTr="00CB4379">
        <w:trPr>
          <w:trHeight w:val="460"/>
        </w:trPr>
        <w:tc>
          <w:tcPr>
            <w:tcW w:w="525" w:type="pct"/>
            <w:vMerge/>
            <w:tcBorders>
              <w:top w:val="single" w:sz="8" w:space="0" w:color="545A60" w:themeColor="accent3"/>
              <w:left w:val="single" w:sz="8" w:space="0" w:color="545A60" w:themeColor="accent3"/>
              <w:bottom w:val="single" w:sz="4" w:space="0" w:color="auto"/>
              <w:right w:val="single" w:sz="8" w:space="0" w:color="545A60" w:themeColor="accent3"/>
            </w:tcBorders>
            <w:shd w:val="clear" w:color="auto" w:fill="CCE5D2"/>
          </w:tcPr>
          <w:p w14:paraId="479453A2"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0595089"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D7353B7"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C5F52F1" w14:textId="77777777" w:rsidR="00604985" w:rsidRPr="003E3A81" w:rsidRDefault="00604985" w:rsidP="009D015F">
            <w:pPr>
              <w:pStyle w:val="ListBullet"/>
            </w:pPr>
            <w:r w:rsidRPr="003E3A81">
              <w:t>Consumers feel safe in interactions with the mental health system</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FFDE1FC" w14:textId="77777777" w:rsidR="00604985" w:rsidRPr="003E3A81" w:rsidRDefault="00604985" w:rsidP="009D015F">
            <w:pPr>
              <w:rPr>
                <w:szCs w:val="18"/>
                <w:lang w:eastAsia="en-AU"/>
              </w:rPr>
            </w:pPr>
            <w:r w:rsidRPr="003E3A81">
              <w:rPr>
                <w:szCs w:val="18"/>
                <w:lang w:eastAsia="en-AU"/>
              </w:rPr>
              <w:t>Identified data gap in national data source, with scoping of future options underway.</w:t>
            </w:r>
          </w:p>
        </w:tc>
      </w:tr>
      <w:tr w:rsidR="00604985" w:rsidRPr="009A0B4E" w14:paraId="0D5E0C5D" w14:textId="77777777" w:rsidTr="00CB4379">
        <w:trPr>
          <w:trHeight w:val="460"/>
        </w:trPr>
        <w:tc>
          <w:tcPr>
            <w:tcW w:w="525" w:type="pct"/>
            <w:vMerge/>
            <w:tcBorders>
              <w:top w:val="single" w:sz="8" w:space="0" w:color="545A60" w:themeColor="accent3"/>
              <w:left w:val="single" w:sz="8" w:space="0" w:color="545A60" w:themeColor="accent3"/>
              <w:bottom w:val="single" w:sz="4" w:space="0" w:color="auto"/>
              <w:right w:val="single" w:sz="8" w:space="0" w:color="545A60" w:themeColor="accent3"/>
            </w:tcBorders>
            <w:shd w:val="clear" w:color="auto" w:fill="CCE5D2"/>
          </w:tcPr>
          <w:p w14:paraId="6B1A26D3"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5506AC1"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91C62ED"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10BFEC2" w14:textId="77777777" w:rsidR="00604985" w:rsidRPr="003E3A81" w:rsidRDefault="00604985" w:rsidP="009D015F">
            <w:pPr>
              <w:pStyle w:val="ListBullet"/>
            </w:pPr>
            <w:r w:rsidRPr="003E3A81">
              <w:t>Consumers and carers are involved and supported in decision-making about care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4391817" w14:textId="77777777" w:rsidR="00604985" w:rsidRPr="003E3A81" w:rsidRDefault="00604985" w:rsidP="009D015F">
            <w:pPr>
              <w:rPr>
                <w:szCs w:val="18"/>
                <w:lang w:eastAsia="en-AU"/>
              </w:rPr>
            </w:pPr>
            <w:r w:rsidRPr="003E3A81">
              <w:rPr>
                <w:szCs w:val="18"/>
                <w:lang w:eastAsia="en-AU"/>
              </w:rPr>
              <w:t xml:space="preserve">Identified data gap in national data source, with scoping of future options underway. </w:t>
            </w:r>
          </w:p>
        </w:tc>
      </w:tr>
      <w:tr w:rsidR="00604985" w:rsidRPr="009A0B4E" w14:paraId="4B39E20A" w14:textId="77777777" w:rsidTr="00CB4379">
        <w:trPr>
          <w:trHeight w:val="262"/>
        </w:trPr>
        <w:tc>
          <w:tcPr>
            <w:tcW w:w="525" w:type="pct"/>
            <w:vMerge/>
            <w:tcBorders>
              <w:top w:val="single" w:sz="8" w:space="0" w:color="545A60" w:themeColor="accent3"/>
              <w:left w:val="single" w:sz="8" w:space="0" w:color="545A60" w:themeColor="accent3"/>
              <w:bottom w:val="single" w:sz="4" w:space="0" w:color="auto"/>
              <w:right w:val="single" w:sz="8" w:space="0" w:color="545A60" w:themeColor="accent3"/>
            </w:tcBorders>
            <w:shd w:val="clear" w:color="auto" w:fill="CCE5D2"/>
          </w:tcPr>
          <w:p w14:paraId="6C0D15BD"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D07D837" w14:textId="77777777" w:rsidR="00604985" w:rsidRPr="003E3A81" w:rsidRDefault="00604985" w:rsidP="009D015F">
            <w:pPr>
              <w:rPr>
                <w:b/>
                <w:bCs/>
                <w:szCs w:val="18"/>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0FE86AE"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F818CBC" w14:textId="77777777" w:rsidR="00604985" w:rsidRPr="003E3A81" w:rsidRDefault="00604985" w:rsidP="009D015F">
            <w:pPr>
              <w:pStyle w:val="ListBullet"/>
            </w:pPr>
            <w:r w:rsidRPr="003E3A81">
              <w:t>Cultural</w:t>
            </w:r>
            <w:r w:rsidRPr="003E3A81">
              <w:rPr>
                <w:rFonts w:ascii="Arial" w:hAnsi="Arial"/>
              </w:rPr>
              <w:t> </w:t>
            </w:r>
            <w:r w:rsidRPr="003E3A81">
              <w:t>and gender</w:t>
            </w:r>
            <w:r w:rsidRPr="003E3A81">
              <w:rPr>
                <w:rFonts w:ascii="Arial" w:hAnsi="Arial"/>
              </w:rPr>
              <w:t> </w:t>
            </w:r>
            <w:r w:rsidRPr="003E3A81">
              <w:t>responsiveness of care</w:t>
            </w:r>
            <w:r w:rsidRPr="003E3A81">
              <w:rPr>
                <w:rFonts w:ascii="Arial" w:hAnsi="Arial"/>
              </w:rPr>
              <w:t>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8010C19" w14:textId="77777777" w:rsidR="00604985" w:rsidRPr="003E3A81" w:rsidRDefault="00604985" w:rsidP="009D015F">
            <w:pPr>
              <w:rPr>
                <w:szCs w:val="18"/>
                <w:lang w:eastAsia="en-AU"/>
              </w:rPr>
            </w:pPr>
            <w:r w:rsidRPr="003E3A81">
              <w:rPr>
                <w:szCs w:val="18"/>
                <w:lang w:eastAsia="en-AU"/>
              </w:rPr>
              <w:t>Identified data gap in national data source, with scoping of future options underway.</w:t>
            </w:r>
          </w:p>
        </w:tc>
      </w:tr>
      <w:tr w:rsidR="00BF1CA2" w:rsidRPr="009A0B4E" w14:paraId="62BEB7CB" w14:textId="77777777" w:rsidTr="00405DAD">
        <w:trPr>
          <w:trHeight w:val="1406"/>
        </w:trPr>
        <w:tc>
          <w:tcPr>
            <w:tcW w:w="525" w:type="pct"/>
            <w:vMerge/>
            <w:tcBorders>
              <w:top w:val="single" w:sz="8" w:space="0" w:color="545A60" w:themeColor="accent3"/>
              <w:left w:val="single" w:sz="8" w:space="0" w:color="545A60" w:themeColor="accent3"/>
              <w:bottom w:val="single" w:sz="4" w:space="0" w:color="auto"/>
              <w:right w:val="single" w:sz="8" w:space="0" w:color="545A60" w:themeColor="accent3"/>
            </w:tcBorders>
            <w:shd w:val="clear" w:color="auto" w:fill="CCE5D2"/>
          </w:tcPr>
          <w:p w14:paraId="06A17400" w14:textId="77777777" w:rsidR="00BF1CA2" w:rsidRPr="003E3A81" w:rsidRDefault="00BF1CA2" w:rsidP="009D015F">
            <w:pPr>
              <w:spacing w:after="0" w:line="240" w:lineRule="auto"/>
              <w:rPr>
                <w:rFonts w:eastAsia="Times New Roman"/>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AEBD9B8" w14:textId="77777777" w:rsidR="00BF1CA2" w:rsidRPr="003E3A81" w:rsidRDefault="00BF1CA2" w:rsidP="009D015F">
            <w:pPr>
              <w:rPr>
                <w:b/>
                <w:bCs/>
                <w:szCs w:val="18"/>
              </w:rPr>
            </w:pPr>
          </w:p>
        </w:tc>
        <w:tc>
          <w:tcPr>
            <w:tcW w:w="1153" w:type="pct"/>
            <w:vMerge w:val="restart"/>
            <w:tcBorders>
              <w:top w:val="single" w:sz="8" w:space="0" w:color="545A60" w:themeColor="accent3"/>
              <w:left w:val="single" w:sz="8" w:space="0" w:color="545A60" w:themeColor="accent3"/>
              <w:right w:val="single" w:sz="8" w:space="0" w:color="545A60" w:themeColor="accent3"/>
            </w:tcBorders>
          </w:tcPr>
          <w:p w14:paraId="450C711D" w14:textId="77777777" w:rsidR="00BF1CA2" w:rsidRPr="003E3A81" w:rsidRDefault="00BF1CA2" w:rsidP="009D015F">
            <w:pPr>
              <w:rPr>
                <w:b/>
                <w:bCs/>
                <w:szCs w:val="18"/>
                <w:lang w:eastAsia="en-AU"/>
              </w:rPr>
            </w:pPr>
          </w:p>
          <w:p w14:paraId="095C3663" w14:textId="77777777" w:rsidR="00BF1CA2" w:rsidRPr="003E3A81" w:rsidRDefault="00BF1CA2" w:rsidP="009D015F">
            <w:pPr>
              <w:rPr>
                <w:b/>
                <w:bCs/>
                <w:szCs w:val="18"/>
                <w:lang w:eastAsia="en-AU"/>
              </w:rPr>
            </w:pPr>
            <w:r w:rsidRPr="003E3A81">
              <w:rPr>
                <w:b/>
                <w:bCs/>
                <w:szCs w:val="18"/>
                <w:lang w:eastAsia="en-AU"/>
              </w:rPr>
              <w:t>To what extent are consumers, carers,</w:t>
            </w:r>
            <w:r w:rsidRPr="003E3A81">
              <w:rPr>
                <w:rFonts w:cs="Arial"/>
                <w:b/>
                <w:bCs/>
                <w:szCs w:val="18"/>
                <w:lang w:eastAsia="en-AU"/>
              </w:rPr>
              <w:t> </w:t>
            </w:r>
            <w:r w:rsidRPr="003E3A81">
              <w:rPr>
                <w:b/>
                <w:bCs/>
                <w:szCs w:val="18"/>
                <w:lang w:eastAsia="en-AU"/>
              </w:rPr>
              <w:t>family</w:t>
            </w:r>
            <w:r w:rsidRPr="003E3A81">
              <w:rPr>
                <w:rFonts w:cs="Arial"/>
                <w:b/>
                <w:bCs/>
                <w:szCs w:val="18"/>
                <w:lang w:eastAsia="en-AU"/>
              </w:rPr>
              <w:t> </w:t>
            </w:r>
            <w:r w:rsidRPr="003E3A81">
              <w:rPr>
                <w:b/>
                <w:bCs/>
                <w:szCs w:val="18"/>
                <w:lang w:eastAsia="en-AU"/>
              </w:rPr>
              <w:t>and</w:t>
            </w:r>
            <w:r w:rsidRPr="003E3A81">
              <w:rPr>
                <w:rFonts w:cs="Arial"/>
                <w:b/>
                <w:bCs/>
                <w:szCs w:val="18"/>
                <w:lang w:eastAsia="en-AU"/>
              </w:rPr>
              <w:t> </w:t>
            </w:r>
            <w:r w:rsidRPr="003E3A81">
              <w:rPr>
                <w:b/>
                <w:bCs/>
                <w:szCs w:val="18"/>
                <w:lang w:eastAsia="en-AU"/>
              </w:rPr>
              <w:t>kin</w:t>
            </w:r>
            <w:r w:rsidRPr="003E3A81">
              <w:rPr>
                <w:rFonts w:cs="Aptos Display"/>
                <w:b/>
                <w:bCs/>
                <w:szCs w:val="18"/>
                <w:lang w:eastAsia="en-AU"/>
              </w:rPr>
              <w:t> </w:t>
            </w:r>
            <w:r w:rsidRPr="003E3A81">
              <w:rPr>
                <w:b/>
                <w:bCs/>
                <w:szCs w:val="18"/>
                <w:lang w:eastAsia="en-AU"/>
              </w:rPr>
              <w:t>feeling safe and respected in interactions with the mental</w:t>
            </w:r>
            <w:r w:rsidRPr="003E3A81">
              <w:rPr>
                <w:rFonts w:cs="Arial"/>
                <w:b/>
                <w:bCs/>
                <w:szCs w:val="18"/>
                <w:lang w:eastAsia="en-AU"/>
              </w:rPr>
              <w:t> </w:t>
            </w:r>
            <w:r w:rsidRPr="003E3A81">
              <w:rPr>
                <w:b/>
                <w:bCs/>
                <w:szCs w:val="18"/>
                <w:lang w:eastAsia="en-AU"/>
              </w:rPr>
              <w:t>health system?</w:t>
            </w:r>
            <w:r w:rsidRPr="003E3A81">
              <w:rPr>
                <w:rFonts w:cs="Arial"/>
                <w:b/>
                <w:bCs/>
                <w:szCs w:val="18"/>
                <w:lang w:eastAsia="en-AU"/>
              </w:rPr>
              <w:t> ​</w:t>
            </w:r>
            <w:r w:rsidRPr="003E3A81">
              <w:rPr>
                <w:rFonts w:cs="Aptos Display"/>
                <w:b/>
                <w:bCs/>
                <w:szCs w:val="18"/>
                <w:lang w:eastAsia="en-AU"/>
              </w:rPr>
              <w:t> </w:t>
            </w:r>
          </w:p>
        </w:tc>
        <w:tc>
          <w:tcPr>
            <w:tcW w:w="936" w:type="pct"/>
            <w:tcBorders>
              <w:top w:val="single" w:sz="8" w:space="0" w:color="545A60" w:themeColor="accent3"/>
              <w:left w:val="single" w:sz="8" w:space="0" w:color="545A60" w:themeColor="accent3"/>
              <w:right w:val="single" w:sz="8" w:space="0" w:color="545A60" w:themeColor="accent3"/>
            </w:tcBorders>
          </w:tcPr>
          <w:p w14:paraId="319F2711" w14:textId="77777777" w:rsidR="00BF1CA2" w:rsidRPr="003E3A81" w:rsidRDefault="00BF1CA2" w:rsidP="009D015F">
            <w:pPr>
              <w:pStyle w:val="ListBullet"/>
            </w:pPr>
            <w:r w:rsidRPr="003E3A81">
              <w:t>Experiences of stigma, discrimination, and coercion in mental health care</w:t>
            </w:r>
          </w:p>
          <w:p w14:paraId="41AA8C5F" w14:textId="77777777" w:rsidR="00BF1CA2" w:rsidRPr="003E3A81" w:rsidRDefault="00BF1CA2" w:rsidP="00BF1CA2">
            <w:pPr>
              <w:pStyle w:val="ListBullet"/>
              <w:numPr>
                <w:ilvl w:val="0"/>
                <w:numId w:val="0"/>
              </w:numPr>
              <w:ind w:left="170"/>
            </w:pPr>
          </w:p>
        </w:tc>
        <w:tc>
          <w:tcPr>
            <w:tcW w:w="1911" w:type="pct"/>
            <w:tcBorders>
              <w:top w:val="single" w:sz="8" w:space="0" w:color="545A60" w:themeColor="accent3"/>
              <w:left w:val="single" w:sz="8" w:space="0" w:color="545A60" w:themeColor="accent3"/>
              <w:right w:val="single" w:sz="8" w:space="0" w:color="545A60" w:themeColor="accent3"/>
            </w:tcBorders>
          </w:tcPr>
          <w:p w14:paraId="46D7E025" w14:textId="77777777" w:rsidR="00BF1CA2" w:rsidRPr="003E3A81" w:rsidRDefault="00BF1CA2" w:rsidP="009D015F">
            <w:pPr>
              <w:rPr>
                <w:szCs w:val="18"/>
                <w:lang w:eastAsia="en-AU"/>
              </w:rPr>
            </w:pPr>
            <w:r w:rsidRPr="003E3A81">
              <w:rPr>
                <w:szCs w:val="18"/>
                <w:lang w:eastAsia="en-AU"/>
              </w:rPr>
              <w:t>Identified data gap in national data source, with scoping of future options underway.</w:t>
            </w:r>
          </w:p>
        </w:tc>
      </w:tr>
      <w:tr w:rsidR="00604985" w:rsidRPr="009A0B4E" w14:paraId="0092C5DF" w14:textId="77777777" w:rsidTr="00CB4379">
        <w:trPr>
          <w:trHeight w:val="758"/>
        </w:trPr>
        <w:tc>
          <w:tcPr>
            <w:tcW w:w="525" w:type="pct"/>
            <w:vMerge/>
            <w:tcBorders>
              <w:top w:val="single" w:sz="8" w:space="0" w:color="545A60" w:themeColor="accent3"/>
              <w:left w:val="single" w:sz="8" w:space="0" w:color="545A60" w:themeColor="accent3"/>
              <w:bottom w:val="single" w:sz="4" w:space="0" w:color="auto"/>
              <w:right w:val="single" w:sz="8" w:space="0" w:color="545A60" w:themeColor="accent3"/>
            </w:tcBorders>
            <w:shd w:val="clear" w:color="auto" w:fill="CCE5D2"/>
          </w:tcPr>
          <w:p w14:paraId="25B8680C" w14:textId="77777777" w:rsidR="00604985" w:rsidRPr="003E3A81" w:rsidRDefault="00604985" w:rsidP="009D015F">
            <w:pPr>
              <w:spacing w:after="0" w:line="240" w:lineRule="auto"/>
              <w:rPr>
                <w:rFonts w:ascii="Aptos" w:eastAsia="Times New Roman" w:hAnsi="Aptos"/>
                <w:szCs w:val="18"/>
                <w:lang w:eastAsia="en-AU"/>
              </w:rPr>
            </w:pPr>
          </w:p>
        </w:tc>
        <w:tc>
          <w:tcPr>
            <w:tcW w:w="475"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E7C534D" w14:textId="77777777" w:rsidR="00604985" w:rsidRPr="003E3A81" w:rsidRDefault="00604985" w:rsidP="009D015F">
            <w:pPr>
              <w:rPr>
                <w:b/>
                <w:bCs/>
                <w:szCs w:val="18"/>
              </w:rPr>
            </w:pPr>
          </w:p>
        </w:tc>
        <w:tc>
          <w:tcPr>
            <w:tcW w:w="1153" w:type="pct"/>
            <w:vMerge/>
            <w:tcBorders>
              <w:left w:val="single" w:sz="8" w:space="0" w:color="545A60" w:themeColor="accent3"/>
              <w:bottom w:val="single" w:sz="8" w:space="0" w:color="545A60" w:themeColor="accent3"/>
              <w:right w:val="single" w:sz="8" w:space="0" w:color="545A60" w:themeColor="accent3"/>
            </w:tcBorders>
          </w:tcPr>
          <w:p w14:paraId="72947AA0"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5313B2B" w14:textId="77777777" w:rsidR="00604985" w:rsidRPr="003E3A81" w:rsidRDefault="00604985" w:rsidP="009D015F">
            <w:pPr>
              <w:pStyle w:val="ListBullet"/>
            </w:pPr>
            <w:r w:rsidRPr="003E3A81">
              <w:t>Awareness and confidence in complaints mechanisms and safeguards</w:t>
            </w:r>
            <w:r w:rsidRPr="003E3A81">
              <w:rPr>
                <w:rFonts w:ascii="Arial" w:hAnsi="Arial"/>
              </w:rPr>
              <w:t>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CB7C1CE" w14:textId="77777777" w:rsidR="00604985" w:rsidRPr="003E3A81" w:rsidRDefault="00604985" w:rsidP="009D015F">
            <w:pPr>
              <w:rPr>
                <w:szCs w:val="18"/>
                <w:lang w:eastAsia="en-AU"/>
              </w:rPr>
            </w:pPr>
            <w:r w:rsidRPr="003E3A81">
              <w:rPr>
                <w:szCs w:val="18"/>
                <w:lang w:eastAsia="en-AU"/>
              </w:rPr>
              <w:t>Identified data gap in national data source, with scoping of future options underway.</w:t>
            </w:r>
          </w:p>
        </w:tc>
      </w:tr>
      <w:tr w:rsidR="00604985" w:rsidRPr="009A0B4E" w14:paraId="3A609EED" w14:textId="77777777" w:rsidTr="00CB4379">
        <w:trPr>
          <w:trHeight w:val="620"/>
        </w:trPr>
        <w:tc>
          <w:tcPr>
            <w:tcW w:w="525" w:type="pct"/>
            <w:vMerge w:val="restart"/>
            <w:tcBorders>
              <w:top w:val="single" w:sz="4" w:space="0" w:color="auto"/>
              <w:left w:val="single" w:sz="4" w:space="0" w:color="2A2D30" w:themeColor="accent3" w:themeShade="80"/>
              <w:bottom w:val="single" w:sz="4" w:space="0" w:color="2A2D30" w:themeColor="accent3" w:themeShade="80"/>
              <w:right w:val="single" w:sz="4" w:space="0" w:color="2A2D30" w:themeColor="accent3" w:themeShade="80"/>
            </w:tcBorders>
            <w:shd w:val="clear" w:color="auto" w:fill="CCE5D2"/>
          </w:tcPr>
          <w:p w14:paraId="19BD9ACF" w14:textId="77777777" w:rsidR="00604985" w:rsidRPr="003E3A81" w:rsidRDefault="00604985" w:rsidP="009D015F">
            <w:pPr>
              <w:spacing w:after="0" w:line="240" w:lineRule="auto"/>
              <w:rPr>
                <w:rFonts w:eastAsia="Times New Roman"/>
                <w:szCs w:val="18"/>
                <w:lang w:eastAsia="en-AU"/>
              </w:rPr>
            </w:pPr>
          </w:p>
        </w:tc>
        <w:tc>
          <w:tcPr>
            <w:tcW w:w="475" w:type="pct"/>
            <w:vMerge w:val="restart"/>
            <w:tcBorders>
              <w:top w:val="single" w:sz="8" w:space="0" w:color="545A60" w:themeColor="accent3"/>
              <w:left w:val="single" w:sz="4" w:space="0" w:color="2A2D30" w:themeColor="accent3" w:themeShade="80"/>
              <w:bottom w:val="single" w:sz="8" w:space="0" w:color="545A60" w:themeColor="accent3"/>
              <w:right w:val="single" w:sz="8" w:space="0" w:color="545A60" w:themeColor="accent3"/>
            </w:tcBorders>
          </w:tcPr>
          <w:p w14:paraId="19E8C3C8" w14:textId="77777777" w:rsidR="00604985" w:rsidRPr="003E3A81" w:rsidRDefault="00604985" w:rsidP="009D015F">
            <w:pPr>
              <w:rPr>
                <w:b/>
                <w:bCs/>
                <w:szCs w:val="18"/>
              </w:rPr>
            </w:pPr>
            <w:r w:rsidRPr="003E3A81">
              <w:rPr>
                <w:b/>
                <w:bCs/>
                <w:szCs w:val="18"/>
              </w:rPr>
              <w:t>Sustainability and efficiency ​ </w:t>
            </w:r>
          </w:p>
          <w:p w14:paraId="11AB80B3" w14:textId="77777777" w:rsidR="00604985" w:rsidRPr="003E3A81" w:rsidRDefault="00604985" w:rsidP="009D015F">
            <w:pPr>
              <w:rPr>
                <w:b/>
                <w:bCs/>
                <w:szCs w:val="18"/>
              </w:rPr>
            </w:pPr>
            <w:r w:rsidRPr="003E3A81">
              <w:rPr>
                <w:b/>
                <w:bCs/>
                <w:szCs w:val="18"/>
              </w:rPr>
              <w:t> </w:t>
            </w:r>
          </w:p>
          <w:p w14:paraId="7B751539" w14:textId="77777777" w:rsidR="00604985" w:rsidRPr="003E3A81" w:rsidRDefault="00604985" w:rsidP="009D015F">
            <w:pPr>
              <w:rPr>
                <w:b/>
                <w:bCs/>
                <w:szCs w:val="18"/>
              </w:rPr>
            </w:pPr>
          </w:p>
        </w:tc>
        <w:tc>
          <w:tcPr>
            <w:tcW w:w="1153" w:type="pct"/>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5BC2B1F" w14:textId="77777777" w:rsidR="00604985" w:rsidRPr="003E3A81" w:rsidRDefault="00604985" w:rsidP="009D015F">
            <w:pPr>
              <w:rPr>
                <w:rFonts w:cs="Arial"/>
                <w:b/>
                <w:bCs/>
                <w:szCs w:val="18"/>
                <w:lang w:eastAsia="en-AU"/>
              </w:rPr>
            </w:pPr>
            <w:r w:rsidRPr="003E3A81">
              <w:rPr>
                <w:b/>
                <w:bCs/>
                <w:szCs w:val="18"/>
                <w:lang w:eastAsia="en-AU"/>
              </w:rPr>
              <w:lastRenderedPageBreak/>
              <w:t>To what extent are consumers, carers,</w:t>
            </w:r>
            <w:r w:rsidRPr="003E3A81">
              <w:rPr>
                <w:rFonts w:cs="Arial"/>
                <w:b/>
                <w:bCs/>
                <w:szCs w:val="18"/>
                <w:lang w:eastAsia="en-AU"/>
              </w:rPr>
              <w:t> </w:t>
            </w:r>
            <w:r w:rsidRPr="003E3A81">
              <w:rPr>
                <w:b/>
                <w:bCs/>
                <w:szCs w:val="18"/>
                <w:lang w:eastAsia="en-AU"/>
              </w:rPr>
              <w:t>family</w:t>
            </w:r>
            <w:r w:rsidRPr="003E3A81">
              <w:rPr>
                <w:rFonts w:cs="Arial"/>
                <w:b/>
                <w:bCs/>
                <w:szCs w:val="18"/>
                <w:lang w:eastAsia="en-AU"/>
              </w:rPr>
              <w:t> </w:t>
            </w:r>
            <w:r w:rsidRPr="003E3A81">
              <w:rPr>
                <w:b/>
                <w:bCs/>
                <w:szCs w:val="18"/>
                <w:lang w:eastAsia="en-AU"/>
              </w:rPr>
              <w:t>and</w:t>
            </w:r>
            <w:r w:rsidRPr="003E3A81">
              <w:rPr>
                <w:rFonts w:cs="Arial"/>
                <w:b/>
                <w:bCs/>
                <w:szCs w:val="18"/>
                <w:lang w:eastAsia="en-AU"/>
              </w:rPr>
              <w:t> </w:t>
            </w:r>
            <w:r w:rsidRPr="003E3A81">
              <w:rPr>
                <w:b/>
                <w:bCs/>
                <w:szCs w:val="18"/>
                <w:lang w:eastAsia="en-AU"/>
              </w:rPr>
              <w:t>kin supported by a well-resourced and</w:t>
            </w:r>
            <w:r w:rsidRPr="003E3A81">
              <w:rPr>
                <w:rFonts w:cs="Arial"/>
                <w:b/>
                <w:bCs/>
                <w:szCs w:val="18"/>
                <w:lang w:eastAsia="en-AU"/>
              </w:rPr>
              <w:t> </w:t>
            </w:r>
            <w:r w:rsidRPr="003E3A81">
              <w:rPr>
                <w:b/>
                <w:bCs/>
                <w:szCs w:val="18"/>
                <w:lang w:eastAsia="en-AU"/>
              </w:rPr>
              <w:t>efficient</w:t>
            </w:r>
            <w:r w:rsidRPr="003E3A81">
              <w:rPr>
                <w:rFonts w:cs="Arial"/>
                <w:b/>
                <w:bCs/>
                <w:szCs w:val="18"/>
                <w:lang w:eastAsia="en-AU"/>
              </w:rPr>
              <w:t> </w:t>
            </w:r>
            <w:r w:rsidRPr="003E3A81">
              <w:rPr>
                <w:b/>
                <w:bCs/>
                <w:szCs w:val="18"/>
                <w:lang w:eastAsia="en-AU"/>
              </w:rPr>
              <w:t>mental health system now and into the</w:t>
            </w:r>
            <w:r w:rsidRPr="003E3A81">
              <w:rPr>
                <w:rFonts w:cs="Arial"/>
                <w:b/>
                <w:bCs/>
                <w:szCs w:val="18"/>
                <w:lang w:eastAsia="en-AU"/>
              </w:rPr>
              <w:t> </w:t>
            </w:r>
            <w:r w:rsidRPr="003E3A81">
              <w:rPr>
                <w:b/>
                <w:bCs/>
                <w:szCs w:val="18"/>
                <w:lang w:eastAsia="en-AU"/>
              </w:rPr>
              <w:t>future?</w:t>
            </w:r>
            <w:r w:rsidRPr="003E3A81">
              <w:rPr>
                <w:rFonts w:cs="Arial"/>
                <w:b/>
                <w:bCs/>
                <w:szCs w:val="18"/>
                <w:lang w:eastAsia="en-AU"/>
              </w:rPr>
              <w:t> </w:t>
            </w:r>
          </w:p>
          <w:p w14:paraId="2ECF2CA3"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CF04407" w14:textId="77777777" w:rsidR="00604985" w:rsidRPr="003E3A81" w:rsidRDefault="00604985" w:rsidP="009D015F">
            <w:pPr>
              <w:pStyle w:val="ListBullet"/>
            </w:pPr>
            <w:r w:rsidRPr="003E3A81">
              <w:lastRenderedPageBreak/>
              <w:t>Proportion of public and private expenditure on mental health related</w:t>
            </w:r>
            <w:r w:rsidRPr="003E3A81">
              <w:rPr>
                <w:rFonts w:ascii="Arial" w:hAnsi="Arial"/>
              </w:rPr>
              <w:t> </w:t>
            </w:r>
            <w:r w:rsidRPr="003E3A81">
              <w:t>services</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86EA015" w14:textId="77777777" w:rsidR="00604985" w:rsidRPr="00BF1CA2" w:rsidRDefault="00604985" w:rsidP="009D015F">
            <w:pPr>
              <w:pStyle w:val="AIHWbodytext"/>
              <w:rPr>
                <w:rFonts w:ascii="Roboto" w:hAnsi="Roboto" w:cs="Roboto-Light"/>
                <w:color w:val="5C626C"/>
                <w:sz w:val="18"/>
                <w:szCs w:val="18"/>
                <w:lang w:val="en-GB" w:eastAsia="en-AU"/>
              </w:rPr>
            </w:pPr>
            <w:r w:rsidRPr="00BF1CA2">
              <w:rPr>
                <w:rFonts w:ascii="Roboto" w:hAnsi="Roboto" w:cs="Roboto-Light"/>
                <w:color w:val="5C626C"/>
                <w:sz w:val="18"/>
                <w:szCs w:val="18"/>
                <w:lang w:val="en-GB" w:eastAsia="en-AU"/>
              </w:rPr>
              <w:t xml:space="preserve">Australian Government Department of Health, Disability and Ageing (unpublished) 2023-24 </w:t>
            </w:r>
          </w:p>
          <w:p w14:paraId="16FFE973" w14:textId="77777777" w:rsidR="00604985" w:rsidRPr="00BF1CA2" w:rsidRDefault="00604985" w:rsidP="009D015F">
            <w:pPr>
              <w:pStyle w:val="AIHWbodytext"/>
              <w:rPr>
                <w:rFonts w:ascii="Roboto" w:hAnsi="Roboto" w:cs="Roboto-Light"/>
                <w:color w:val="5C626C"/>
                <w:sz w:val="18"/>
                <w:szCs w:val="18"/>
                <w:lang w:val="en-GB" w:eastAsia="en-AU"/>
              </w:rPr>
            </w:pPr>
            <w:r w:rsidRPr="00BF1CA2">
              <w:rPr>
                <w:rFonts w:ascii="Roboto" w:hAnsi="Roboto" w:cs="Roboto-Light"/>
                <w:color w:val="5C626C"/>
                <w:sz w:val="18"/>
                <w:szCs w:val="18"/>
                <w:lang w:val="en-GB" w:eastAsia="en-AU"/>
              </w:rPr>
              <w:t>National Mental Health Establishments Database 2023-24</w:t>
            </w:r>
          </w:p>
          <w:p w14:paraId="72AB8D82" w14:textId="77777777" w:rsidR="00604985" w:rsidRPr="003E3A81" w:rsidRDefault="00604985" w:rsidP="009D015F">
            <w:pPr>
              <w:rPr>
                <w:szCs w:val="18"/>
                <w:lang w:eastAsia="en-AU"/>
              </w:rPr>
            </w:pPr>
          </w:p>
        </w:tc>
      </w:tr>
      <w:tr w:rsidR="00604985" w:rsidRPr="009A0B4E" w14:paraId="29FA0F80" w14:textId="77777777" w:rsidTr="00604985">
        <w:trPr>
          <w:trHeight w:val="983"/>
        </w:trPr>
        <w:tc>
          <w:tcPr>
            <w:tcW w:w="525" w:type="pct"/>
            <w:vMerge/>
            <w:tcBorders>
              <w:top w:val="single" w:sz="4" w:space="0" w:color="2A2D30" w:themeColor="accent3" w:themeShade="80"/>
              <w:left w:val="single" w:sz="4" w:space="0" w:color="2A2D30" w:themeColor="accent3" w:themeShade="80"/>
              <w:bottom w:val="single" w:sz="4" w:space="0" w:color="2A2D30" w:themeColor="accent3" w:themeShade="80"/>
              <w:right w:val="single" w:sz="4" w:space="0" w:color="2A2D30" w:themeColor="accent3" w:themeShade="80"/>
            </w:tcBorders>
            <w:shd w:val="clear" w:color="auto" w:fill="CCE5D2"/>
          </w:tcPr>
          <w:p w14:paraId="27BDB6C0"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4" w:space="0" w:color="2A2D30" w:themeColor="accent3" w:themeShade="80"/>
              <w:bottom w:val="single" w:sz="8" w:space="0" w:color="545A60" w:themeColor="accent3"/>
              <w:right w:val="single" w:sz="8" w:space="0" w:color="545A60" w:themeColor="accent3"/>
            </w:tcBorders>
          </w:tcPr>
          <w:p w14:paraId="3418B69F" w14:textId="77777777" w:rsidR="00604985" w:rsidRPr="003E3A81" w:rsidRDefault="00604985" w:rsidP="009D015F">
            <w:pPr>
              <w:spacing w:after="0" w:line="240" w:lineRule="auto"/>
              <w:textAlignment w:val="baseline"/>
              <w:rPr>
                <w:rFonts w:eastAsia="Times New Roman"/>
                <w:b/>
                <w:bCs/>
                <w:szCs w:val="18"/>
                <w:lang w:eastAsia="en-AU"/>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322C78E"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84E6B99" w14:textId="77777777" w:rsidR="00604985" w:rsidRPr="003E3A81" w:rsidRDefault="00604985" w:rsidP="009D015F">
            <w:pPr>
              <w:pStyle w:val="ListBullet"/>
            </w:pPr>
            <w:r w:rsidRPr="003E3A81">
              <w:t>Workforce distribution (FTE) of psychiatry, psychology, allied</w:t>
            </w:r>
            <w:r w:rsidRPr="003E3A81">
              <w:rPr>
                <w:rFonts w:ascii="Arial" w:hAnsi="Arial"/>
              </w:rPr>
              <w:t> </w:t>
            </w:r>
            <w:r w:rsidRPr="003E3A81">
              <w:t>health</w:t>
            </w:r>
            <w:r w:rsidRPr="003E3A81">
              <w:rPr>
                <w:rFonts w:ascii="Arial" w:hAnsi="Arial"/>
              </w:rPr>
              <w:t> </w:t>
            </w:r>
            <w:r w:rsidRPr="003E3A81">
              <w:t>professionals</w:t>
            </w:r>
            <w:r w:rsidRPr="003E3A81">
              <w:rPr>
                <w:rFonts w:ascii="Arial" w:hAnsi="Arial"/>
              </w:rPr>
              <w:t> </w:t>
            </w:r>
            <w:r w:rsidRPr="003E3A81">
              <w:t>and peer workforce</w:t>
            </w:r>
            <w:r w:rsidRPr="003E3A81">
              <w:rPr>
                <w:rFonts w:ascii="Arial" w:hAnsi="Arial"/>
              </w:rPr>
              <w:t>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382C4B1" w14:textId="77777777" w:rsidR="00604985" w:rsidRPr="003E3A81" w:rsidRDefault="00604985" w:rsidP="007140DC">
            <w:pPr>
              <w:rPr>
                <w:rFonts w:eastAsia="Calibri"/>
                <w:szCs w:val="18"/>
              </w:rPr>
            </w:pPr>
            <w:r w:rsidRPr="003E3A81">
              <w:rPr>
                <w:rFonts w:eastAsia="Calibri"/>
                <w:szCs w:val="18"/>
              </w:rPr>
              <w:t xml:space="preserve"> </w:t>
            </w:r>
            <w:r w:rsidRPr="003E3A81">
              <w:rPr>
                <w:szCs w:val="18"/>
                <w:lang w:eastAsia="en-AU"/>
              </w:rPr>
              <w:t>AIHW analysis of National Health Workforce Dataset (NHWDS) 2024, and data from Australian Association of Social Workers (AASW) (unpublished) 2024</w:t>
            </w:r>
          </w:p>
          <w:p w14:paraId="5AC09AA8" w14:textId="77777777" w:rsidR="00604985" w:rsidRPr="003E3A81" w:rsidRDefault="00604985" w:rsidP="009D015F">
            <w:pPr>
              <w:rPr>
                <w:szCs w:val="18"/>
                <w:lang w:eastAsia="en-AU"/>
              </w:rPr>
            </w:pPr>
          </w:p>
        </w:tc>
      </w:tr>
      <w:tr w:rsidR="00604985" w:rsidRPr="009A0B4E" w14:paraId="0359EEC4" w14:textId="77777777" w:rsidTr="00604985">
        <w:trPr>
          <w:trHeight w:val="640"/>
        </w:trPr>
        <w:tc>
          <w:tcPr>
            <w:tcW w:w="525" w:type="pct"/>
            <w:vMerge/>
            <w:tcBorders>
              <w:top w:val="single" w:sz="4" w:space="0" w:color="2A2D30" w:themeColor="accent3" w:themeShade="80"/>
              <w:left w:val="single" w:sz="4" w:space="0" w:color="2A2D30" w:themeColor="accent3" w:themeShade="80"/>
              <w:bottom w:val="single" w:sz="4" w:space="0" w:color="2A2D30" w:themeColor="accent3" w:themeShade="80"/>
              <w:right w:val="single" w:sz="4" w:space="0" w:color="2A2D30" w:themeColor="accent3" w:themeShade="80"/>
            </w:tcBorders>
            <w:shd w:val="clear" w:color="auto" w:fill="CCE5D2"/>
          </w:tcPr>
          <w:p w14:paraId="79316DA0"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4" w:space="0" w:color="2A2D30" w:themeColor="accent3" w:themeShade="80"/>
              <w:bottom w:val="single" w:sz="8" w:space="0" w:color="545A60" w:themeColor="accent3"/>
              <w:right w:val="single" w:sz="8" w:space="0" w:color="545A60" w:themeColor="accent3"/>
            </w:tcBorders>
          </w:tcPr>
          <w:p w14:paraId="784781F1" w14:textId="77777777" w:rsidR="00604985" w:rsidRPr="003E3A81" w:rsidRDefault="00604985" w:rsidP="009D015F">
            <w:pPr>
              <w:spacing w:after="0" w:line="240" w:lineRule="auto"/>
              <w:textAlignment w:val="baseline"/>
              <w:rPr>
                <w:rFonts w:eastAsia="Times New Roman"/>
                <w:b/>
                <w:bCs/>
                <w:szCs w:val="18"/>
                <w:lang w:eastAsia="en-AU"/>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A50ED44"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DAB2724" w14:textId="77777777" w:rsidR="00604985" w:rsidRPr="003E3A81" w:rsidRDefault="00604985" w:rsidP="009D015F">
            <w:pPr>
              <w:pStyle w:val="ListBullet"/>
            </w:pPr>
            <w:r w:rsidRPr="003E3A81">
              <w:t>Participation of peer workers in the mental health workforce</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A0956F5" w14:textId="77777777" w:rsidR="00604985" w:rsidRPr="003E3A81" w:rsidRDefault="00604985" w:rsidP="009D015F">
            <w:pPr>
              <w:rPr>
                <w:szCs w:val="18"/>
                <w:lang w:eastAsia="en-AU"/>
              </w:rPr>
            </w:pPr>
            <w:r w:rsidRPr="003E3A81">
              <w:rPr>
                <w:szCs w:val="18"/>
                <w:lang w:eastAsia="en-AU"/>
              </w:rPr>
              <w:t>Identified data gap in national data source, with scoping of future options underway.</w:t>
            </w:r>
          </w:p>
        </w:tc>
      </w:tr>
      <w:tr w:rsidR="00604985" w:rsidRPr="009A0B4E" w14:paraId="43388E5E" w14:textId="77777777" w:rsidTr="00604985">
        <w:trPr>
          <w:trHeight w:val="818"/>
        </w:trPr>
        <w:tc>
          <w:tcPr>
            <w:tcW w:w="525" w:type="pct"/>
            <w:vMerge/>
            <w:tcBorders>
              <w:top w:val="single" w:sz="4" w:space="0" w:color="2A2D30" w:themeColor="accent3" w:themeShade="80"/>
              <w:left w:val="single" w:sz="4" w:space="0" w:color="2A2D30" w:themeColor="accent3" w:themeShade="80"/>
              <w:bottom w:val="single" w:sz="4" w:space="0" w:color="2A2D30" w:themeColor="accent3" w:themeShade="80"/>
              <w:right w:val="single" w:sz="4" w:space="0" w:color="2A2D30" w:themeColor="accent3" w:themeShade="80"/>
            </w:tcBorders>
            <w:shd w:val="clear" w:color="auto" w:fill="CCE5D2"/>
          </w:tcPr>
          <w:p w14:paraId="2C298F0D"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4" w:space="0" w:color="2A2D30" w:themeColor="accent3" w:themeShade="80"/>
              <w:bottom w:val="single" w:sz="8" w:space="0" w:color="545A60" w:themeColor="accent3"/>
              <w:right w:val="single" w:sz="8" w:space="0" w:color="545A60" w:themeColor="accent3"/>
            </w:tcBorders>
          </w:tcPr>
          <w:p w14:paraId="5161A1E4" w14:textId="77777777" w:rsidR="00604985" w:rsidRPr="003E3A81" w:rsidRDefault="00604985" w:rsidP="009D015F">
            <w:pPr>
              <w:spacing w:after="0" w:line="240" w:lineRule="auto"/>
              <w:textAlignment w:val="baseline"/>
              <w:rPr>
                <w:rFonts w:eastAsia="Times New Roman"/>
                <w:b/>
                <w:bCs/>
                <w:szCs w:val="18"/>
                <w:lang w:eastAsia="en-AU"/>
              </w:rPr>
            </w:pPr>
          </w:p>
        </w:tc>
        <w:tc>
          <w:tcPr>
            <w:tcW w:w="1153" w:type="pct"/>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98C7C33" w14:textId="77777777" w:rsidR="00604985" w:rsidRPr="003E3A81" w:rsidRDefault="00604985" w:rsidP="009D015F">
            <w:pPr>
              <w:rPr>
                <w:rFonts w:cs="Arial"/>
                <w:b/>
                <w:bCs/>
                <w:szCs w:val="18"/>
                <w:lang w:eastAsia="en-AU"/>
              </w:rPr>
            </w:pPr>
            <w:r w:rsidRPr="003E3A81">
              <w:rPr>
                <w:rFonts w:cs="Arial"/>
                <w:b/>
                <w:bCs/>
                <w:szCs w:val="18"/>
                <w:lang w:eastAsia="en-AU"/>
              </w:rPr>
              <w:t>To what extent are consumers, carers, family and kin included in stewardship of the mental health system?</w:t>
            </w:r>
          </w:p>
          <w:p w14:paraId="0D85783D" w14:textId="77777777" w:rsidR="00604985" w:rsidRPr="003E3A81" w:rsidRDefault="00604985" w:rsidP="009D015F">
            <w:pPr>
              <w:rPr>
                <w:b/>
                <w:bCs/>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462691E" w14:textId="77777777" w:rsidR="00604985" w:rsidRPr="003E3A81" w:rsidRDefault="00604985" w:rsidP="009D015F">
            <w:pPr>
              <w:pStyle w:val="ListBullet"/>
            </w:pPr>
            <w:r w:rsidRPr="003E3A81">
              <w:t>Involvement of consumers and people with lived and living experience</w:t>
            </w:r>
            <w:r w:rsidRPr="003E3A81">
              <w:rPr>
                <w:rFonts w:ascii="Arial" w:hAnsi="Arial"/>
              </w:rPr>
              <w:t> </w:t>
            </w:r>
            <w:r w:rsidRPr="003E3A81">
              <w:t>in</w:t>
            </w:r>
            <w:r w:rsidRPr="003E3A81">
              <w:rPr>
                <w:rFonts w:ascii="Arial" w:hAnsi="Arial"/>
              </w:rPr>
              <w:t> </w:t>
            </w:r>
            <w:r w:rsidRPr="003E3A81">
              <w:t>national mental health research</w:t>
            </w:r>
            <w:r w:rsidRPr="003E3A81">
              <w:rPr>
                <w:rFonts w:ascii="Arial" w:hAnsi="Arial"/>
              </w:rPr>
              <w:t> </w:t>
            </w:r>
            <w:r w:rsidRPr="003E3A81">
              <w:t>activities</w:t>
            </w:r>
            <w:r w:rsidRPr="003E3A81">
              <w:rPr>
                <w:rFonts w:ascii="Arial" w:hAnsi="Arial"/>
              </w:rPr>
              <w:t>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E677D23" w14:textId="77777777" w:rsidR="00604985" w:rsidRPr="003E3A81" w:rsidRDefault="00604985" w:rsidP="009D015F">
            <w:pPr>
              <w:rPr>
                <w:szCs w:val="18"/>
                <w:lang w:eastAsia="en-AU"/>
              </w:rPr>
            </w:pPr>
            <w:r w:rsidRPr="003E3A81">
              <w:rPr>
                <w:szCs w:val="18"/>
                <w:lang w:eastAsia="en-AU"/>
              </w:rPr>
              <w:t>Identified data gap in national data source, with scoping of future options underway.</w:t>
            </w:r>
          </w:p>
        </w:tc>
      </w:tr>
      <w:tr w:rsidR="00604985" w:rsidRPr="009A0B4E" w14:paraId="4186B35D" w14:textId="77777777" w:rsidTr="00604985">
        <w:trPr>
          <w:trHeight w:val="817"/>
        </w:trPr>
        <w:tc>
          <w:tcPr>
            <w:tcW w:w="525" w:type="pct"/>
            <w:vMerge/>
            <w:tcBorders>
              <w:top w:val="single" w:sz="4" w:space="0" w:color="2A2D30" w:themeColor="accent3" w:themeShade="80"/>
              <w:left w:val="single" w:sz="4" w:space="0" w:color="2A2D30" w:themeColor="accent3" w:themeShade="80"/>
              <w:bottom w:val="nil"/>
              <w:right w:val="single" w:sz="4" w:space="0" w:color="2A2D30" w:themeColor="accent3" w:themeShade="80"/>
            </w:tcBorders>
            <w:shd w:val="clear" w:color="auto" w:fill="CCE5D2"/>
          </w:tcPr>
          <w:p w14:paraId="6BBA8024" w14:textId="77777777" w:rsidR="00604985" w:rsidRPr="003E3A81" w:rsidRDefault="00604985" w:rsidP="009D015F">
            <w:pPr>
              <w:spacing w:after="0" w:line="240" w:lineRule="auto"/>
              <w:rPr>
                <w:rFonts w:eastAsia="Times New Roman"/>
                <w:szCs w:val="18"/>
                <w:lang w:eastAsia="en-AU"/>
              </w:rPr>
            </w:pPr>
          </w:p>
        </w:tc>
        <w:tc>
          <w:tcPr>
            <w:tcW w:w="475" w:type="pct"/>
            <w:vMerge/>
            <w:tcBorders>
              <w:top w:val="single" w:sz="8" w:space="0" w:color="545A60" w:themeColor="accent3"/>
              <w:left w:val="single" w:sz="4" w:space="0" w:color="2A2D30" w:themeColor="accent3" w:themeShade="80"/>
              <w:bottom w:val="single" w:sz="8" w:space="0" w:color="545A60" w:themeColor="accent3"/>
              <w:right w:val="single" w:sz="8" w:space="0" w:color="545A60" w:themeColor="accent3"/>
            </w:tcBorders>
          </w:tcPr>
          <w:p w14:paraId="6CD2D6AB" w14:textId="77777777" w:rsidR="00604985" w:rsidRPr="003E3A81" w:rsidRDefault="00604985" w:rsidP="009D015F">
            <w:pPr>
              <w:spacing w:after="0" w:line="240" w:lineRule="auto"/>
              <w:textAlignment w:val="baseline"/>
              <w:rPr>
                <w:rFonts w:eastAsia="Times New Roman"/>
                <w:b/>
                <w:bCs/>
                <w:szCs w:val="18"/>
                <w:lang w:eastAsia="en-AU"/>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6F82460B" w14:textId="77777777" w:rsidR="00604985" w:rsidRPr="003E3A81" w:rsidRDefault="00604985" w:rsidP="009D015F">
            <w:pPr>
              <w:spacing w:after="0" w:line="240" w:lineRule="auto"/>
              <w:rPr>
                <w:rFonts w:eastAsia="Times New Roman" w:cs="Arial"/>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3C611CC" w14:textId="77777777" w:rsidR="00604985" w:rsidRPr="003E3A81" w:rsidRDefault="00604985" w:rsidP="009D015F">
            <w:pPr>
              <w:pStyle w:val="ListBullet"/>
            </w:pPr>
            <w:r w:rsidRPr="003E3A81">
              <w:t>Consumers have meaningful, decision-making power in the governance,</w:t>
            </w:r>
            <w:r w:rsidRPr="003E3A81">
              <w:rPr>
                <w:rFonts w:ascii="Arial" w:hAnsi="Arial"/>
              </w:rPr>
              <w:t> </w:t>
            </w:r>
            <w:r w:rsidRPr="003E3A81">
              <w:t>design</w:t>
            </w:r>
            <w:r w:rsidRPr="003E3A81">
              <w:rPr>
                <w:rFonts w:ascii="Arial" w:hAnsi="Arial"/>
              </w:rPr>
              <w:t> </w:t>
            </w:r>
            <w:r w:rsidRPr="003E3A81">
              <w:t>delivery</w:t>
            </w:r>
            <w:r w:rsidRPr="003E3A81">
              <w:rPr>
                <w:rFonts w:ascii="Arial" w:hAnsi="Arial"/>
              </w:rPr>
              <w:t> </w:t>
            </w:r>
            <w:r w:rsidRPr="003E3A81">
              <w:t>and evaluation of the mental health</w:t>
            </w:r>
            <w:r w:rsidRPr="003E3A81">
              <w:rPr>
                <w:rFonts w:cs="Aptos Display"/>
              </w:rPr>
              <w:t> </w:t>
            </w:r>
            <w:r w:rsidRPr="003E3A81">
              <w:t>system</w:t>
            </w:r>
            <w:r w:rsidRPr="003E3A81">
              <w:rPr>
                <w:rFonts w:ascii="Arial" w:hAnsi="Arial"/>
              </w:rPr>
              <w:t> ​</w:t>
            </w:r>
            <w:r w:rsidRPr="003E3A81">
              <w:rPr>
                <w:rFonts w:cs="Aptos Display"/>
              </w:rPr>
              <w:t>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0A5BE6A" w14:textId="77777777" w:rsidR="00604985" w:rsidRPr="003E3A81" w:rsidRDefault="00604985" w:rsidP="009D015F">
            <w:pPr>
              <w:rPr>
                <w:szCs w:val="18"/>
                <w:lang w:eastAsia="en-AU"/>
              </w:rPr>
            </w:pPr>
            <w:r w:rsidRPr="003E3A81">
              <w:rPr>
                <w:szCs w:val="18"/>
                <w:lang w:eastAsia="en-AU"/>
              </w:rPr>
              <w:t>Identified data gap in national data source, with scoping of future options underway.</w:t>
            </w:r>
          </w:p>
        </w:tc>
      </w:tr>
      <w:tr w:rsidR="00604985" w:rsidRPr="009A0B4E" w14:paraId="0B1DF31E" w14:textId="77777777" w:rsidTr="00604985">
        <w:trPr>
          <w:trHeight w:val="581"/>
        </w:trPr>
        <w:tc>
          <w:tcPr>
            <w:tcW w:w="525" w:type="pct"/>
            <w:vMerge w:val="restart"/>
            <w:tcBorders>
              <w:top w:val="nil"/>
              <w:left w:val="single" w:sz="8" w:space="0" w:color="545A60" w:themeColor="accent3"/>
              <w:bottom w:val="single" w:sz="4" w:space="0" w:color="2A2D30" w:themeColor="accent3" w:themeShade="80"/>
              <w:right w:val="single" w:sz="8" w:space="0" w:color="545A60" w:themeColor="accent3"/>
            </w:tcBorders>
            <w:shd w:val="clear" w:color="auto" w:fill="CCE5D2"/>
          </w:tcPr>
          <w:p w14:paraId="679BBBDE" w14:textId="77777777" w:rsidR="00604985" w:rsidRPr="003E3A81" w:rsidRDefault="00604985" w:rsidP="009D015F">
            <w:pPr>
              <w:spacing w:after="0" w:line="240" w:lineRule="auto"/>
              <w:rPr>
                <w:rFonts w:eastAsia="Times New Roman"/>
                <w:szCs w:val="18"/>
                <w:lang w:eastAsia="en-AU"/>
              </w:rPr>
            </w:pPr>
          </w:p>
        </w:tc>
        <w:tc>
          <w:tcPr>
            <w:tcW w:w="475" w:type="pct"/>
            <w:vMerge w:val="restart"/>
            <w:tcBorders>
              <w:top w:val="single" w:sz="8" w:space="0" w:color="545A60" w:themeColor="accent3"/>
              <w:left w:val="single" w:sz="8" w:space="0" w:color="545A60" w:themeColor="accent3"/>
              <w:bottom w:val="single" w:sz="4" w:space="0" w:color="2A2D30" w:themeColor="accent3" w:themeShade="80"/>
              <w:right w:val="single" w:sz="8" w:space="0" w:color="545A60" w:themeColor="accent3"/>
            </w:tcBorders>
          </w:tcPr>
          <w:p w14:paraId="5C831F9E" w14:textId="77777777" w:rsidR="00604985" w:rsidRPr="003E3A81" w:rsidRDefault="00604985" w:rsidP="009D015F">
            <w:pPr>
              <w:rPr>
                <w:b/>
                <w:bCs/>
                <w:szCs w:val="18"/>
                <w:lang w:eastAsia="en-AU"/>
              </w:rPr>
            </w:pPr>
            <w:r w:rsidRPr="003E3A81">
              <w:rPr>
                <w:b/>
                <w:bCs/>
                <w:szCs w:val="18"/>
                <w:lang w:eastAsia="en-AU"/>
              </w:rPr>
              <w:t xml:space="preserve">Effectiveness </w:t>
            </w:r>
          </w:p>
          <w:p w14:paraId="2D60E6C9" w14:textId="77777777" w:rsidR="00604985" w:rsidRPr="003E3A81" w:rsidRDefault="00604985" w:rsidP="009D015F">
            <w:pPr>
              <w:rPr>
                <w:b/>
                <w:bCs/>
                <w:szCs w:val="18"/>
                <w:lang w:eastAsia="en-AU"/>
              </w:rPr>
            </w:pPr>
            <w:r w:rsidRPr="003E3A81">
              <w:rPr>
                <w:b/>
                <w:bCs/>
                <w:szCs w:val="18"/>
                <w:lang w:eastAsia="en-AU"/>
              </w:rPr>
              <w:t> </w:t>
            </w:r>
          </w:p>
        </w:tc>
        <w:tc>
          <w:tcPr>
            <w:tcW w:w="1153" w:type="pct"/>
            <w:vMerge w:val="restar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982868E" w14:textId="77777777" w:rsidR="00604985" w:rsidRPr="003E3A81" w:rsidRDefault="00604985" w:rsidP="009D015F">
            <w:pPr>
              <w:rPr>
                <w:b/>
                <w:bCs/>
                <w:szCs w:val="18"/>
                <w:lang w:eastAsia="en-AU"/>
              </w:rPr>
            </w:pPr>
            <w:r w:rsidRPr="003E3A81">
              <w:rPr>
                <w:b/>
                <w:bCs/>
                <w:szCs w:val="18"/>
                <w:lang w:eastAsia="en-AU"/>
              </w:rPr>
              <w:t>To what extent do consumers, carers, family and kin experience improved outcomes after interacting with the mental health system?</w:t>
            </w:r>
          </w:p>
          <w:p w14:paraId="1F70F81D" w14:textId="77777777" w:rsidR="00604985" w:rsidRPr="003E3A81" w:rsidRDefault="00604985" w:rsidP="009D015F">
            <w:pPr>
              <w:spacing w:after="0" w:line="240" w:lineRule="auto"/>
              <w:rPr>
                <w:rFonts w:eastAsia="Times New Roman" w:cs="Arial"/>
                <w:b/>
                <w:bCs/>
                <w:szCs w:val="18"/>
                <w:lang w:eastAsia="en-AU"/>
              </w:rPr>
            </w:pPr>
            <w:r w:rsidRPr="003E3A81">
              <w:rPr>
                <w:rFonts w:eastAsia="Times New Roman" w:cs="Arial"/>
                <w:b/>
                <w:bCs/>
                <w:szCs w:val="18"/>
                <w:lang w:eastAsia="en-AU"/>
              </w:rPr>
              <w:t> </w:t>
            </w:r>
          </w:p>
          <w:p w14:paraId="4BEB340C" w14:textId="77777777" w:rsidR="00604985" w:rsidRPr="003E3A81" w:rsidRDefault="00604985" w:rsidP="009D015F">
            <w:pPr>
              <w:rPr>
                <w:rFonts w:cs="Arial"/>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9387D17" w14:textId="77777777" w:rsidR="00604985" w:rsidRPr="003E3A81" w:rsidRDefault="00604985" w:rsidP="009D015F">
            <w:pPr>
              <w:pStyle w:val="ListBullet"/>
            </w:pPr>
            <w:r w:rsidRPr="003E3A81">
              <w:t xml:space="preserve">Consumer, carer, family and kin experiences of mental health services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27238ED5" w14:textId="77777777" w:rsidR="00604985" w:rsidRPr="00F11428" w:rsidRDefault="00604985" w:rsidP="007140DC">
            <w:pPr>
              <w:keepNext/>
              <w:keepLines/>
              <w:spacing w:after="60"/>
              <w:outlineLvl w:val="2"/>
              <w:rPr>
                <w:szCs w:val="18"/>
                <w:lang w:eastAsia="en-AU"/>
              </w:rPr>
            </w:pPr>
            <w:r w:rsidRPr="00F11428">
              <w:rPr>
                <w:szCs w:val="18"/>
                <w:lang w:eastAsia="en-AU"/>
              </w:rPr>
              <w:t>AIHW analysis of Your Experience of Service (YES) Survey Database 2023-24</w:t>
            </w:r>
          </w:p>
          <w:p w14:paraId="1A2B530E" w14:textId="77777777" w:rsidR="00604985" w:rsidRPr="003E3A81" w:rsidRDefault="00604985" w:rsidP="00F11428">
            <w:pPr>
              <w:rPr>
                <w:szCs w:val="18"/>
                <w:lang w:eastAsia="en-AU"/>
              </w:rPr>
            </w:pPr>
            <w:r w:rsidRPr="003E3A81">
              <w:rPr>
                <w:szCs w:val="18"/>
                <w:lang w:eastAsia="en-AU"/>
              </w:rPr>
              <w:t>But identified data gap in experiences across cohorts of carers, family and kin.</w:t>
            </w:r>
          </w:p>
        </w:tc>
      </w:tr>
      <w:tr w:rsidR="00604985" w:rsidRPr="009A0B4E" w14:paraId="7EF85061" w14:textId="77777777" w:rsidTr="00604985">
        <w:trPr>
          <w:trHeight w:val="315"/>
        </w:trPr>
        <w:tc>
          <w:tcPr>
            <w:tcW w:w="525" w:type="pct"/>
            <w:vMerge/>
            <w:tcBorders>
              <w:top w:val="single" w:sz="4" w:space="0" w:color="2A2D30" w:themeColor="accent3" w:themeShade="80"/>
              <w:left w:val="single" w:sz="8" w:space="0" w:color="545A60" w:themeColor="accent3"/>
              <w:bottom w:val="single" w:sz="4" w:space="0" w:color="2A2D30" w:themeColor="accent3" w:themeShade="80"/>
              <w:right w:val="single" w:sz="8" w:space="0" w:color="545A60" w:themeColor="accent3"/>
            </w:tcBorders>
            <w:shd w:val="clear" w:color="auto" w:fill="CCE5D2"/>
          </w:tcPr>
          <w:p w14:paraId="17046DC3" w14:textId="77777777" w:rsidR="00604985" w:rsidRPr="003E3A81" w:rsidRDefault="00604985" w:rsidP="009D015F">
            <w:pPr>
              <w:spacing w:after="0" w:line="240" w:lineRule="auto"/>
              <w:rPr>
                <w:rFonts w:ascii="Aptos" w:eastAsia="Times New Roman" w:hAnsi="Aptos"/>
                <w:szCs w:val="18"/>
                <w:lang w:eastAsia="en-AU"/>
              </w:rPr>
            </w:pPr>
          </w:p>
        </w:tc>
        <w:tc>
          <w:tcPr>
            <w:tcW w:w="475" w:type="pct"/>
            <w:vMerge/>
            <w:tcBorders>
              <w:top w:val="single" w:sz="4" w:space="0" w:color="2A2D30" w:themeColor="accent3" w:themeShade="80"/>
              <w:left w:val="single" w:sz="8" w:space="0" w:color="545A60" w:themeColor="accent3"/>
              <w:bottom w:val="single" w:sz="4" w:space="0" w:color="2A2D30" w:themeColor="accent3" w:themeShade="80"/>
              <w:right w:val="single" w:sz="8" w:space="0" w:color="545A60" w:themeColor="accent3"/>
            </w:tcBorders>
          </w:tcPr>
          <w:p w14:paraId="1FF39D98" w14:textId="77777777" w:rsidR="00604985" w:rsidRPr="003E3A81" w:rsidRDefault="00604985" w:rsidP="009D015F">
            <w:pPr>
              <w:spacing w:after="0" w:line="240" w:lineRule="auto"/>
              <w:textAlignment w:val="baseline"/>
              <w:rPr>
                <w:rFonts w:eastAsia="Times New Roman"/>
                <w:b/>
                <w:bCs/>
                <w:szCs w:val="18"/>
                <w:lang w:eastAsia="en-AU"/>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FF19C32" w14:textId="77777777" w:rsidR="00604985" w:rsidRPr="003E3A81" w:rsidRDefault="00604985" w:rsidP="009D015F">
            <w:pPr>
              <w:spacing w:after="0" w:line="240" w:lineRule="auto"/>
              <w:rPr>
                <w:rFonts w:eastAsia="Times New Roman" w:cs="Arial"/>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3020B0C" w14:textId="77777777" w:rsidR="00604985" w:rsidRPr="003E3A81" w:rsidRDefault="00604985" w:rsidP="009D015F">
            <w:pPr>
              <w:pStyle w:val="ListBullet"/>
            </w:pPr>
            <w:r w:rsidRPr="003E3A81">
              <w:t xml:space="preserve">Person-centred outcomes that matter to consumers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06E9FE2" w14:textId="77777777" w:rsidR="00604985" w:rsidRPr="003E3A81" w:rsidRDefault="00604985" w:rsidP="009D015F">
            <w:pPr>
              <w:rPr>
                <w:szCs w:val="18"/>
                <w:lang w:eastAsia="en-AU"/>
              </w:rPr>
            </w:pPr>
            <w:r w:rsidRPr="003E3A81">
              <w:rPr>
                <w:szCs w:val="18"/>
                <w:lang w:eastAsia="en-AU"/>
              </w:rPr>
              <w:t>Identified data gap in national data source, with scoping of future options underway.</w:t>
            </w:r>
          </w:p>
        </w:tc>
      </w:tr>
      <w:tr w:rsidR="00604985" w:rsidRPr="009A0B4E" w14:paraId="4B25820C" w14:textId="77777777" w:rsidTr="00604985">
        <w:trPr>
          <w:trHeight w:val="631"/>
        </w:trPr>
        <w:tc>
          <w:tcPr>
            <w:tcW w:w="525" w:type="pct"/>
            <w:vMerge/>
            <w:tcBorders>
              <w:top w:val="single" w:sz="4" w:space="0" w:color="2A2D30" w:themeColor="accent3" w:themeShade="80"/>
              <w:left w:val="single" w:sz="8" w:space="0" w:color="545A60" w:themeColor="accent3"/>
              <w:bottom w:val="single" w:sz="4" w:space="0" w:color="2A2D30" w:themeColor="accent3" w:themeShade="80"/>
              <w:right w:val="single" w:sz="8" w:space="0" w:color="545A60" w:themeColor="accent3"/>
            </w:tcBorders>
            <w:shd w:val="clear" w:color="auto" w:fill="CCE5D2"/>
          </w:tcPr>
          <w:p w14:paraId="17308AAF" w14:textId="77777777" w:rsidR="00604985" w:rsidRPr="003E3A81" w:rsidRDefault="00604985" w:rsidP="009D015F">
            <w:pPr>
              <w:spacing w:after="0" w:line="240" w:lineRule="auto"/>
              <w:rPr>
                <w:rFonts w:ascii="Aptos" w:eastAsia="Times New Roman" w:hAnsi="Aptos"/>
                <w:szCs w:val="18"/>
                <w:lang w:eastAsia="en-AU"/>
              </w:rPr>
            </w:pPr>
          </w:p>
        </w:tc>
        <w:tc>
          <w:tcPr>
            <w:tcW w:w="475" w:type="pct"/>
            <w:vMerge/>
            <w:tcBorders>
              <w:top w:val="single" w:sz="4" w:space="0" w:color="2A2D30" w:themeColor="accent3" w:themeShade="80"/>
              <w:left w:val="single" w:sz="8" w:space="0" w:color="545A60" w:themeColor="accent3"/>
              <w:bottom w:val="single" w:sz="4" w:space="0" w:color="2A2D30" w:themeColor="accent3" w:themeShade="80"/>
              <w:right w:val="single" w:sz="8" w:space="0" w:color="545A60" w:themeColor="accent3"/>
            </w:tcBorders>
          </w:tcPr>
          <w:p w14:paraId="3C450F33" w14:textId="77777777" w:rsidR="00604985" w:rsidRPr="003E3A81" w:rsidRDefault="00604985" w:rsidP="009D015F">
            <w:pPr>
              <w:spacing w:after="0" w:line="240" w:lineRule="auto"/>
              <w:textAlignment w:val="baseline"/>
              <w:rPr>
                <w:rFonts w:eastAsia="Times New Roman"/>
                <w:b/>
                <w:bCs/>
                <w:szCs w:val="18"/>
                <w:lang w:eastAsia="en-AU"/>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064F723" w14:textId="77777777" w:rsidR="00604985" w:rsidRPr="003E3A81" w:rsidRDefault="00604985" w:rsidP="009D015F">
            <w:pPr>
              <w:spacing w:after="0" w:line="240" w:lineRule="auto"/>
              <w:rPr>
                <w:rFonts w:eastAsia="Times New Roman" w:cs="Arial"/>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7C69CADC" w14:textId="77777777" w:rsidR="00604985" w:rsidRPr="003E3A81" w:rsidRDefault="00604985" w:rsidP="009D015F">
            <w:pPr>
              <w:pStyle w:val="ListBullet"/>
            </w:pPr>
            <w:r w:rsidRPr="003E3A81">
              <w:t>Clinical measures of mental health outcomes</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1984F44" w14:textId="77777777" w:rsidR="00604985" w:rsidRPr="003E3A81" w:rsidRDefault="00604985" w:rsidP="009D015F">
            <w:pPr>
              <w:rPr>
                <w:szCs w:val="18"/>
                <w:lang w:eastAsia="en-AU"/>
              </w:rPr>
            </w:pPr>
            <w:r w:rsidRPr="003E3A81">
              <w:rPr>
                <w:szCs w:val="18"/>
                <w:lang w:val="en-AU" w:eastAsia="en-AU"/>
              </w:rPr>
              <w:t xml:space="preserve">AIHW analysis of data from National Outcomes and </w:t>
            </w:r>
            <w:proofErr w:type="spellStart"/>
            <w:r w:rsidRPr="003E3A81">
              <w:rPr>
                <w:szCs w:val="18"/>
                <w:lang w:val="en-AU" w:eastAsia="en-AU"/>
              </w:rPr>
              <w:t>Casemix</w:t>
            </w:r>
            <w:proofErr w:type="spellEnd"/>
            <w:r w:rsidRPr="003E3A81">
              <w:rPr>
                <w:szCs w:val="18"/>
                <w:lang w:val="en-AU" w:eastAsia="en-AU"/>
              </w:rPr>
              <w:t xml:space="preserve"> Collection (NOCC) (2023-24)</w:t>
            </w:r>
          </w:p>
        </w:tc>
      </w:tr>
      <w:tr w:rsidR="00604985" w:rsidRPr="009A0B4E" w14:paraId="217F37A4" w14:textId="77777777" w:rsidTr="00CB4379">
        <w:trPr>
          <w:trHeight w:val="1401"/>
        </w:trPr>
        <w:tc>
          <w:tcPr>
            <w:tcW w:w="525" w:type="pct"/>
            <w:vMerge/>
            <w:tcBorders>
              <w:top w:val="single" w:sz="4" w:space="0" w:color="2A2D30" w:themeColor="accent3" w:themeShade="80"/>
              <w:left w:val="single" w:sz="8" w:space="0" w:color="545A60" w:themeColor="accent3"/>
              <w:bottom w:val="nil"/>
              <w:right w:val="single" w:sz="8" w:space="0" w:color="545A60" w:themeColor="accent3"/>
            </w:tcBorders>
            <w:shd w:val="clear" w:color="auto" w:fill="CCE5D2"/>
          </w:tcPr>
          <w:p w14:paraId="78FAF5DA" w14:textId="77777777" w:rsidR="00604985" w:rsidRPr="003E3A81" w:rsidRDefault="00604985" w:rsidP="009D015F">
            <w:pPr>
              <w:spacing w:after="0" w:line="240" w:lineRule="auto"/>
              <w:rPr>
                <w:rFonts w:ascii="Aptos" w:eastAsia="Times New Roman" w:hAnsi="Aptos"/>
                <w:szCs w:val="18"/>
                <w:lang w:eastAsia="en-AU"/>
              </w:rPr>
            </w:pPr>
          </w:p>
        </w:tc>
        <w:tc>
          <w:tcPr>
            <w:tcW w:w="475" w:type="pct"/>
            <w:vMerge/>
            <w:tcBorders>
              <w:top w:val="single" w:sz="4" w:space="0" w:color="2A2D30" w:themeColor="accent3" w:themeShade="80"/>
              <w:left w:val="single" w:sz="8" w:space="0" w:color="545A60" w:themeColor="accent3"/>
              <w:bottom w:val="nil"/>
              <w:right w:val="single" w:sz="8" w:space="0" w:color="545A60" w:themeColor="accent3"/>
            </w:tcBorders>
          </w:tcPr>
          <w:p w14:paraId="4EB69C4A" w14:textId="77777777" w:rsidR="00604985" w:rsidRPr="003E3A81" w:rsidRDefault="00604985" w:rsidP="009D015F">
            <w:pPr>
              <w:spacing w:after="0" w:line="240" w:lineRule="auto"/>
              <w:textAlignment w:val="baseline"/>
              <w:rPr>
                <w:rFonts w:eastAsia="Times New Roman"/>
                <w:b/>
                <w:bCs/>
                <w:szCs w:val="18"/>
                <w:lang w:eastAsia="en-AU"/>
              </w:rPr>
            </w:pPr>
          </w:p>
        </w:tc>
        <w:tc>
          <w:tcPr>
            <w:tcW w:w="1153" w:type="pct"/>
            <w:vMerge/>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E969288" w14:textId="77777777" w:rsidR="00604985" w:rsidRPr="003E3A81" w:rsidRDefault="00604985" w:rsidP="009D015F">
            <w:pPr>
              <w:spacing w:after="0" w:line="240" w:lineRule="auto"/>
              <w:rPr>
                <w:rFonts w:eastAsia="Times New Roman" w:cs="Arial"/>
                <w:szCs w:val="18"/>
                <w:lang w:eastAsia="en-AU"/>
              </w:rPr>
            </w:pP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01804879" w14:textId="77777777" w:rsidR="00604985" w:rsidRPr="003E3A81" w:rsidRDefault="00604985" w:rsidP="009D015F">
            <w:pPr>
              <w:pStyle w:val="ListBullet"/>
            </w:pPr>
            <w:r w:rsidRPr="003E3A81">
              <w:t>Proportion of people who present to a hospital emergency department (ED) with a mental health related care need who are seen within clinically recommended waiting times</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3168EE00" w14:textId="77777777" w:rsidR="00604985" w:rsidRPr="003E3A81" w:rsidRDefault="00604985" w:rsidP="009D015F">
            <w:pPr>
              <w:rPr>
                <w:szCs w:val="18"/>
                <w:lang w:eastAsia="en-AU"/>
              </w:rPr>
            </w:pPr>
            <w:r w:rsidRPr="003E3A81">
              <w:rPr>
                <w:szCs w:val="18"/>
                <w:lang w:eastAsia="en-AU"/>
              </w:rPr>
              <w:t>AIHW analysis of National Non-admitted Patient Emergency Department Care Database (2023-2024)</w:t>
            </w:r>
          </w:p>
        </w:tc>
      </w:tr>
      <w:tr w:rsidR="00604985" w:rsidRPr="009A0B4E" w14:paraId="06196571" w14:textId="77777777" w:rsidTr="00CB4379">
        <w:trPr>
          <w:trHeight w:val="302"/>
        </w:trPr>
        <w:tc>
          <w:tcPr>
            <w:tcW w:w="525" w:type="pct"/>
            <w:tcBorders>
              <w:top w:val="nil"/>
              <w:left w:val="single" w:sz="8" w:space="0" w:color="545A60" w:themeColor="accent3"/>
              <w:bottom w:val="single" w:sz="4" w:space="0" w:color="auto"/>
              <w:right w:val="single" w:sz="8" w:space="0" w:color="545A60" w:themeColor="accent3"/>
            </w:tcBorders>
            <w:shd w:val="clear" w:color="auto" w:fill="CCE5D2"/>
          </w:tcPr>
          <w:p w14:paraId="2886520E" w14:textId="77777777" w:rsidR="00604985" w:rsidRPr="003E3A81" w:rsidRDefault="00604985" w:rsidP="009D015F">
            <w:pPr>
              <w:spacing w:after="0" w:line="240" w:lineRule="auto"/>
              <w:rPr>
                <w:rFonts w:ascii="Aptos" w:eastAsia="Times New Roman" w:hAnsi="Aptos"/>
                <w:szCs w:val="18"/>
                <w:lang w:eastAsia="en-AU"/>
              </w:rPr>
            </w:pPr>
          </w:p>
        </w:tc>
        <w:tc>
          <w:tcPr>
            <w:tcW w:w="475" w:type="pct"/>
            <w:tcBorders>
              <w:top w:val="nil"/>
              <w:left w:val="single" w:sz="8" w:space="0" w:color="545A60" w:themeColor="accent3"/>
              <w:bottom w:val="single" w:sz="8" w:space="0" w:color="545A60" w:themeColor="accent3"/>
              <w:right w:val="single" w:sz="8" w:space="0" w:color="545A60" w:themeColor="accent3"/>
            </w:tcBorders>
          </w:tcPr>
          <w:p w14:paraId="44069926" w14:textId="77777777" w:rsidR="00604985" w:rsidRPr="003E3A81" w:rsidRDefault="00604985" w:rsidP="009D015F">
            <w:pPr>
              <w:spacing w:after="0" w:line="240" w:lineRule="auto"/>
              <w:textAlignment w:val="baseline"/>
              <w:rPr>
                <w:rFonts w:eastAsia="Times New Roman"/>
                <w:b/>
                <w:bCs/>
                <w:szCs w:val="18"/>
                <w:lang w:eastAsia="en-AU"/>
              </w:rPr>
            </w:pPr>
          </w:p>
        </w:tc>
        <w:tc>
          <w:tcPr>
            <w:tcW w:w="1153"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4C2E0F86" w14:textId="77777777" w:rsidR="00604985" w:rsidRPr="003E3A81" w:rsidRDefault="00604985" w:rsidP="009D015F">
            <w:pPr>
              <w:spacing w:after="0" w:line="240" w:lineRule="auto"/>
              <w:rPr>
                <w:rFonts w:eastAsia="Times New Roman" w:cs="Arial"/>
                <w:szCs w:val="18"/>
                <w:lang w:eastAsia="en-AU"/>
              </w:rPr>
            </w:pPr>
            <w:r w:rsidRPr="003E3A81">
              <w:rPr>
                <w:b/>
                <w:bCs/>
                <w:szCs w:val="18"/>
                <w:lang w:eastAsia="en-AU"/>
              </w:rPr>
              <w:t>To what extent is mental health care for</w:t>
            </w:r>
            <w:r w:rsidRPr="003E3A81">
              <w:rPr>
                <w:rFonts w:cs="Arial"/>
                <w:b/>
                <w:bCs/>
                <w:szCs w:val="18"/>
                <w:lang w:eastAsia="en-AU"/>
              </w:rPr>
              <w:t> </w:t>
            </w:r>
            <w:r w:rsidRPr="003E3A81">
              <w:rPr>
                <w:b/>
                <w:bCs/>
                <w:szCs w:val="18"/>
                <w:lang w:eastAsia="en-AU"/>
              </w:rPr>
              <w:t>consumers, carers,</w:t>
            </w:r>
            <w:r w:rsidRPr="003E3A81">
              <w:rPr>
                <w:rFonts w:cs="Arial"/>
                <w:b/>
                <w:bCs/>
                <w:szCs w:val="18"/>
                <w:lang w:eastAsia="en-AU"/>
              </w:rPr>
              <w:t> </w:t>
            </w:r>
            <w:r w:rsidRPr="003E3A81">
              <w:rPr>
                <w:b/>
                <w:bCs/>
                <w:szCs w:val="18"/>
                <w:lang w:eastAsia="en-AU"/>
              </w:rPr>
              <w:t>family</w:t>
            </w:r>
            <w:r w:rsidRPr="003E3A81">
              <w:rPr>
                <w:rFonts w:cs="Arial"/>
                <w:b/>
                <w:bCs/>
                <w:szCs w:val="18"/>
                <w:lang w:eastAsia="en-AU"/>
              </w:rPr>
              <w:t> </w:t>
            </w:r>
            <w:r w:rsidRPr="003E3A81">
              <w:rPr>
                <w:b/>
                <w:bCs/>
                <w:szCs w:val="18"/>
                <w:lang w:eastAsia="en-AU"/>
              </w:rPr>
              <w:t>and kin informed by</w:t>
            </w:r>
            <w:r w:rsidRPr="003E3A81">
              <w:rPr>
                <w:rFonts w:cs="Arial"/>
                <w:b/>
                <w:bCs/>
                <w:szCs w:val="18"/>
                <w:lang w:eastAsia="en-AU"/>
              </w:rPr>
              <w:t> </w:t>
            </w:r>
            <w:r w:rsidRPr="003E3A81">
              <w:rPr>
                <w:b/>
                <w:bCs/>
                <w:szCs w:val="18"/>
                <w:lang w:eastAsia="en-AU"/>
              </w:rPr>
              <w:t>best available and emerging evidence?</w:t>
            </w:r>
            <w:r w:rsidRPr="003E3A81">
              <w:rPr>
                <w:rFonts w:cs="Arial"/>
                <w:b/>
                <w:bCs/>
                <w:szCs w:val="18"/>
                <w:lang w:eastAsia="en-AU"/>
              </w:rPr>
              <w:t>​</w:t>
            </w:r>
            <w:r w:rsidRPr="003E3A81">
              <w:rPr>
                <w:rFonts w:cs="Aptos Display"/>
                <w:b/>
                <w:bCs/>
                <w:szCs w:val="18"/>
                <w:lang w:eastAsia="en-AU"/>
              </w:rPr>
              <w:t> </w:t>
            </w:r>
          </w:p>
        </w:tc>
        <w:tc>
          <w:tcPr>
            <w:tcW w:w="936"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1E165934" w14:textId="77777777" w:rsidR="00604985" w:rsidRPr="003E3A81" w:rsidRDefault="00604985" w:rsidP="009D015F">
            <w:pPr>
              <w:pStyle w:val="ListBullet"/>
            </w:pPr>
            <w:r w:rsidRPr="003E3A81">
              <w:t>Research and evaluation of service effectiveness and improvement</w:t>
            </w:r>
            <w:r w:rsidRPr="003E3A81">
              <w:rPr>
                <w:rFonts w:ascii="Arial" w:hAnsi="Arial"/>
              </w:rPr>
              <w:t>  </w:t>
            </w:r>
          </w:p>
        </w:tc>
        <w:tc>
          <w:tcPr>
            <w:tcW w:w="1911" w:type="pct"/>
            <w:tcBorders>
              <w:top w:val="single" w:sz="8" w:space="0" w:color="545A60" w:themeColor="accent3"/>
              <w:left w:val="single" w:sz="8" w:space="0" w:color="545A60" w:themeColor="accent3"/>
              <w:bottom w:val="single" w:sz="8" w:space="0" w:color="545A60" w:themeColor="accent3"/>
              <w:right w:val="single" w:sz="8" w:space="0" w:color="545A60" w:themeColor="accent3"/>
            </w:tcBorders>
          </w:tcPr>
          <w:p w14:paraId="5A68EB58" w14:textId="77777777" w:rsidR="00604985" w:rsidRPr="003E3A81" w:rsidRDefault="00604985" w:rsidP="009D015F">
            <w:pPr>
              <w:rPr>
                <w:color w:val="000000"/>
                <w:szCs w:val="18"/>
                <w:lang w:eastAsia="en-AU"/>
              </w:rPr>
            </w:pPr>
            <w:r w:rsidRPr="003E3A81">
              <w:rPr>
                <w:szCs w:val="18"/>
                <w:lang w:eastAsia="en-AU"/>
              </w:rPr>
              <w:t>Identified data gap in national data source, with scoping of future options underway.</w:t>
            </w:r>
          </w:p>
        </w:tc>
      </w:tr>
    </w:tbl>
    <w:p w14:paraId="175544B2" w14:textId="77777777" w:rsidR="00604985" w:rsidRPr="003E3A81" w:rsidRDefault="00604985" w:rsidP="00604985">
      <w:pPr>
        <w:rPr>
          <w:sz w:val="20"/>
          <w:szCs w:val="20"/>
        </w:rPr>
      </w:pPr>
    </w:p>
    <w:p w14:paraId="5AA5F5DB" w14:textId="762DDB31" w:rsidR="000A477D" w:rsidRDefault="000A477D">
      <w:pPr>
        <w:suppressAutoHyphens w:val="0"/>
        <w:autoSpaceDE/>
        <w:autoSpaceDN/>
        <w:adjustRightInd/>
        <w:spacing w:after="0" w:line="240" w:lineRule="auto"/>
        <w:textAlignment w:val="auto"/>
        <w:sectPr w:rsidR="000A477D" w:rsidSect="000A477D">
          <w:footerReference w:type="default" r:id="rId193"/>
          <w:footnotePr>
            <w:numFmt w:val="lowerRoman"/>
          </w:footnotePr>
          <w:endnotePr>
            <w:numFmt w:val="decimal"/>
          </w:endnotePr>
          <w:pgSz w:w="16840" w:h="11900" w:orient="landscape"/>
          <w:pgMar w:top="1134" w:right="1701" w:bottom="1134" w:left="1701" w:header="1134" w:footer="567" w:gutter="0"/>
          <w:cols w:space="708"/>
          <w:noEndnote/>
          <w:docGrid w:linePitch="360"/>
        </w:sectPr>
      </w:pPr>
    </w:p>
    <w:p w14:paraId="64642684" w14:textId="5FF64AF1" w:rsidR="000A477D" w:rsidRDefault="00604985" w:rsidP="00604985">
      <w:pPr>
        <w:suppressAutoHyphens w:val="0"/>
        <w:autoSpaceDE/>
        <w:autoSpaceDN/>
        <w:adjustRightInd/>
        <w:spacing w:after="0" w:line="240" w:lineRule="auto"/>
        <w:textAlignment w:val="auto"/>
        <w:rPr>
          <w:rFonts w:ascii="Merriweather-Regular" w:eastAsiaTheme="majorEastAsia" w:hAnsi="Merriweather-Regular" w:cstheme="majorBidi"/>
          <w:color w:val="008142" w:themeColor="accent5"/>
          <w:sz w:val="40"/>
          <w:szCs w:val="32"/>
        </w:rPr>
      </w:pPr>
      <w:r>
        <w:rPr>
          <w:noProof/>
        </w:rPr>
        <w:lastRenderedPageBreak/>
        <w:drawing>
          <wp:anchor distT="0" distB="0" distL="114300" distR="114300" simplePos="0" relativeHeight="251824270" behindDoc="0" locked="0" layoutInCell="1" allowOverlap="1" wp14:anchorId="06A5DD97" wp14:editId="2EF92EEF">
            <wp:simplePos x="0" y="0"/>
            <wp:positionH relativeFrom="column">
              <wp:posOffset>-553980</wp:posOffset>
            </wp:positionH>
            <wp:positionV relativeFrom="paragraph">
              <wp:posOffset>734190</wp:posOffset>
            </wp:positionV>
            <wp:extent cx="7197976" cy="7197976"/>
            <wp:effectExtent l="0" t="0" r="0" b="0"/>
            <wp:wrapNone/>
            <wp:docPr id="635588589" name="Picture 184" descr="Cover page of a report titled &quot;National Report Card 2025&quot; focused on monitoring and reporting Australia's mental health system. Features Australian Government and National Mental Health Commission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070454" name="Picture 184" descr="Cover page of a report titled &quot;National Report Card 2025&quot; focused on monitoring and reporting Australia's mental health system. Features Australian Government and National Mental Health Commission logos,"/>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7976" cy="7197976"/>
                    </a:xfrm>
                    <a:prstGeom prst="rect">
                      <a:avLst/>
                    </a:prstGeom>
                  </pic:spPr>
                </pic:pic>
              </a:graphicData>
            </a:graphic>
            <wp14:sizeRelH relativeFrom="page">
              <wp14:pctWidth>0</wp14:pctWidth>
            </wp14:sizeRelH>
            <wp14:sizeRelV relativeFrom="page">
              <wp14:pctHeight>0</wp14:pctHeight>
            </wp14:sizeRelV>
          </wp:anchor>
        </w:drawing>
      </w:r>
    </w:p>
    <w:sectPr w:rsidR="000A477D" w:rsidSect="000A477D">
      <w:footerReference w:type="default" r:id="rId194"/>
      <w:footnotePr>
        <w:numFmt w:val="lowerRoman"/>
      </w:footnotePr>
      <w:endnotePr>
        <w:numFmt w:val="decimal"/>
      </w:endnotePr>
      <w:type w:val="continuous"/>
      <w:pgSz w:w="11900" w:h="16840"/>
      <w:pgMar w:top="1701" w:right="1134" w:bottom="1701" w:left="1134" w:header="1134" w:footer="56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7AD9E5" w14:textId="77777777" w:rsidR="008D7E34" w:rsidRDefault="008D7E34" w:rsidP="00DC1DC6"/>
  </w:endnote>
  <w:endnote w:type="continuationSeparator" w:id="0">
    <w:p w14:paraId="6A9B62D7" w14:textId="77777777" w:rsidR="008D7E34" w:rsidRPr="00B80252" w:rsidRDefault="008D7E34" w:rsidP="00DC1DC6">
      <w:pPr>
        <w:rPr>
          <w:lang w:val="en-AU"/>
        </w:rPr>
      </w:pPr>
    </w:p>
  </w:endnote>
  <w:endnote w:type="continuationNotice" w:id="1">
    <w:p w14:paraId="35282C4F" w14:textId="77777777" w:rsidR="008D7E34" w:rsidRPr="00B80252" w:rsidRDefault="008D7E34">
      <w:pPr>
        <w:spacing w:after="0" w:line="240" w:lineRule="auto"/>
        <w:rPr>
          <w:lang w:val="en-AU"/>
        </w:rPr>
      </w:pPr>
    </w:p>
  </w:endnote>
  <w:endnote w:id="2">
    <w:p w14:paraId="1CEDB4B6" w14:textId="564E09D3" w:rsidR="00C3448D" w:rsidRPr="000C32D4" w:rsidRDefault="00C3448D" w:rsidP="004E5D44">
      <w:r w:rsidRPr="000C32D4">
        <w:rPr>
          <w:rStyle w:val="EndnoteReference"/>
        </w:rPr>
        <w:endnoteRef/>
      </w:r>
      <w:r w:rsidRPr="000C32D4">
        <w:rPr>
          <w:vertAlign w:val="superscript"/>
        </w:rPr>
        <w:t xml:space="preserve"> </w:t>
      </w:r>
      <w:r w:rsidRPr="000C32D4">
        <w:t>ABS, 2025 General Social Survey, a nationally representative population survey based on data collected over a 2-month period from 1st May to 28th June 2025.</w:t>
      </w:r>
    </w:p>
  </w:endnote>
  <w:endnote w:id="3">
    <w:p w14:paraId="34DF6E07" w14:textId="39D926DD" w:rsidR="00C3448D" w:rsidRPr="000C32D4" w:rsidDel="00647FAA" w:rsidRDefault="00C3448D" w:rsidP="004E5D44">
      <w:r w:rsidRPr="000C32D4" w:rsidDel="00647FAA">
        <w:rPr>
          <w:rStyle w:val="EndnoteReference"/>
        </w:rPr>
        <w:endnoteRef/>
      </w:r>
      <w:r w:rsidRPr="000C32D4" w:rsidDel="00647FAA">
        <w:rPr>
          <w:vertAlign w:val="superscript"/>
        </w:rPr>
        <w:t xml:space="preserve"> </w:t>
      </w:r>
      <w:r w:rsidRPr="000C32D4" w:rsidDel="00647FAA">
        <w:t>ABS, 2025, General Social Survey</w:t>
      </w:r>
      <w:r w:rsidR="00B36A7F" w:rsidRPr="000C32D4">
        <w:t>.</w:t>
      </w:r>
      <w:r w:rsidRPr="000C32D4" w:rsidDel="00647FAA">
        <w:t xml:space="preserve"> </w:t>
      </w:r>
    </w:p>
  </w:endnote>
  <w:endnote w:id="4">
    <w:p w14:paraId="09B8A439" w14:textId="77777777" w:rsidR="00C3448D" w:rsidRPr="000C32D4" w:rsidDel="00647FAA" w:rsidRDefault="00C3448D" w:rsidP="004E5D44">
      <w:r w:rsidRPr="000C32D4" w:rsidDel="00647FAA">
        <w:rPr>
          <w:rStyle w:val="EndnoteReference"/>
        </w:rPr>
        <w:endnoteRef/>
      </w:r>
      <w:r w:rsidRPr="000C32D4" w:rsidDel="00647FAA">
        <w:rPr>
          <w:vertAlign w:val="superscript"/>
        </w:rPr>
        <w:t xml:space="preserve"> </w:t>
      </w:r>
      <w:r w:rsidRPr="000C32D4" w:rsidDel="00647FAA">
        <w:t>ABS, 2025 General Social Survey.</w:t>
      </w:r>
    </w:p>
  </w:endnote>
  <w:endnote w:id="5">
    <w:p w14:paraId="0B80E42B" w14:textId="77777777" w:rsidR="00C3448D" w:rsidRPr="000C32D4" w:rsidRDefault="00C3448D" w:rsidP="004E5D44">
      <w:pPr>
        <w:rPr>
          <w:rStyle w:val="normaltextrun"/>
        </w:rPr>
      </w:pPr>
      <w:r w:rsidRPr="000C32D4">
        <w:rPr>
          <w:rStyle w:val="normaltextrun"/>
          <w:vertAlign w:val="superscript"/>
        </w:rPr>
        <w:endnoteRef/>
      </w:r>
      <w:r w:rsidRPr="000C32D4">
        <w:rPr>
          <w:rStyle w:val="normaltextrun"/>
          <w:vertAlign w:val="superscript"/>
        </w:rPr>
        <w:t xml:space="preserve"> </w:t>
      </w:r>
      <w:r w:rsidRPr="000C32D4">
        <w:rPr>
          <w:rStyle w:val="normaltextrun"/>
        </w:rPr>
        <w:t xml:space="preserve">AIHW analysis of survey data from </w:t>
      </w:r>
      <w:r w:rsidRPr="000C32D4">
        <w:rPr>
          <w:rStyle w:val="normaltextrun"/>
          <w:i/>
          <w:iCs/>
        </w:rPr>
        <w:t>the Household, Income and Labour Dynamics in Australia Survey (HILDA), Waves 8-24.</w:t>
      </w:r>
      <w:r w:rsidRPr="000C32D4">
        <w:rPr>
          <w:rStyle w:val="normaltextrun"/>
        </w:rPr>
        <w:t xml:space="preserve"> Melbourne Institute of Applied Economic and Social Research.</w:t>
      </w:r>
    </w:p>
  </w:endnote>
  <w:endnote w:id="6">
    <w:p w14:paraId="6ABE07B5" w14:textId="77777777" w:rsidR="00C3448D" w:rsidRPr="000C32D4" w:rsidRDefault="00C3448D" w:rsidP="004E5D44">
      <w:pPr>
        <w:rPr>
          <w:rStyle w:val="normaltextrun"/>
        </w:rPr>
      </w:pPr>
      <w:r w:rsidRPr="000C32D4">
        <w:rPr>
          <w:rStyle w:val="normaltextrun"/>
          <w:vertAlign w:val="superscript"/>
        </w:rPr>
        <w:endnoteRef/>
      </w:r>
      <w:r w:rsidRPr="000C32D4">
        <w:rPr>
          <w:rStyle w:val="normaltextrun"/>
          <w:vertAlign w:val="superscript"/>
        </w:rPr>
        <w:t xml:space="preserve"> </w:t>
      </w:r>
      <w:r w:rsidRPr="000C32D4">
        <w:rPr>
          <w:rStyle w:val="normaltextrun"/>
        </w:rPr>
        <w:t xml:space="preserve">AIHW analysis of survey data from </w:t>
      </w:r>
      <w:r w:rsidRPr="000C32D4">
        <w:rPr>
          <w:rStyle w:val="normaltextrun"/>
          <w:i/>
          <w:iCs/>
        </w:rPr>
        <w:t>the Household, Income and Labour Dynamics in Australia Survey (HILDA),</w:t>
      </w:r>
      <w:r w:rsidRPr="000C32D4">
        <w:rPr>
          <w:rStyle w:val="normaltextrun"/>
        </w:rPr>
        <w:t xml:space="preserve"> Waves 8-24. Melbourne Institute of Applied Economic and Social Research.</w:t>
      </w:r>
    </w:p>
  </w:endnote>
  <w:endnote w:id="7">
    <w:p w14:paraId="173A8C8A" w14:textId="77777777" w:rsidR="00C3448D" w:rsidRPr="000C32D4" w:rsidRDefault="00C3448D" w:rsidP="004E5D44">
      <w:pPr>
        <w:rPr>
          <w:rStyle w:val="normaltextrun"/>
        </w:rPr>
      </w:pPr>
      <w:r w:rsidRPr="000C32D4">
        <w:rPr>
          <w:rStyle w:val="normaltextrun"/>
          <w:vertAlign w:val="superscript"/>
        </w:rPr>
        <w:endnoteRef/>
      </w:r>
      <w:r w:rsidRPr="000C32D4">
        <w:rPr>
          <w:rStyle w:val="normaltextrun"/>
          <w:vertAlign w:val="superscript"/>
        </w:rPr>
        <w:t xml:space="preserve"> </w:t>
      </w:r>
      <w:r w:rsidRPr="007140DC">
        <w:t>ABS, 2025 General Social Survey.</w:t>
      </w:r>
    </w:p>
  </w:endnote>
  <w:endnote w:id="8">
    <w:p w14:paraId="3C2E3F2F" w14:textId="2C2AD0D9" w:rsidR="00C3448D" w:rsidRPr="000C32D4" w:rsidRDefault="00C3448D" w:rsidP="004E5D44">
      <w:pPr>
        <w:rPr>
          <w:rStyle w:val="normaltextrun"/>
        </w:rPr>
      </w:pPr>
      <w:r w:rsidRPr="000C32D4">
        <w:rPr>
          <w:rStyle w:val="normaltextrun"/>
          <w:vertAlign w:val="superscript"/>
        </w:rPr>
        <w:endnoteRef/>
      </w:r>
      <w:r w:rsidRPr="000C32D4">
        <w:rPr>
          <w:rStyle w:val="normaltextrun"/>
          <w:vertAlign w:val="superscript"/>
        </w:rPr>
        <w:t xml:space="preserve"> </w:t>
      </w:r>
      <w:r w:rsidRPr="000C32D4">
        <w:rPr>
          <w:rStyle w:val="normaltextrun"/>
        </w:rPr>
        <w:t>AIHW, 2024-2025</w:t>
      </w:r>
      <w:r w:rsidR="00B36A7F" w:rsidRPr="000C32D4">
        <w:rPr>
          <w:rStyle w:val="normaltextrun"/>
        </w:rPr>
        <w:t>,</w:t>
      </w:r>
      <w:r w:rsidRPr="000C32D4">
        <w:rPr>
          <w:rStyle w:val="normaltextrun"/>
        </w:rPr>
        <w:t xml:space="preserve"> Specialist Housing and Homelessness data collection.</w:t>
      </w:r>
    </w:p>
  </w:endnote>
  <w:endnote w:id="9">
    <w:p w14:paraId="3C3F9638" w14:textId="1DFBA469" w:rsidR="003B1DCF" w:rsidRPr="000C32D4" w:rsidRDefault="00C3448D" w:rsidP="004E5D44">
      <w:pPr>
        <w:rPr>
          <w:rStyle w:val="normaltextrun"/>
          <w:vertAlign w:val="superscript"/>
        </w:rPr>
      </w:pPr>
      <w:r w:rsidRPr="000C32D4">
        <w:rPr>
          <w:rStyle w:val="normaltextrun"/>
          <w:vertAlign w:val="superscript"/>
        </w:rPr>
        <w:endnoteRef/>
      </w:r>
      <w:r w:rsidRPr="000C32D4">
        <w:rPr>
          <w:rStyle w:val="normaltextrun"/>
          <w:vertAlign w:val="superscript"/>
        </w:rPr>
        <w:t xml:space="preserve"> </w:t>
      </w:r>
      <w:r w:rsidRPr="000C32D4">
        <w:rPr>
          <w:rStyle w:val="normaltextrun"/>
        </w:rPr>
        <w:t>AIHW, 2024-2025</w:t>
      </w:r>
      <w:r w:rsidR="00B36A7F" w:rsidRPr="000C32D4">
        <w:rPr>
          <w:rStyle w:val="normaltextrun"/>
        </w:rPr>
        <w:t>,</w:t>
      </w:r>
      <w:r w:rsidRPr="000C32D4">
        <w:rPr>
          <w:rStyle w:val="normaltextrun"/>
        </w:rPr>
        <w:t xml:space="preserve"> Specialist Housing and Homelessness data collection.</w:t>
      </w:r>
    </w:p>
  </w:endnote>
  <w:endnote w:id="10">
    <w:p w14:paraId="14545742" w14:textId="56A1BB16" w:rsidR="00B36A7F" w:rsidRPr="007140DC" w:rsidRDefault="00B36A7F">
      <w:pPr>
        <w:pStyle w:val="EndnoteText"/>
        <w:rPr>
          <w:lang w:val="en-AU"/>
        </w:rPr>
      </w:pPr>
      <w:r w:rsidRPr="000C32D4">
        <w:rPr>
          <w:rStyle w:val="EndnoteReference"/>
        </w:rPr>
        <w:endnoteRef/>
      </w:r>
      <w:r w:rsidRPr="000C32D4">
        <w:t xml:space="preserve"> </w:t>
      </w:r>
      <w:r w:rsidRPr="007140DC">
        <w:rPr>
          <w:sz w:val="18"/>
          <w:szCs w:val="22"/>
        </w:rPr>
        <w:t>ABS, 2025, General Social Survey.</w:t>
      </w:r>
      <w:r w:rsidRPr="000C32D4">
        <w:rPr>
          <w:lang w:val="en-AU"/>
        </w:rPr>
        <w:t xml:space="preserve"> </w:t>
      </w:r>
    </w:p>
  </w:endnote>
  <w:endnote w:id="11">
    <w:p w14:paraId="4DAAB375" w14:textId="28B36898" w:rsidR="00011374" w:rsidRPr="000C32D4" w:rsidRDefault="001E236C" w:rsidP="00011374">
      <w:pPr>
        <w:rPr>
          <w:szCs w:val="18"/>
        </w:rPr>
      </w:pPr>
      <w:r w:rsidRPr="000C32D4">
        <w:rPr>
          <w:rStyle w:val="EndnoteReference"/>
        </w:rPr>
        <w:endnoteRef/>
      </w:r>
      <w:r w:rsidRPr="000C32D4">
        <w:t xml:space="preserve"> </w:t>
      </w:r>
      <w:r w:rsidRPr="000C32D4">
        <w:rPr>
          <w:szCs w:val="18"/>
        </w:rPr>
        <w:t>AIHW analysis of Department of Health, Disability and Ageing MBS Statistics (unpublished); Department of Veterans' Affairs Treatment Account System data (unpublished).</w:t>
      </w:r>
    </w:p>
  </w:endnote>
  <w:endnote w:id="12">
    <w:p w14:paraId="03136F14" w14:textId="77777777" w:rsidR="00A71FC3" w:rsidRPr="000C32D4" w:rsidDel="00647FAA" w:rsidRDefault="00A71FC3" w:rsidP="004E5D44">
      <w:r w:rsidRPr="000C32D4" w:rsidDel="00647FAA">
        <w:rPr>
          <w:rStyle w:val="EndnoteReference"/>
        </w:rPr>
        <w:endnoteRef/>
      </w:r>
      <w:r w:rsidRPr="000C32D4" w:rsidDel="00647FAA">
        <w:rPr>
          <w:vertAlign w:val="superscript"/>
        </w:rPr>
        <w:t xml:space="preserve"> </w:t>
      </w:r>
      <w:r w:rsidRPr="000C32D4" w:rsidDel="00647FAA">
        <w:t>AIHW analysis of Australian Government Department of Health, Disability and Ageing (unpublished) and National Mental Health Establishments Database.</w:t>
      </w:r>
    </w:p>
  </w:endnote>
  <w:endnote w:id="13">
    <w:p w14:paraId="58CBB834" w14:textId="275DC2CF" w:rsidR="00A71FC3" w:rsidRPr="000C32D4" w:rsidDel="00647FAA" w:rsidRDefault="00A71FC3" w:rsidP="004E5D44">
      <w:r w:rsidRPr="000C32D4" w:rsidDel="00647FAA">
        <w:rPr>
          <w:rStyle w:val="EndnoteReference"/>
        </w:rPr>
        <w:endnoteRef/>
      </w:r>
      <w:r w:rsidRPr="000C32D4" w:rsidDel="00647FAA">
        <w:rPr>
          <w:vertAlign w:val="superscript"/>
        </w:rPr>
        <w:t xml:space="preserve"> </w:t>
      </w:r>
      <w:r w:rsidRPr="000C32D4" w:rsidDel="00647FAA">
        <w:t>AIHW analysis of MBS data maintained by the Australian Government Department of Health, Disability and Ageing. The data presented here are classified by Remoteness Are</w:t>
      </w:r>
      <w:r w:rsidR="000D0A72" w:rsidRPr="000C32D4">
        <w:t>a.</w:t>
      </w:r>
      <w:r w:rsidRPr="000C32D4" w:rsidDel="00647FAA">
        <w:t xml:space="preserve"> </w:t>
      </w:r>
    </w:p>
  </w:endnote>
  <w:endnote w:id="14">
    <w:p w14:paraId="64BA9EEE" w14:textId="2CB85FF2" w:rsidR="00552787" w:rsidRPr="007140DC" w:rsidRDefault="00552787">
      <w:pPr>
        <w:pStyle w:val="EndnoteText"/>
        <w:rPr>
          <w:lang w:val="en-AU"/>
        </w:rPr>
      </w:pPr>
      <w:r w:rsidRPr="000C32D4">
        <w:rPr>
          <w:rStyle w:val="EndnoteReference"/>
        </w:rPr>
        <w:endnoteRef/>
      </w:r>
      <w:r w:rsidRPr="000C32D4">
        <w:t xml:space="preserve"> </w:t>
      </w:r>
      <w:r w:rsidRPr="007140DC" w:rsidDel="00647FAA">
        <w:rPr>
          <w:sz w:val="18"/>
          <w:szCs w:val="22"/>
        </w:rPr>
        <w:t xml:space="preserve">AIHW analysis of MBS data maintained by the Australian Government Department of Health, Disability and Ageing. </w:t>
      </w:r>
    </w:p>
  </w:endnote>
  <w:endnote w:id="15">
    <w:p w14:paraId="5AE501B4" w14:textId="081A3D07" w:rsidR="00B36A7F" w:rsidRPr="007140DC" w:rsidRDefault="00B36A7F">
      <w:pPr>
        <w:pStyle w:val="EndnoteText"/>
        <w:rPr>
          <w:lang w:val="en-AU"/>
        </w:rPr>
      </w:pPr>
      <w:r w:rsidRPr="000C32D4">
        <w:rPr>
          <w:rStyle w:val="EndnoteReference"/>
        </w:rPr>
        <w:endnoteRef/>
      </w:r>
      <w:r w:rsidRPr="000C32D4">
        <w:t xml:space="preserve"> </w:t>
      </w:r>
      <w:r w:rsidRPr="007140DC" w:rsidDel="00647FAA">
        <w:rPr>
          <w:sz w:val="18"/>
          <w:szCs w:val="18"/>
        </w:rPr>
        <w:t>AIHW analysis of National Non-admitted Patient Emergency Department Care Database. The data presented here are classified by Remoteness Area or SEIFA Index of Relative Socio-economic Disadvantage (ISRAD).</w:t>
      </w:r>
    </w:p>
  </w:endnote>
  <w:endnote w:id="16">
    <w:p w14:paraId="2F6964D5" w14:textId="31968EDA" w:rsidR="009B0ECD" w:rsidRPr="007140DC" w:rsidRDefault="009B0ECD">
      <w:pPr>
        <w:pStyle w:val="EndnoteText"/>
        <w:rPr>
          <w:sz w:val="18"/>
          <w:szCs w:val="18"/>
          <w:lang w:val="en-AU"/>
        </w:rPr>
      </w:pPr>
      <w:r w:rsidRPr="000C32D4">
        <w:rPr>
          <w:rStyle w:val="EndnoteReference"/>
        </w:rPr>
        <w:endnoteRef/>
      </w:r>
      <w:r w:rsidRPr="000C32D4">
        <w:t xml:space="preserve"> </w:t>
      </w:r>
      <w:r w:rsidRPr="007140DC" w:rsidDel="00647FAA">
        <w:rPr>
          <w:sz w:val="18"/>
          <w:szCs w:val="18"/>
        </w:rPr>
        <w:t>AIHW analysis of National Non-admitted Patient Emergency Department Care Database.</w:t>
      </w:r>
    </w:p>
  </w:endnote>
  <w:endnote w:id="17">
    <w:p w14:paraId="11B92437" w14:textId="156DB4BD" w:rsidR="00A71FC3" w:rsidRPr="000C32D4" w:rsidDel="00647FAA" w:rsidRDefault="00A71FC3" w:rsidP="004E5D44">
      <w:r w:rsidRPr="000C32D4" w:rsidDel="00647FAA">
        <w:rPr>
          <w:rStyle w:val="EndnoteReference"/>
        </w:rPr>
        <w:endnoteRef/>
      </w:r>
      <w:r w:rsidRPr="000C32D4" w:rsidDel="00647FAA">
        <w:rPr>
          <w:vertAlign w:val="superscript"/>
        </w:rPr>
        <w:t xml:space="preserve"> </w:t>
      </w:r>
      <w:r w:rsidR="00C510DE" w:rsidRPr="000C32D4">
        <w:t xml:space="preserve">AIHW analysis of </w:t>
      </w:r>
      <w:r w:rsidRPr="000C32D4" w:rsidDel="00647FAA">
        <w:t xml:space="preserve">ABS Patient Experiences Survey, 2020-21 to 2024-25. </w:t>
      </w:r>
    </w:p>
  </w:endnote>
  <w:endnote w:id="18">
    <w:p w14:paraId="3658CF04" w14:textId="74C571AB" w:rsidR="001C41D1" w:rsidRPr="007140DC" w:rsidRDefault="001C41D1">
      <w:pPr>
        <w:pStyle w:val="EndnoteText"/>
        <w:rPr>
          <w:sz w:val="18"/>
          <w:szCs w:val="18"/>
          <w:lang w:val="en-AU"/>
        </w:rPr>
      </w:pPr>
      <w:r w:rsidRPr="000C32D4">
        <w:rPr>
          <w:rStyle w:val="EndnoteReference"/>
        </w:rPr>
        <w:endnoteRef/>
      </w:r>
      <w:r w:rsidRPr="000C32D4">
        <w:t xml:space="preserve"> </w:t>
      </w:r>
      <w:r w:rsidRPr="007140DC">
        <w:rPr>
          <w:sz w:val="18"/>
          <w:szCs w:val="18"/>
        </w:rPr>
        <w:t xml:space="preserve">AIHW analysis of </w:t>
      </w:r>
      <w:r w:rsidRPr="007140DC" w:rsidDel="00647FAA">
        <w:rPr>
          <w:sz w:val="18"/>
          <w:szCs w:val="18"/>
        </w:rPr>
        <w:t>ABS Patient Experiences Survey, 2020-21 to 2024-25. The data presented here are classified by SEIFA Index of Relative Socio-economic Disadvantage (IR</w:t>
      </w:r>
      <w:r w:rsidRPr="007140DC">
        <w:rPr>
          <w:sz w:val="18"/>
          <w:szCs w:val="18"/>
        </w:rPr>
        <w:t>S</w:t>
      </w:r>
      <w:r w:rsidRPr="007140DC" w:rsidDel="00647FAA">
        <w:rPr>
          <w:sz w:val="18"/>
          <w:szCs w:val="18"/>
        </w:rPr>
        <w:t>AD).</w:t>
      </w:r>
    </w:p>
  </w:endnote>
  <w:endnote w:id="19">
    <w:p w14:paraId="06AF0AB4" w14:textId="77777777" w:rsidR="00A71FC3" w:rsidRPr="000C32D4" w:rsidRDefault="00A71FC3" w:rsidP="004E5D44">
      <w:pPr>
        <w:rPr>
          <w:sz w:val="22"/>
        </w:rPr>
      </w:pPr>
      <w:r w:rsidRPr="000C32D4">
        <w:rPr>
          <w:rStyle w:val="EndnoteReference"/>
        </w:rPr>
        <w:endnoteRef/>
      </w:r>
      <w:r w:rsidRPr="000C32D4">
        <w:rPr>
          <w:vertAlign w:val="superscript"/>
        </w:rPr>
        <w:t xml:space="preserve"> </w:t>
      </w:r>
      <w:r w:rsidRPr="000C32D4">
        <w:t>AIHW analysis of the National Health Workforce Dataset (NHWDS) through the Health Workforce Data Tool (HWDT).</w:t>
      </w:r>
    </w:p>
  </w:endnote>
  <w:endnote w:id="20">
    <w:p w14:paraId="4EAAC7BF" w14:textId="10C6AE05"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Australian Bureau of Statistics. (2025). </w:t>
      </w:r>
      <w:r w:rsidRPr="000C32D4" w:rsidDel="00647FAA">
        <w:rPr>
          <w:i/>
          <w:iCs/>
        </w:rPr>
        <w:t>Selected living cost indexes, Australia, December 2025</w:t>
      </w:r>
      <w:r w:rsidRPr="000C32D4" w:rsidDel="00647FAA">
        <w:t xml:space="preserve">. </w:t>
      </w:r>
      <w:hyperlink r:id="rId1" w:history="1">
        <w:r w:rsidRPr="000C32D4" w:rsidDel="00647FAA">
          <w:rPr>
            <w:rStyle w:val="Hyperlink"/>
            <w:szCs w:val="18"/>
          </w:rPr>
          <w:t>https://www.abs.gov.au/statistics/economy/price-indexes-and-inflation/selected-living-cost-indexes-australia/latest-release</w:t>
        </w:r>
      </w:hyperlink>
      <w:r w:rsidRPr="000C32D4" w:rsidDel="00647FAA">
        <w:t xml:space="preserve"> </w:t>
      </w:r>
    </w:p>
  </w:endnote>
  <w:endnote w:id="21">
    <w:p w14:paraId="08BDD8FC"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Australian Institute of Health and Welfare. (16 October 2025). </w:t>
      </w:r>
      <w:r w:rsidRPr="000C32D4" w:rsidDel="00647FAA">
        <w:rPr>
          <w:i/>
          <w:iCs/>
        </w:rPr>
        <w:t>Housing affordability</w:t>
      </w:r>
      <w:r w:rsidRPr="000C32D4" w:rsidDel="00647FAA">
        <w:t xml:space="preserve">. </w:t>
      </w:r>
      <w:hyperlink r:id="rId2" w:history="1">
        <w:r w:rsidRPr="000C32D4" w:rsidDel="00647FAA">
          <w:rPr>
            <w:rStyle w:val="Hyperlink"/>
            <w:szCs w:val="18"/>
          </w:rPr>
          <w:t>https://www.aihw.gov.au/reports/australias-welfare/housing-affordability</w:t>
        </w:r>
      </w:hyperlink>
      <w:r w:rsidRPr="000C32D4" w:rsidDel="00647FAA">
        <w:t xml:space="preserve"> </w:t>
      </w:r>
    </w:p>
  </w:endnote>
  <w:endnote w:id="22">
    <w:p w14:paraId="7639F2EA" w14:textId="4F29BAAC" w:rsidR="009C373F" w:rsidRPr="000C32D4" w:rsidDel="00647FAA" w:rsidRDefault="009C373F" w:rsidP="000140A3">
      <w:r w:rsidRPr="000C32D4" w:rsidDel="00647FAA">
        <w:rPr>
          <w:rStyle w:val="EndnoteReference"/>
          <w:szCs w:val="18"/>
        </w:rPr>
        <w:endnoteRef/>
      </w:r>
      <w:r w:rsidRPr="000C32D4" w:rsidDel="00647FAA">
        <w:t xml:space="preserve"> </w:t>
      </w:r>
      <w:r w:rsidR="001E236C" w:rsidRPr="000C32D4" w:rsidDel="00647FAA">
        <w:t xml:space="preserve">Australian Institute of Health and Welfare. (16 October 2025). </w:t>
      </w:r>
      <w:r w:rsidR="001E236C" w:rsidRPr="000C32D4" w:rsidDel="00647FAA">
        <w:rPr>
          <w:i/>
          <w:iCs/>
        </w:rPr>
        <w:t>Housing affordability</w:t>
      </w:r>
      <w:r w:rsidR="001E236C" w:rsidRPr="000C32D4" w:rsidDel="00647FAA">
        <w:t xml:space="preserve">. </w:t>
      </w:r>
      <w:hyperlink r:id="rId3" w:history="1">
        <w:r w:rsidR="001E236C" w:rsidRPr="000C32D4" w:rsidDel="00647FAA">
          <w:rPr>
            <w:rStyle w:val="Hyperlink"/>
            <w:szCs w:val="18"/>
          </w:rPr>
          <w:t>https://www.aihw.gov.au/reports/australias-welfare/housing-affordability</w:t>
        </w:r>
      </w:hyperlink>
      <w:r w:rsidR="001E236C" w:rsidRPr="000C32D4" w:rsidDel="00647FAA">
        <w:t xml:space="preserve"> </w:t>
      </w:r>
    </w:p>
  </w:endnote>
  <w:endnote w:id="23">
    <w:p w14:paraId="28290421"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Australian Healthcare Index. (September 2025). </w:t>
      </w:r>
      <w:r w:rsidRPr="000C32D4" w:rsidDel="00647FAA">
        <w:rPr>
          <w:i/>
          <w:iCs/>
        </w:rPr>
        <w:t>Australian Healthcare Index September 2025 report</w:t>
      </w:r>
      <w:r w:rsidRPr="000C32D4" w:rsidDel="00647FAA">
        <w:t xml:space="preserve">. </w:t>
      </w:r>
      <w:hyperlink r:id="rId4" w:history="1">
        <w:r w:rsidRPr="000C32D4" w:rsidDel="00647FAA">
          <w:rPr>
            <w:rStyle w:val="Hyperlink"/>
            <w:szCs w:val="18"/>
          </w:rPr>
          <w:t>https://australianhealthcareindex.com.au/australian-healthcare-index-september-2025-report/</w:t>
        </w:r>
      </w:hyperlink>
      <w:r w:rsidRPr="000C32D4" w:rsidDel="00647FAA">
        <w:t xml:space="preserve"> </w:t>
      </w:r>
    </w:p>
  </w:endnote>
  <w:endnote w:id="24">
    <w:p w14:paraId="489028E6"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w:t>
      </w:r>
      <w:r w:rsidRPr="000C32D4" w:rsidDel="00647FAA">
        <w:rPr>
          <w:lang w:val="en-AU"/>
        </w:rPr>
        <w:t>National Mental Health Consumer Alliance, 2024 Human Rights Report, December 2025.</w:t>
      </w:r>
    </w:p>
  </w:endnote>
  <w:endnote w:id="25">
    <w:p w14:paraId="5D7DE142"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Mission Australia. (26 November 2025). </w:t>
      </w:r>
      <w:r w:rsidRPr="000C32D4">
        <w:rPr>
          <w:i/>
          <w:iCs/>
        </w:rPr>
        <w:t>Youth Survey 2025: Cost of living and mental health top concerns</w:t>
      </w:r>
      <w:r w:rsidRPr="000C32D4">
        <w:t xml:space="preserve">. </w:t>
      </w:r>
      <w:hyperlink r:id="rId5" w:history="1">
        <w:r w:rsidRPr="000C32D4">
          <w:rPr>
            <w:rStyle w:val="Hyperlink"/>
            <w:szCs w:val="18"/>
          </w:rPr>
          <w:t>https://prod.missionaustralia.com.au/media-centre/media-releases/2025/young-australians-call-for-action-on-cost-of-living-mission-australias-2025-youth-survey/</w:t>
        </w:r>
      </w:hyperlink>
      <w:r w:rsidRPr="000C32D4" w:rsidDel="00E62C76">
        <w:t xml:space="preserve"> </w:t>
      </w:r>
    </w:p>
  </w:endnote>
  <w:endnote w:id="26">
    <w:p w14:paraId="41379BC9"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Monash University. (14 November 2025). </w:t>
      </w:r>
      <w:r w:rsidRPr="000C32D4">
        <w:rPr>
          <w:i/>
          <w:iCs/>
        </w:rPr>
        <w:t>Youth Barometer: Australia’s young people are losing faith in the future</w:t>
      </w:r>
      <w:r w:rsidRPr="000C32D4">
        <w:t xml:space="preserve">. </w:t>
      </w:r>
      <w:r w:rsidRPr="000C32D4">
        <w:rPr>
          <w:i/>
          <w:iCs/>
        </w:rPr>
        <w:t>Monash Lens</w:t>
      </w:r>
      <w:r w:rsidRPr="000C32D4">
        <w:t xml:space="preserve">. </w:t>
      </w:r>
      <w:hyperlink r:id="rId6" w:history="1">
        <w:r w:rsidRPr="000C32D4">
          <w:rPr>
            <w:rStyle w:val="Hyperlink"/>
            <w:szCs w:val="18"/>
          </w:rPr>
          <w:t>https://lens.monash.edu/housing-insecure-work-and-mental-health-australias-young-people-are-losing-faith-in-the-future/</w:t>
        </w:r>
      </w:hyperlink>
    </w:p>
  </w:endnote>
  <w:endnote w:id="27">
    <w:p w14:paraId="5FCEAD2A" w14:textId="16D6207E" w:rsidR="00B80252" w:rsidRPr="000C32D4" w:rsidDel="00647FAA" w:rsidRDefault="009C373F" w:rsidP="000140A3">
      <w:r w:rsidRPr="000C32D4" w:rsidDel="00647FAA">
        <w:rPr>
          <w:rStyle w:val="EndnoteReference"/>
          <w:szCs w:val="18"/>
        </w:rPr>
        <w:endnoteRef/>
      </w:r>
      <w:r w:rsidRPr="000C32D4" w:rsidDel="00647FAA">
        <w:t xml:space="preserve"> </w:t>
      </w:r>
      <w:r w:rsidRPr="000C32D4">
        <w:t xml:space="preserve">University of Sydney. (4 August 2025). </w:t>
      </w:r>
      <w:r w:rsidRPr="000C32D4">
        <w:rPr>
          <w:i/>
          <w:iCs/>
        </w:rPr>
        <w:t>More than 40 percent of young Aussies are lonely, as experts call for National Loneliness Strategy</w:t>
      </w:r>
      <w:r w:rsidRPr="000C32D4">
        <w:t xml:space="preserve">. </w:t>
      </w:r>
      <w:hyperlink r:id="rId7" w:history="1">
        <w:r w:rsidRPr="000C32D4">
          <w:rPr>
            <w:rStyle w:val="Hyperlink"/>
            <w:szCs w:val="18"/>
          </w:rPr>
          <w:t>https://www.sydney.edu.au/news-opinion/news/2025/08/04/more-than-40-percent-of-young-aussies-are-lonely-as-experts-call-for-national-loneliness-strategy.html</w:t>
        </w:r>
      </w:hyperlink>
    </w:p>
  </w:endnote>
  <w:endnote w:id="28">
    <w:p w14:paraId="400547DD"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Beyond Blue. (17 July 2025). </w:t>
      </w:r>
      <w:r w:rsidRPr="000C32D4">
        <w:rPr>
          <w:i/>
          <w:iCs/>
        </w:rPr>
        <w:t>1 in 2 Australians facing workplace burnout</w:t>
      </w:r>
      <w:r w:rsidRPr="000C32D4">
        <w:t xml:space="preserve">. </w:t>
      </w:r>
      <w:hyperlink r:id="rId8" w:history="1">
        <w:r w:rsidRPr="000C32D4">
          <w:rPr>
            <w:rStyle w:val="Hyperlink"/>
            <w:szCs w:val="18"/>
          </w:rPr>
          <w:t>https://www.beyondblue.org.au/about/media/media-releases/1-in-2-Australians-Facing-Workplace-Burnout</w:t>
        </w:r>
      </w:hyperlink>
    </w:p>
  </w:endnote>
  <w:endnote w:id="29">
    <w:p w14:paraId="25A2C2E7"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w:t>
      </w:r>
      <w:r w:rsidRPr="000C32D4">
        <w:t xml:space="preserve">Australian Curriculum, Assessment and Reporting Authority. (2025). </w:t>
      </w:r>
      <w:r w:rsidRPr="000C32D4">
        <w:rPr>
          <w:i/>
          <w:iCs/>
        </w:rPr>
        <w:t>Student attendance</w:t>
      </w:r>
      <w:r w:rsidRPr="000C32D4">
        <w:t xml:space="preserve">. </w:t>
      </w:r>
      <w:hyperlink r:id="rId9" w:history="1">
        <w:r w:rsidRPr="000C32D4">
          <w:rPr>
            <w:rStyle w:val="Hyperlink"/>
            <w:szCs w:val="18"/>
          </w:rPr>
          <w:t>https://www.acara.edu.au/reporting/national-report-on-schooling-in-australia/student-attendance</w:t>
        </w:r>
      </w:hyperlink>
    </w:p>
  </w:endnote>
  <w:endnote w:id="30">
    <w:p w14:paraId="701BD4AF"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w:t>
      </w:r>
      <w:r w:rsidRPr="000C32D4">
        <w:t xml:space="preserve">Grattan Institute. (10 December 2025). </w:t>
      </w:r>
      <w:r w:rsidRPr="000C32D4">
        <w:rPr>
          <w:i/>
          <w:iCs/>
        </w:rPr>
        <w:t>Every day matters: Improving school attendance in Australia</w:t>
      </w:r>
      <w:r w:rsidRPr="000C32D4">
        <w:t xml:space="preserve">. </w:t>
      </w:r>
      <w:hyperlink r:id="rId10" w:history="1">
        <w:r w:rsidRPr="000C32D4">
          <w:t>https://grattan.edu.au/news/every-day-matters-improving-school-attendance-in-australia/</w:t>
        </w:r>
      </w:hyperlink>
    </w:p>
  </w:endnote>
  <w:endnote w:id="31">
    <w:p w14:paraId="76BB2353"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Government Department of Health, Disability and Ageing. (31 January 2025). </w:t>
      </w:r>
      <w:r w:rsidRPr="000C32D4">
        <w:rPr>
          <w:i/>
          <w:iCs/>
        </w:rPr>
        <w:t>Health care for trans and gender diverse Australian children and adolescents</w:t>
      </w:r>
      <w:r w:rsidRPr="000C32D4">
        <w:t xml:space="preserve">. </w:t>
      </w:r>
      <w:hyperlink r:id="rId11" w:history="1">
        <w:r w:rsidRPr="000C32D4">
          <w:rPr>
            <w:rStyle w:val="Hyperlink"/>
            <w:szCs w:val="18"/>
          </w:rPr>
          <w:t>https://www.health.gov.au/ministers/the-hon-mark-butler-mp/media/health-care-for-trans-and-gender-diverse-australian-children-and-adolescents</w:t>
        </w:r>
      </w:hyperlink>
    </w:p>
  </w:endnote>
  <w:endnote w:id="32">
    <w:p w14:paraId="04471A9F"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Queensland Government. (19 December 2025). </w:t>
      </w:r>
      <w:r w:rsidRPr="000C32D4">
        <w:rPr>
          <w:i/>
          <w:iCs/>
        </w:rPr>
        <w:t>Independent Review into puberty blockers released</w:t>
      </w:r>
      <w:r w:rsidRPr="000C32D4">
        <w:t xml:space="preserve">. </w:t>
      </w:r>
      <w:hyperlink r:id="rId12" w:history="1">
        <w:r w:rsidRPr="000C32D4">
          <w:rPr>
            <w:rStyle w:val="Hyperlink"/>
            <w:szCs w:val="18"/>
          </w:rPr>
          <w:t>https://statements.qld.gov.au/statements/104227</w:t>
        </w:r>
      </w:hyperlink>
      <w:r w:rsidRPr="000C32D4">
        <w:t xml:space="preserve"> </w:t>
      </w:r>
    </w:p>
  </w:endnote>
  <w:endnote w:id="33">
    <w:p w14:paraId="22E630C8" w14:textId="0EEB395F"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Northern Territory Government. (21 December 2025). </w:t>
      </w:r>
      <w:r w:rsidRPr="000C32D4">
        <w:rPr>
          <w:i/>
          <w:iCs/>
        </w:rPr>
        <w:t xml:space="preserve">NT to cease puberty blockers for children under 18. </w:t>
      </w:r>
      <w:hyperlink r:id="rId13" w:history="1">
        <w:r w:rsidRPr="000C32D4">
          <w:rPr>
            <w:rStyle w:val="Hyperlink"/>
            <w:szCs w:val="18"/>
          </w:rPr>
          <w:t>createsend.com/t/t-23D4D55AA0B65A882540EF23F30FEDED</w:t>
        </w:r>
      </w:hyperlink>
    </w:p>
  </w:endnote>
  <w:endnote w:id="34">
    <w:p w14:paraId="73EA3FCC"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LGBTIQ+ Health Australia. (10 February 2025). </w:t>
      </w:r>
      <w:r w:rsidRPr="000C32D4">
        <w:rPr>
          <w:i/>
          <w:iCs/>
        </w:rPr>
        <w:t>Access to gender-affirming care for young people in Australia – February 2025</w:t>
      </w:r>
      <w:r w:rsidRPr="000C32D4">
        <w:t xml:space="preserve">. </w:t>
      </w:r>
      <w:hyperlink r:id="rId14" w:history="1">
        <w:r w:rsidRPr="000C32D4">
          <w:rPr>
            <w:rStyle w:val="Hyperlink"/>
            <w:szCs w:val="18"/>
          </w:rPr>
          <w:t>https://www.lgbtiqhealth.org.au/access_to_gender-affirming_care_young_people_in_aust_feb_25</w:t>
        </w:r>
      </w:hyperlink>
    </w:p>
  </w:endnote>
  <w:endnote w:id="35">
    <w:p w14:paraId="7C9E5876"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Equality Australia. (31 January 2025). </w:t>
      </w:r>
      <w:r w:rsidRPr="000C32D4">
        <w:rPr>
          <w:i/>
          <w:iCs/>
        </w:rPr>
        <w:t>LGBTIQ+ community groups and health experts cautiously welcome treatment review for trans and gender diverse young people</w:t>
      </w:r>
      <w:r w:rsidRPr="000C32D4">
        <w:t xml:space="preserve">. </w:t>
      </w:r>
      <w:hyperlink r:id="rId15" w:history="1">
        <w:r w:rsidRPr="000C32D4">
          <w:rPr>
            <w:rStyle w:val="Hyperlink"/>
            <w:szCs w:val="18"/>
          </w:rPr>
          <w:t>https://equalityaustralia.org.au/lgbtiq-community-groups-and-health-experts-cautiously-welcome-treatment-review-for-trans-and-gender-diverse-young-people/</w:t>
        </w:r>
      </w:hyperlink>
    </w:p>
  </w:endnote>
  <w:endnote w:id="36">
    <w:p w14:paraId="61B4A186"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Human Rights Commission. (19 December 2025). </w:t>
      </w:r>
      <w:r w:rsidRPr="000C32D4">
        <w:rPr>
          <w:i/>
          <w:iCs/>
        </w:rPr>
        <w:t>Concerns Queensland's call on gender-affirming healthcare will cause harm and distress</w:t>
      </w:r>
      <w:r w:rsidRPr="000C32D4">
        <w:t xml:space="preserve">. </w:t>
      </w:r>
      <w:hyperlink r:id="rId16" w:history="1">
        <w:r w:rsidRPr="000C32D4">
          <w:rPr>
            <w:rStyle w:val="Hyperlink"/>
            <w:szCs w:val="18"/>
          </w:rPr>
          <w:t>https://humanrights.gov.au/about-us/media-centre/media-releases/lgbtqia/concerns-queenslands-call-on-gender-affirming-healthcare-will-cause-harm-and-distress</w:t>
        </w:r>
      </w:hyperlink>
    </w:p>
  </w:endnote>
  <w:endnote w:id="37">
    <w:p w14:paraId="69A578DB"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headspace. (9 October 2025). </w:t>
      </w:r>
      <w:r w:rsidRPr="000C32D4">
        <w:rPr>
          <w:i/>
          <w:iCs/>
        </w:rPr>
        <w:t>Nearly half of young Australians experiencing high levels of psychological distress – but more are seeking support</w:t>
      </w:r>
      <w:r w:rsidRPr="000C32D4">
        <w:t xml:space="preserve">. </w:t>
      </w:r>
      <w:hyperlink r:id="rId17" w:history="1">
        <w:r w:rsidRPr="000C32D4">
          <w:rPr>
            <w:rStyle w:val="Hyperlink"/>
            <w:szCs w:val="18"/>
          </w:rPr>
          <w:t>https://headspace.org.au/our-organisation/media-releases/nearly-half-of-young-australians-experiencing-high-levels-of-psychological-distress-but-more-are-seeking-support/</w:t>
        </w:r>
      </w:hyperlink>
    </w:p>
  </w:endnote>
  <w:endnote w:id="38">
    <w:p w14:paraId="0C1A47F9"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rPr>
          <w:lang w:val="en-AU"/>
        </w:rPr>
        <w:t>Subotic-Kerry M, Borchard T, Parker B</w:t>
      </w:r>
      <w:r w:rsidRPr="000C32D4">
        <w:rPr>
          <w:i/>
          <w:iCs/>
          <w:lang w:val="en-AU"/>
        </w:rPr>
        <w:t>, et al</w:t>
      </w:r>
      <w:r w:rsidRPr="000C32D4">
        <w:rPr>
          <w:lang w:val="en-AU"/>
        </w:rPr>
        <w:t xml:space="preserve">. While they wait: a cross-sectional survey on </w:t>
      </w:r>
      <w:r w:rsidRPr="000C32D4">
        <w:rPr>
          <w:lang w:val="en-AU"/>
        </w:rPr>
        <w:t xml:space="preserve">wait times for mental health treatment for anxiety and depression for adolescents in Australia. </w:t>
      </w:r>
      <w:r w:rsidRPr="000C32D4">
        <w:rPr>
          <w:i/>
          <w:iCs/>
          <w:lang w:val="en-AU"/>
        </w:rPr>
        <w:t>BMJ Open </w:t>
      </w:r>
      <w:r w:rsidRPr="000C32D4">
        <w:rPr>
          <w:lang w:val="en-AU"/>
        </w:rPr>
        <w:t>2025;15:e087342. Doi: </w:t>
      </w:r>
      <w:hyperlink r:id="rId18" w:history="1">
        <w:r w:rsidRPr="000C32D4">
          <w:rPr>
            <w:rStyle w:val="Hyperlink"/>
            <w:szCs w:val="18"/>
            <w:lang w:val="en-AU"/>
          </w:rPr>
          <w:t>10.1136/bmjopen-2024-087342</w:t>
        </w:r>
      </w:hyperlink>
    </w:p>
  </w:endnote>
  <w:endnote w:id="39">
    <w:p w14:paraId="6747C9D6"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w:t>
      </w:r>
      <w:r w:rsidRPr="000C32D4">
        <w:t xml:space="preserve">Kids Helpline. (June 2026). </w:t>
      </w:r>
      <w:r w:rsidRPr="000C32D4">
        <w:rPr>
          <w:i/>
          <w:iCs/>
        </w:rPr>
        <w:t>Impact report</w:t>
      </w:r>
      <w:r w:rsidRPr="000C32D4">
        <w:t xml:space="preserve">. </w:t>
      </w:r>
      <w:hyperlink r:id="rId19" w:history="1">
        <w:r w:rsidRPr="000C32D4">
          <w:rPr>
            <w:rStyle w:val="Hyperlink"/>
            <w:szCs w:val="18"/>
          </w:rPr>
          <w:t>https://www.kidshelpline.com.au/about/impact-report?utm_source=linkedin&amp;utm_medium=social&amp;utm_campaign=yourtown%20|%20brand%20|%20impact%20report%20|%20kids%20helpline&amp;utm_content=image%20|%20stats</w:t>
        </w:r>
      </w:hyperlink>
    </w:p>
  </w:endnote>
  <w:endnote w:id="40">
    <w:p w14:paraId="4817014A"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Government. (2025). </w:t>
      </w:r>
      <w:r w:rsidRPr="000C32D4">
        <w:rPr>
          <w:i/>
          <w:iCs/>
        </w:rPr>
        <w:t>Australian disasters</w:t>
      </w:r>
      <w:r w:rsidRPr="000C32D4">
        <w:t xml:space="preserve">. </w:t>
      </w:r>
      <w:hyperlink r:id="rId20" w:history="1">
        <w:r w:rsidRPr="000C32D4">
          <w:rPr>
            <w:rStyle w:val="Hyperlink"/>
            <w:szCs w:val="18"/>
          </w:rPr>
          <w:t>https://www.disasterassist.gov.au/find-a-disaster/australian-disasters?TermStoreId=1cafda66-8aac-4a45-95fa-3e03872913b6&amp;TermSetId=6bf6917e-779a-42ff-9f67-b0cbb112d3bf&amp;TermId=7d6b185c-0784-490c-a97a-93de0d0eb095</w:t>
        </w:r>
      </w:hyperlink>
    </w:p>
  </w:endnote>
  <w:endnote w:id="41">
    <w:p w14:paraId="359958F6"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National Emergency Management Agency. (18 December 2025). </w:t>
      </w:r>
      <w:r w:rsidRPr="000C32D4">
        <w:rPr>
          <w:i/>
          <w:iCs/>
        </w:rPr>
        <w:t>2025 in review: A year of collaboration, coordination and capability building</w:t>
      </w:r>
      <w:r w:rsidRPr="000C32D4">
        <w:t xml:space="preserve">. </w:t>
      </w:r>
      <w:hyperlink r:id="rId21" w:history="1">
        <w:r w:rsidRPr="000C32D4">
          <w:rPr>
            <w:rStyle w:val="Hyperlink"/>
            <w:szCs w:val="18"/>
          </w:rPr>
          <w:t>https://www.nema.gov.au/about-us/media-centre/2025-review-year-collaboration-coordination-and-capability-building</w:t>
        </w:r>
      </w:hyperlink>
    </w:p>
  </w:endnote>
  <w:endnote w:id="42">
    <w:p w14:paraId="56F6B07B"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Insurance Council of Australia. (23 January 2026). </w:t>
      </w:r>
      <w:r w:rsidRPr="000C32D4">
        <w:rPr>
          <w:i/>
          <w:iCs/>
        </w:rPr>
        <w:t>Extreme weather cost $3.5 billion in 2025</w:t>
      </w:r>
      <w:r w:rsidRPr="000C32D4">
        <w:t xml:space="preserve">. </w:t>
      </w:r>
      <w:hyperlink r:id="rId22" w:history="1">
        <w:r w:rsidRPr="000C32D4">
          <w:rPr>
            <w:rStyle w:val="Hyperlink"/>
            <w:szCs w:val="18"/>
          </w:rPr>
          <w:t>https://insurancecouncil.com.au/resource/extreme-weather-cost-3-5-billion-in-2025/</w:t>
        </w:r>
      </w:hyperlink>
    </w:p>
  </w:endnote>
  <w:endnote w:id="43">
    <w:p w14:paraId="50DD33BA"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Climate Service. (September 2025). </w:t>
      </w:r>
      <w:r w:rsidRPr="000C32D4">
        <w:rPr>
          <w:i/>
          <w:iCs/>
        </w:rPr>
        <w:t>National Climate Risk Assessment</w:t>
      </w:r>
      <w:r w:rsidRPr="000C32D4">
        <w:t xml:space="preserve">. </w:t>
      </w:r>
      <w:hyperlink r:id="rId23" w:history="1">
        <w:r w:rsidRPr="000C32D4">
          <w:rPr>
            <w:rStyle w:val="Hyperlink"/>
            <w:szCs w:val="18"/>
          </w:rPr>
          <w:t>https://www.acs.gov.au/pages/national-climate-risk-assessment</w:t>
        </w:r>
      </w:hyperlink>
    </w:p>
  </w:endnote>
  <w:endnote w:id="44">
    <w:p w14:paraId="511646A1"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Brandt, L., </w:t>
      </w:r>
      <w:r w:rsidRPr="000C32D4">
        <w:t xml:space="preserve">Augustinavicius, J., Fusar-Poli, P., Hasan, A., Patel, V. H., Simon, J., &amp; Luykx, J. J. (2025). </w:t>
      </w:r>
      <w:r w:rsidRPr="000C32D4">
        <w:rPr>
          <w:i/>
          <w:iCs/>
        </w:rPr>
        <w:t>Climate change and mental health: Announcing a new Lancet Psychiatry Commission</w:t>
      </w:r>
      <w:r w:rsidRPr="000C32D4">
        <w:t xml:space="preserve">. </w:t>
      </w:r>
      <w:r w:rsidRPr="000C32D4">
        <w:rPr>
          <w:i/>
          <w:iCs/>
        </w:rPr>
        <w:t>The Lancet Psychiatry, 12</w:t>
      </w:r>
      <w:r w:rsidRPr="000C32D4">
        <w:t xml:space="preserve">(11), 811–813. </w:t>
      </w:r>
      <w:hyperlink r:id="rId24" w:history="1">
        <w:r w:rsidRPr="000C32D4">
          <w:rPr>
            <w:rStyle w:val="Hyperlink"/>
            <w:szCs w:val="18"/>
          </w:rPr>
          <w:t>https://www.thelancet.com/journals/lanpsy/article/PIIS2215-0366(25)00274-3/abstract</w:t>
        </w:r>
      </w:hyperlink>
    </w:p>
  </w:endnote>
  <w:endnote w:id="45">
    <w:p w14:paraId="5EA06315"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Doctors for the Environment Australia. (October 2025). </w:t>
      </w:r>
      <w:r w:rsidRPr="000C32D4">
        <w:rPr>
          <w:i/>
          <w:iCs/>
        </w:rPr>
        <w:t>How climate change affects mental health in Australia</w:t>
      </w:r>
      <w:r w:rsidRPr="000C32D4">
        <w:t xml:space="preserve">. </w:t>
      </w:r>
      <w:hyperlink r:id="rId25" w:history="1">
        <w:r w:rsidRPr="000C32D4">
          <w:rPr>
            <w:rStyle w:val="Hyperlink"/>
            <w:szCs w:val="18"/>
          </w:rPr>
          <w:t>https://www.dea.org.au/how_climate_change_affects_mental_health_in_australia</w:t>
        </w:r>
      </w:hyperlink>
    </w:p>
  </w:endnote>
  <w:endnote w:id="46">
    <w:p w14:paraId="4A05F93D"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Government Department of Health, Disability and Ageing. (25 November 2025). </w:t>
      </w:r>
      <w:r w:rsidRPr="000C32D4">
        <w:rPr>
          <w:i/>
          <w:iCs/>
        </w:rPr>
        <w:t>Australia endorses Belém Health Action Plan</w:t>
      </w:r>
      <w:r w:rsidRPr="000C32D4">
        <w:t xml:space="preserve">. </w:t>
      </w:r>
      <w:hyperlink r:id="rId26" w:history="1">
        <w:r w:rsidRPr="000C32D4">
          <w:rPr>
            <w:rStyle w:val="Hyperlink"/>
            <w:szCs w:val="18"/>
          </w:rPr>
          <w:t>https://www.health.gov.au/ministers/the-hon-mark-butler-mp/media/australia-endorses-belem-health-action-plan</w:t>
        </w:r>
      </w:hyperlink>
    </w:p>
  </w:endnote>
  <w:endnote w:id="47">
    <w:p w14:paraId="6237867B"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Charlesworth, K., &amp; </w:t>
      </w:r>
      <w:r w:rsidRPr="000C32D4">
        <w:t xml:space="preserve">Blashki, G. (19 September 2025). </w:t>
      </w:r>
      <w:r w:rsidRPr="000C32D4">
        <w:rPr>
          <w:i/>
          <w:iCs/>
        </w:rPr>
        <w:t>Climate Anxiety Toolkit</w:t>
      </w:r>
      <w:r w:rsidRPr="000C32D4">
        <w:t xml:space="preserve">. Climate Council. </w:t>
      </w:r>
      <w:hyperlink r:id="rId27" w:history="1">
        <w:r w:rsidRPr="000C32D4">
          <w:rPr>
            <w:rStyle w:val="Hyperlink"/>
            <w:szCs w:val="18"/>
          </w:rPr>
          <w:t>https://www.climatecouncil.org.au/resources/climate-anxiety-toolkit/</w:t>
        </w:r>
      </w:hyperlink>
      <w:r w:rsidRPr="000C32D4" w:rsidDel="00A52844">
        <w:t xml:space="preserve"> </w:t>
      </w:r>
    </w:p>
  </w:endnote>
  <w:endnote w:id="48">
    <w:p w14:paraId="072EF70D"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United Nations. (2025). </w:t>
      </w:r>
      <w:r w:rsidRPr="000C32D4">
        <w:rPr>
          <w:i/>
          <w:iCs/>
        </w:rPr>
        <w:t>Indigenous Peoples sidelined in global climate fight, UN warns</w:t>
      </w:r>
      <w:r w:rsidRPr="000C32D4">
        <w:t xml:space="preserve">. </w:t>
      </w:r>
      <w:hyperlink r:id="rId28" w:history="1">
        <w:r w:rsidRPr="000C32D4">
          <w:rPr>
            <w:rStyle w:val="Hyperlink"/>
            <w:szCs w:val="18"/>
          </w:rPr>
          <w:t>https://www.un.org/en/desa/indigenous-peoples-sidelined-global-climate-fight-un-warns</w:t>
        </w:r>
      </w:hyperlink>
    </w:p>
  </w:endnote>
  <w:endnote w:id="49">
    <w:p w14:paraId="2FC86373"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United Nations Department of Economic and Social Affairs. (April 2025). </w:t>
      </w:r>
      <w:r w:rsidRPr="000C32D4">
        <w:rPr>
          <w:i/>
          <w:iCs/>
        </w:rPr>
        <w:t>State of the world’s Indigenous peoples: Climate crisis</w:t>
      </w:r>
      <w:r w:rsidRPr="000C32D4">
        <w:t xml:space="preserve"> (Vol. VI). </w:t>
      </w:r>
      <w:hyperlink r:id="rId29" w:history="1">
        <w:r w:rsidRPr="000C32D4">
          <w:rPr>
            <w:rStyle w:val="Hyperlink"/>
            <w:szCs w:val="18"/>
          </w:rPr>
          <w:t>https://www.raoen.org/wp-content/uploads/2025/10/State-of-the-Worlds-Indigenous-Peoples_Climate-Crisis_Volume-VI_April-2025.pdf</w:t>
        </w:r>
      </w:hyperlink>
    </w:p>
  </w:endnote>
  <w:endnote w:id="50">
    <w:p w14:paraId="359BEF52"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Royal Australian College of General Practitioners. (11 August 2025). </w:t>
      </w:r>
      <w:r w:rsidRPr="000C32D4">
        <w:rPr>
          <w:i/>
          <w:iCs/>
        </w:rPr>
        <w:t>The impact of climate change on the health of Indigenous people</w:t>
      </w:r>
      <w:r w:rsidRPr="000C32D4">
        <w:t xml:space="preserve">. </w:t>
      </w:r>
      <w:hyperlink r:id="rId30" w:history="1">
        <w:r w:rsidRPr="000C32D4">
          <w:rPr>
            <w:rStyle w:val="Hyperlink"/>
            <w:szCs w:val="18"/>
          </w:rPr>
          <w:t>https://www1.racgp.org.au/newsgp/clinical/the-impact-of-climate-change-on-the-health-of-indi</w:t>
        </w:r>
      </w:hyperlink>
    </w:p>
  </w:endnote>
  <w:endnote w:id="51">
    <w:p w14:paraId="35015FAE" w14:textId="2B6A1BA2"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Jumbunna Institute for Indigenous Education and Research. (2025). </w:t>
      </w:r>
      <w:r w:rsidRPr="000C32D4">
        <w:rPr>
          <w:i/>
          <w:iCs/>
        </w:rPr>
        <w:t>Call It Out annual report 2023–2024</w:t>
      </w:r>
      <w:r w:rsidRPr="000C32D4">
        <w:t xml:space="preserve">. </w:t>
      </w:r>
      <w:hyperlink r:id="rId31" w:history="1">
        <w:r w:rsidRPr="000C32D4">
          <w:rPr>
            <w:rStyle w:val="Hyperlink"/>
            <w:szCs w:val="18"/>
          </w:rPr>
          <w:t>https://callitout.com.au/wp-content/uploads/2025/02/Jumbunna-Call-It-Out-Annual-Report-2023-2024-Final.pdf</w:t>
        </w:r>
      </w:hyperlink>
    </w:p>
  </w:endnote>
  <w:endnote w:id="52">
    <w:p w14:paraId="10C06B68"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Human Rights Commission. (February 2026). </w:t>
      </w:r>
      <w:r w:rsidRPr="000C32D4">
        <w:rPr>
          <w:i/>
          <w:iCs/>
        </w:rPr>
        <w:t xml:space="preserve">Respect at </w:t>
      </w:r>
      <w:r w:rsidRPr="000C32D4">
        <w:rPr>
          <w:i/>
          <w:iCs/>
        </w:rPr>
        <w:t>uni: Study into antisemitism, Islamophobia, racism and the experience of First Nations people</w:t>
      </w:r>
      <w:r w:rsidRPr="000C32D4">
        <w:t xml:space="preserve">. </w:t>
      </w:r>
      <w:hyperlink r:id="rId32" w:history="1">
        <w:r w:rsidRPr="000C32D4">
          <w:rPr>
            <w:rStyle w:val="Hyperlink"/>
            <w:szCs w:val="18"/>
          </w:rPr>
          <w:t>https://humanrights.gov.au/media/documents-files-PDFs/strategic-communications/Racism-at-Uni-Report.pdf</w:t>
        </w:r>
      </w:hyperlink>
    </w:p>
  </w:endnote>
  <w:endnote w:id="53">
    <w:p w14:paraId="40E53C6A"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w:t>
      </w:r>
      <w:r w:rsidRPr="000C32D4">
        <w:t xml:space="preserve">Australian Human Rights Commission. (2025). </w:t>
      </w:r>
      <w:r w:rsidRPr="000C32D4">
        <w:rPr>
          <w:i/>
          <w:iCs/>
        </w:rPr>
        <w:t>Health inequities in Australia: Racism impact 2025</w:t>
      </w:r>
      <w:r w:rsidRPr="000C32D4">
        <w:t xml:space="preserve">. </w:t>
      </w:r>
      <w:hyperlink r:id="rId33" w:history="1">
        <w:r w:rsidRPr="000C32D4">
          <w:rPr>
            <w:rStyle w:val="Hyperlink"/>
            <w:szCs w:val="18"/>
          </w:rPr>
          <w:t>https://humanrights.gov.au/resource-hub/by-resource-type/publications/race/health-inequities-australia</w:t>
        </w:r>
      </w:hyperlink>
    </w:p>
  </w:endnote>
  <w:endnote w:id="54">
    <w:p w14:paraId="354B7ADC"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13Yarn [Lifeline Australia]. (28 October 2025). </w:t>
      </w:r>
      <w:r w:rsidRPr="000C32D4">
        <w:rPr>
          <w:i/>
          <w:iCs/>
        </w:rPr>
        <w:t>100 calls a day: Unprecedented surge in calls to Indigenous crisis support line</w:t>
      </w:r>
      <w:r w:rsidRPr="000C32D4">
        <w:t xml:space="preserve">. </w:t>
      </w:r>
      <w:hyperlink r:id="rId34" w:history="1">
        <w:r w:rsidRPr="000C32D4">
          <w:rPr>
            <w:rStyle w:val="Hyperlink"/>
            <w:szCs w:val="18"/>
          </w:rPr>
          <w:t>https://newshub.medianet.com.au/2025/10/100-calls-a-day-unprecedented-surge-in-calls-to-indigenous-crisis-support-line/125462/</w:t>
        </w:r>
      </w:hyperlink>
    </w:p>
  </w:endnote>
  <w:endnote w:id="55">
    <w:p w14:paraId="2BB52749"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Office of the United Nations High Commissioner for Human Rights. (2025). </w:t>
      </w:r>
      <w:r w:rsidRPr="000C32D4">
        <w:rPr>
          <w:i/>
          <w:iCs/>
        </w:rPr>
        <w:t>Australia: UN Working Group raises major concerns about detention of Indigenous people, children and migrants</w:t>
      </w:r>
      <w:r w:rsidRPr="000C32D4">
        <w:t xml:space="preserve">. </w:t>
      </w:r>
      <w:hyperlink r:id="rId35" w:history="1">
        <w:r w:rsidRPr="000C32D4">
          <w:rPr>
            <w:rStyle w:val="Hyperlink"/>
            <w:szCs w:val="18"/>
          </w:rPr>
          <w:t>https://www.ohchr.org/en/press-releases/2025/12/australia-un-working-group-raises-major-concerns-about-detention-indigenous</w:t>
        </w:r>
      </w:hyperlink>
    </w:p>
  </w:endnote>
  <w:endnote w:id="56">
    <w:p w14:paraId="5FB0DB6F"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Bureau of Statistics. (2025). </w:t>
      </w:r>
      <w:r w:rsidRPr="000C32D4">
        <w:rPr>
          <w:i/>
          <w:iCs/>
        </w:rPr>
        <w:t>Prisoners in Australia, 2025</w:t>
      </w:r>
      <w:r w:rsidRPr="000C32D4">
        <w:t xml:space="preserve">. </w:t>
      </w:r>
      <w:hyperlink r:id="rId36" w:history="1">
        <w:r w:rsidRPr="000C32D4">
          <w:rPr>
            <w:rStyle w:val="Hyperlink"/>
            <w:szCs w:val="18"/>
          </w:rPr>
          <w:t>https://www.abs.gov.au/statistics/people/crime-and-justice/prisoners-australia/latest-release</w:t>
        </w:r>
      </w:hyperlink>
    </w:p>
  </w:endnote>
  <w:endnote w:id="57">
    <w:p w14:paraId="1EDF08D8"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Institute of Criminology. (2025). </w:t>
      </w:r>
      <w:r w:rsidRPr="000C32D4">
        <w:rPr>
          <w:i/>
          <w:iCs/>
        </w:rPr>
        <w:t>Deaths in custody in Australia 2024–25</w:t>
      </w:r>
      <w:r w:rsidRPr="000C32D4">
        <w:t xml:space="preserve">. </w:t>
      </w:r>
      <w:hyperlink r:id="rId37" w:history="1">
        <w:r w:rsidRPr="000C32D4">
          <w:rPr>
            <w:rStyle w:val="Hyperlink"/>
            <w:szCs w:val="18"/>
          </w:rPr>
          <w:t>https://www.aic.gov.au/sites/default/files/2025-12/sr57_deaths_in_custody_in_australia_2024-25.pdf</w:t>
        </w:r>
      </w:hyperlink>
    </w:p>
  </w:endnote>
  <w:endnote w:id="58">
    <w:p w14:paraId="6D62FFF0"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Institute of Health and Welfare. (2025). </w:t>
      </w:r>
      <w:r w:rsidRPr="000C32D4">
        <w:rPr>
          <w:i/>
          <w:iCs/>
        </w:rPr>
        <w:t>Youth detention population in Australia 2025: Summary</w:t>
      </w:r>
      <w:r w:rsidRPr="000C32D4">
        <w:t xml:space="preserve">. </w:t>
      </w:r>
      <w:hyperlink r:id="rId38" w:anchor="10-13" w:history="1">
        <w:r w:rsidRPr="000C32D4">
          <w:rPr>
            <w:rStyle w:val="Hyperlink"/>
            <w:szCs w:val="18"/>
          </w:rPr>
          <w:t>https://www.aihw.gov.au/reports/youth-justice/youth-detention-population-in-australia-2025/contents/summary#10-13</w:t>
        </w:r>
      </w:hyperlink>
      <w:r w:rsidRPr="000C32D4">
        <w:t xml:space="preserve"> </w:t>
      </w:r>
    </w:p>
  </w:endnote>
  <w:endnote w:id="59">
    <w:p w14:paraId="0A01803E" w14:textId="32A5415B" w:rsidR="009C373F" w:rsidRPr="000C32D4" w:rsidDel="00647FAA" w:rsidRDefault="009C373F" w:rsidP="000140A3">
      <w:r w:rsidRPr="000C32D4" w:rsidDel="00647FAA">
        <w:rPr>
          <w:rStyle w:val="EndnoteReference"/>
          <w:szCs w:val="18"/>
        </w:rPr>
        <w:endnoteRef/>
      </w:r>
      <w:r w:rsidRPr="000C32D4" w:rsidDel="00647FAA">
        <w:t xml:space="preserve"> O’Donnell, J</w:t>
      </w:r>
      <w:r w:rsidR="00FD2F62" w:rsidRPr="000C32D4">
        <w:t>.,</w:t>
      </w:r>
      <w:r w:rsidRPr="000C32D4" w:rsidDel="00647FAA">
        <w:t xml:space="preserve"> Falkiner</w:t>
      </w:r>
      <w:r w:rsidR="00FD2F62" w:rsidRPr="000C32D4">
        <w:t>, A.,</w:t>
      </w:r>
      <w:r w:rsidRPr="000C32D4" w:rsidDel="00647FAA">
        <w:t xml:space="preserve"> </w:t>
      </w:r>
      <w:r w:rsidR="00FD2F62" w:rsidRPr="000C32D4">
        <w:t>&amp;</w:t>
      </w:r>
      <w:r w:rsidRPr="000C32D4" w:rsidDel="00647FAA">
        <w:t xml:space="preserve"> Szachna</w:t>
      </w:r>
      <w:r w:rsidR="00FD2F62" w:rsidRPr="000C32D4">
        <w:t>, K</w:t>
      </w:r>
      <w:r w:rsidRPr="000C32D4" w:rsidDel="00647FAA">
        <w:t xml:space="preserve">. </w:t>
      </w:r>
      <w:r w:rsidR="00FD2F62" w:rsidRPr="000C32D4">
        <w:t xml:space="preserve">(2025) </w:t>
      </w:r>
      <w:r w:rsidRPr="000C32D4" w:rsidDel="00647FAA">
        <w:t xml:space="preserve">Mapping Social Cohesion. Scanlon Foundation Research Institute, 2025. </w:t>
      </w:r>
      <w:hyperlink r:id="rId39" w:history="1">
        <w:r w:rsidR="00A06656" w:rsidRPr="000C32D4">
          <w:rPr>
            <w:rStyle w:val="Hyperlink"/>
            <w:szCs w:val="18"/>
          </w:rPr>
          <w:t>https://scanloninstitute.org.au/mapping-social-cohesion-2025/</w:t>
        </w:r>
      </w:hyperlink>
    </w:p>
  </w:endnote>
  <w:endnote w:id="60">
    <w:p w14:paraId="76A18D22"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w:t>
      </w:r>
      <w:r w:rsidRPr="000C32D4">
        <w:t xml:space="preserve">Australian Human Rights Commission. (February 2025). </w:t>
      </w:r>
      <w:r w:rsidRPr="000C32D4">
        <w:rPr>
          <w:i/>
          <w:iCs/>
        </w:rPr>
        <w:t>Seen &amp; Heard project</w:t>
      </w:r>
      <w:r w:rsidRPr="000C32D4">
        <w:t xml:space="preserve">. </w:t>
      </w:r>
      <w:hyperlink r:id="rId40" w:history="1">
        <w:r w:rsidRPr="000C32D4">
          <w:rPr>
            <w:rStyle w:val="Hyperlink"/>
            <w:szCs w:val="18"/>
          </w:rPr>
          <w:t>https://humanrights.gov.au/resource-hub/search-all-our-publications/reports-and-projects/projects2/seen-and-heard</w:t>
        </w:r>
      </w:hyperlink>
    </w:p>
  </w:endnote>
  <w:endnote w:id="61">
    <w:p w14:paraId="2EB03D8D" w14:textId="74E81424" w:rsidR="009C373F" w:rsidRPr="000C32D4" w:rsidDel="00647FAA" w:rsidRDefault="009C373F" w:rsidP="000140A3">
      <w:r w:rsidRPr="000C32D4" w:rsidDel="00647FAA">
        <w:rPr>
          <w:rStyle w:val="EndnoteReference"/>
          <w:szCs w:val="18"/>
        </w:rPr>
        <w:endnoteRef/>
      </w:r>
      <w:r w:rsidRPr="000C32D4" w:rsidDel="00647FAA">
        <w:t xml:space="preserve"> O’Donnell, J</w:t>
      </w:r>
      <w:r w:rsidR="00FD2F62" w:rsidRPr="000C32D4">
        <w:t>.</w:t>
      </w:r>
      <w:r w:rsidRPr="000C32D4" w:rsidDel="00647FAA">
        <w:t>, Falkiner</w:t>
      </w:r>
      <w:r w:rsidR="00FD2F62" w:rsidRPr="000C32D4">
        <w:t>, A.,</w:t>
      </w:r>
      <w:r w:rsidRPr="000C32D4" w:rsidDel="00647FAA">
        <w:t xml:space="preserve"> and Szachna</w:t>
      </w:r>
      <w:r w:rsidR="00FD2F62" w:rsidRPr="000C32D4">
        <w:t>, K</w:t>
      </w:r>
      <w:r w:rsidRPr="000C32D4" w:rsidDel="00647FAA">
        <w:t xml:space="preserve">. </w:t>
      </w:r>
      <w:r w:rsidR="00FD2F62" w:rsidRPr="000C32D4">
        <w:t xml:space="preserve">(2025) </w:t>
      </w:r>
      <w:r w:rsidRPr="000C32D4" w:rsidDel="00647FAA">
        <w:t xml:space="preserve">Mapping Social Cohesion. Scanlon Foundation Research Institute, 2025. </w:t>
      </w:r>
      <w:hyperlink r:id="rId41" w:history="1">
        <w:r w:rsidR="00A06656" w:rsidRPr="000C32D4">
          <w:rPr>
            <w:rStyle w:val="Hyperlink"/>
            <w:szCs w:val="18"/>
          </w:rPr>
          <w:t>https://scanloninstitute.org.au/mapping-social-cohesion-2025/</w:t>
        </w:r>
      </w:hyperlink>
    </w:p>
  </w:endnote>
  <w:endnote w:id="62">
    <w:p w14:paraId="3A3608CA"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Royal Commission on Antisemitism and Social Cohesion. (9 January 2026). </w:t>
      </w:r>
      <w:r w:rsidRPr="000C32D4">
        <w:rPr>
          <w:i/>
          <w:iCs/>
        </w:rPr>
        <w:t>Royal Commission on Antisemitism and Social Cohesion</w:t>
      </w:r>
      <w:r w:rsidRPr="000C32D4">
        <w:t xml:space="preserve">. </w:t>
      </w:r>
      <w:hyperlink r:id="rId42" w:history="1">
        <w:r w:rsidRPr="000C32D4">
          <w:rPr>
            <w:rStyle w:val="Hyperlink"/>
            <w:szCs w:val="18"/>
          </w:rPr>
          <w:t>https://asc.royalcommission.gov.au/</w:t>
        </w:r>
      </w:hyperlink>
    </w:p>
  </w:endnote>
  <w:endnote w:id="63">
    <w:p w14:paraId="45FBFA8F"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w:t>
      </w:r>
      <w:r w:rsidRPr="000C32D4">
        <w:t xml:space="preserve">Australian Communications and Media Authority. (August 2025). </w:t>
      </w:r>
      <w:r w:rsidRPr="000C32D4">
        <w:rPr>
          <w:i/>
          <w:iCs/>
        </w:rPr>
        <w:t>Digital platforms’ efforts to combat disinformation and misinformation: 4th report to government</w:t>
      </w:r>
      <w:r w:rsidRPr="000C32D4">
        <w:t xml:space="preserve">. </w:t>
      </w:r>
      <w:hyperlink r:id="rId43" w:history="1">
        <w:r w:rsidRPr="000C32D4">
          <w:rPr>
            <w:rStyle w:val="Hyperlink"/>
            <w:szCs w:val="18"/>
          </w:rPr>
          <w:t>https://www.acma.gov.au/sites/default/files/2025-09/Digital%20platforms%20efforts%20to%20combat%20disinformation%20and%20misinformation_4th%20report%20to%20government_0.pdf</w:t>
        </w:r>
      </w:hyperlink>
    </w:p>
  </w:endnote>
  <w:endnote w:id="64">
    <w:p w14:paraId="6EC81D3B"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w:t>
      </w:r>
      <w:r w:rsidRPr="000C32D4">
        <w:t xml:space="preserve">Office of National Intelligence. (19 February 2025). </w:t>
      </w:r>
      <w:r w:rsidRPr="000C32D4">
        <w:rPr>
          <w:i/>
          <w:iCs/>
        </w:rPr>
        <w:t>ASIO annual threat assessment 2025</w:t>
      </w:r>
      <w:r w:rsidRPr="000C32D4">
        <w:t xml:space="preserve">. </w:t>
      </w:r>
      <w:hyperlink r:id="rId44" w:history="1">
        <w:r w:rsidRPr="000C32D4">
          <w:rPr>
            <w:rStyle w:val="Hyperlink"/>
            <w:szCs w:val="18"/>
          </w:rPr>
          <w:t>https://www.oni.gov.au/news/asio-annual-threat-assessment-2025</w:t>
        </w:r>
      </w:hyperlink>
      <w:r w:rsidRPr="000C32D4">
        <w:t xml:space="preserve"> </w:t>
      </w:r>
    </w:p>
  </w:endnote>
  <w:endnote w:id="65">
    <w:p w14:paraId="0E16661C" w14:textId="72D2B850" w:rsidR="009C373F" w:rsidRPr="000C32D4" w:rsidDel="00647FAA" w:rsidRDefault="009C373F" w:rsidP="000140A3">
      <w:r w:rsidRPr="000C32D4" w:rsidDel="00647FAA">
        <w:rPr>
          <w:rStyle w:val="EndnoteReference"/>
          <w:szCs w:val="18"/>
        </w:rPr>
        <w:endnoteRef/>
      </w:r>
      <w:r w:rsidRPr="000C32D4" w:rsidDel="00647FAA">
        <w:t xml:space="preserve"> O’Donnell, J</w:t>
      </w:r>
      <w:r w:rsidR="00FD2F62" w:rsidRPr="000C32D4">
        <w:t>.</w:t>
      </w:r>
      <w:r w:rsidRPr="000C32D4" w:rsidDel="00647FAA">
        <w:t>, Falkiner</w:t>
      </w:r>
      <w:r w:rsidR="00FD2F62" w:rsidRPr="000C32D4">
        <w:t>, A.,</w:t>
      </w:r>
      <w:r w:rsidRPr="000C32D4" w:rsidDel="00647FAA">
        <w:t xml:space="preserve"> and Szachna</w:t>
      </w:r>
      <w:r w:rsidR="00FD2F62" w:rsidRPr="000C32D4">
        <w:t>, K</w:t>
      </w:r>
      <w:r w:rsidRPr="000C32D4" w:rsidDel="00647FAA">
        <w:t xml:space="preserve">. </w:t>
      </w:r>
      <w:r w:rsidR="00FD2F62" w:rsidRPr="000C32D4">
        <w:t xml:space="preserve">(2025) </w:t>
      </w:r>
      <w:r w:rsidRPr="000C32D4" w:rsidDel="00647FAA">
        <w:t xml:space="preserve">Mapping Social Cohesion. Scanlon Foundation Research Institute, 2025. </w:t>
      </w:r>
      <w:hyperlink r:id="rId45" w:history="1">
        <w:r w:rsidR="00A06656" w:rsidRPr="000C32D4">
          <w:rPr>
            <w:rStyle w:val="Hyperlink"/>
            <w:szCs w:val="18"/>
          </w:rPr>
          <w:t>https://scanloninstitute.org.au/mapping-social-cohesion-2025/</w:t>
        </w:r>
      </w:hyperlink>
    </w:p>
  </w:endnote>
  <w:endnote w:id="66">
    <w:p w14:paraId="0C57F573" w14:textId="77777777" w:rsidR="009C373F" w:rsidRPr="000C32D4" w:rsidDel="00647FAA" w:rsidRDefault="009C373F" w:rsidP="000140A3">
      <w:r w:rsidRPr="000C32D4" w:rsidDel="00647FAA">
        <w:rPr>
          <w:rStyle w:val="EndnoteReference"/>
          <w:szCs w:val="18"/>
        </w:rPr>
        <w:endnoteRef/>
      </w:r>
      <w:r w:rsidRPr="000C32D4" w:rsidDel="00647FAA">
        <w:t xml:space="preserve"> Thomas, J., McCosker, A., Parkinson, S., Hegarty, K., Featherstone, D., Kennedy, J., Ormond-Parker, L., Morrison, K., Rea, H., &amp; Ganley, L. Measuring Australia’s Digital Divide: 2025 Australian Digital Inclusion Index. Melbourne: ARC Centre of Excellence for Automated Decision-Making and Society, RMIT University, Swinburne University of Technology, and Telstra. DOI: </w:t>
      </w:r>
      <w:hyperlink r:id="rId46" w:history="1">
        <w:r w:rsidRPr="000C32D4" w:rsidDel="00647FAA">
          <w:rPr>
            <w:rStyle w:val="Hyperlink"/>
            <w:szCs w:val="18"/>
          </w:rPr>
          <w:t xml:space="preserve">10.60836/mtsq-at22 </w:t>
        </w:r>
      </w:hyperlink>
      <w:r w:rsidRPr="000C32D4" w:rsidDel="00647FAA">
        <w:t xml:space="preserve"> </w:t>
      </w:r>
    </w:p>
  </w:endnote>
  <w:endnote w:id="67">
    <w:p w14:paraId="256FF5E0"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YouGov. (21 October 2025). </w:t>
      </w:r>
      <w:r w:rsidRPr="000C32D4">
        <w:rPr>
          <w:i/>
          <w:iCs/>
        </w:rPr>
        <w:t>Two in five Aussies feel lonely — and many are turning to AI</w:t>
      </w:r>
      <w:r w:rsidRPr="000C32D4">
        <w:t xml:space="preserve">. </w:t>
      </w:r>
      <w:hyperlink r:id="rId47" w:history="1">
        <w:r w:rsidRPr="000C32D4">
          <w:rPr>
            <w:rStyle w:val="Hyperlink"/>
            <w:szCs w:val="18"/>
          </w:rPr>
          <w:t>https://yougov.com/articles/53225-two-in-five-aussies-feel-lonely-and-many-are-turning-to-ai</w:t>
        </w:r>
      </w:hyperlink>
    </w:p>
  </w:endnote>
  <w:endnote w:id="68">
    <w:p w14:paraId="53385596"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Macauley, J., Bower, M., Webster, E., Harris, M., </w:t>
      </w:r>
      <w:r w:rsidRPr="000C32D4">
        <w:t xml:space="preserve">Teesson, M., &amp; Chapman, C. (2026). Health services and digital technologies used for mental health among a national cross-sectional sample of young people in Australia 2020–2022: Patterns and correlates within geographic regions. Australian &amp; New Zealand Journal of Psychiatry. </w:t>
      </w:r>
      <w:hyperlink r:id="rId48" w:history="1">
        <w:r w:rsidRPr="000C32D4">
          <w:rPr>
            <w:rStyle w:val="Hyperlink"/>
            <w:szCs w:val="18"/>
          </w:rPr>
          <w:t>https://journals.sagepub.com/doi/10.1177/00048674251389790</w:t>
        </w:r>
      </w:hyperlink>
    </w:p>
  </w:endnote>
  <w:endnote w:id="69">
    <w:p w14:paraId="333832B6" w14:textId="6BC48A12" w:rsidR="009C373F" w:rsidRPr="000C32D4" w:rsidDel="00647FAA" w:rsidRDefault="009C373F" w:rsidP="000140A3">
      <w:r w:rsidRPr="000C32D4" w:rsidDel="00647FAA">
        <w:rPr>
          <w:rStyle w:val="EndnoteReference"/>
          <w:szCs w:val="18"/>
        </w:rPr>
        <w:endnoteRef/>
      </w:r>
      <w:r w:rsidR="00FD2F62" w:rsidRPr="000C32D4">
        <w:t xml:space="preserve"> </w:t>
      </w:r>
      <w:r w:rsidRPr="000C32D4">
        <w:t xml:space="preserve">eSafety Commissioner. (July 2025). </w:t>
      </w:r>
      <w:r w:rsidRPr="000C32D4">
        <w:rPr>
          <w:i/>
          <w:iCs/>
        </w:rPr>
        <w:t>Digital use and risk: Online platform engagement, 10 to 15</w:t>
      </w:r>
      <w:r w:rsidRPr="000C32D4">
        <w:t xml:space="preserve">. </w:t>
      </w:r>
      <w:hyperlink r:id="rId49" w:history="1">
        <w:r w:rsidRPr="000C32D4">
          <w:rPr>
            <w:rStyle w:val="Hyperlink"/>
            <w:szCs w:val="18"/>
          </w:rPr>
          <w:t>https://www.esafety.gov.au/sites/default/files/2025-07/Digital-use-and-risk-Online-platform-engagement-10-to-15.pdf?v=1773369896752</w:t>
        </w:r>
      </w:hyperlink>
      <w:r w:rsidRPr="000C32D4" w:rsidDel="00B674E3">
        <w:t xml:space="preserve"> </w:t>
      </w:r>
    </w:p>
  </w:endnote>
  <w:endnote w:id="70">
    <w:p w14:paraId="0DFE3415"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Orygen. (10 December 2025). </w:t>
      </w:r>
      <w:r w:rsidRPr="000C32D4">
        <w:rPr>
          <w:i/>
          <w:iCs/>
        </w:rPr>
        <w:t>Over half of Australians exposed to self-harm and suicide-related content on social media</w:t>
      </w:r>
      <w:r w:rsidRPr="000C32D4">
        <w:t xml:space="preserve">. </w:t>
      </w:r>
      <w:hyperlink r:id="rId50" w:history="1">
        <w:r w:rsidRPr="000C32D4">
          <w:rPr>
            <w:rStyle w:val="Hyperlink"/>
            <w:szCs w:val="18"/>
          </w:rPr>
          <w:t>https://www.orygen.org.au/About/News-And-Events/2025/Over-half-of-Australians-exposed-to-self-harm-and</w:t>
        </w:r>
      </w:hyperlink>
    </w:p>
  </w:endnote>
  <w:endnote w:id="71">
    <w:p w14:paraId="6C20B370"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Therapeutic Goods Administration. (7 October 2025). </w:t>
      </w:r>
      <w:r w:rsidRPr="000C32D4">
        <w:rPr>
          <w:i/>
          <w:iCs/>
        </w:rPr>
        <w:t>TGA seeks input on digital mental health tools</w:t>
      </w:r>
      <w:r w:rsidRPr="000C32D4">
        <w:t xml:space="preserve">. </w:t>
      </w:r>
      <w:hyperlink r:id="rId51" w:history="1">
        <w:r w:rsidRPr="000C32D4">
          <w:rPr>
            <w:rStyle w:val="Hyperlink"/>
            <w:szCs w:val="18"/>
          </w:rPr>
          <w:t>https://www.tga.gov.au/news/news-articles/tga-seeks-input-digital-mental-health-tools</w:t>
        </w:r>
      </w:hyperlink>
    </w:p>
  </w:endnote>
  <w:endnote w:id="72">
    <w:p w14:paraId="3D90B72A"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Therapeutic Goods Administration. (February 2026). </w:t>
      </w:r>
      <w:r w:rsidRPr="000C32D4">
        <w:rPr>
          <w:i/>
          <w:iCs/>
        </w:rPr>
        <w:t>Artificial intelligence (AI) and medical device software regulation</w:t>
      </w:r>
      <w:r w:rsidRPr="000C32D4">
        <w:t xml:space="preserve">. </w:t>
      </w:r>
      <w:hyperlink r:id="rId52" w:history="1">
        <w:r w:rsidRPr="000C32D4">
          <w:rPr>
            <w:rStyle w:val="Hyperlink"/>
            <w:szCs w:val="18"/>
          </w:rPr>
          <w:t>https://www.tga.gov.au/products/medical-devices/software-and-artificial-intelligence-ai/manufacturing/artificial-intelligence-ai-and-medical-device-software-regulation</w:t>
        </w:r>
      </w:hyperlink>
    </w:p>
  </w:endnote>
  <w:endnote w:id="73">
    <w:p w14:paraId="73CF9A40"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Therapeutic Goods Administration. (7 October 2025). </w:t>
      </w:r>
      <w:r w:rsidRPr="000C32D4">
        <w:rPr>
          <w:i/>
          <w:iCs/>
        </w:rPr>
        <w:t>TGA seeks input on digital mental health tools</w:t>
      </w:r>
      <w:r w:rsidRPr="000C32D4">
        <w:t xml:space="preserve">. </w:t>
      </w:r>
      <w:hyperlink r:id="rId53" w:history="1">
        <w:r w:rsidRPr="000C32D4">
          <w:rPr>
            <w:rStyle w:val="Hyperlink"/>
            <w:szCs w:val="18"/>
          </w:rPr>
          <w:t>https://www.tga.gov.au/news/news-articles/tga-seeks-input-digital-mental-health-tools</w:t>
        </w:r>
      </w:hyperlink>
    </w:p>
  </w:endnote>
  <w:endnote w:id="74">
    <w:p w14:paraId="7E5D7AD6"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Department of Industry, Science and Resources. (25 November 2025). </w:t>
      </w:r>
      <w:r w:rsidRPr="000C32D4">
        <w:rPr>
          <w:i/>
          <w:iCs/>
        </w:rPr>
        <w:t>Establishment of Australian AI Safety Institute</w:t>
      </w:r>
      <w:r w:rsidRPr="000C32D4">
        <w:t xml:space="preserve">. </w:t>
      </w:r>
      <w:hyperlink r:id="rId54" w:history="1">
        <w:r w:rsidRPr="000C32D4">
          <w:rPr>
            <w:rStyle w:val="Hyperlink"/>
            <w:szCs w:val="18"/>
          </w:rPr>
          <w:t>https://www.minister.industry.gov.au/ministers/charlton/media-releases/establishment-australian-ai-safety-institute</w:t>
        </w:r>
      </w:hyperlink>
      <w:r w:rsidRPr="000C32D4">
        <w:t xml:space="preserve"> </w:t>
      </w:r>
    </w:p>
  </w:endnote>
  <w:endnote w:id="75">
    <w:p w14:paraId="633E7207"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eSafety Commissioner. (December 2025). </w:t>
      </w:r>
      <w:r w:rsidRPr="000C32D4">
        <w:rPr>
          <w:i/>
          <w:iCs/>
        </w:rPr>
        <w:t>Social media age restrictions hub</w:t>
      </w:r>
      <w:r w:rsidRPr="000C32D4">
        <w:t xml:space="preserve">. </w:t>
      </w:r>
      <w:hyperlink r:id="rId55" w:history="1">
        <w:r w:rsidRPr="000C32D4">
          <w:rPr>
            <w:rStyle w:val="Hyperlink"/>
            <w:szCs w:val="18"/>
          </w:rPr>
          <w:t>https://www.esafety.gov.au/about-us/industry-regulation/social-media-age-restrictions-hub</w:t>
        </w:r>
      </w:hyperlink>
    </w:p>
  </w:endnote>
  <w:endnote w:id="76">
    <w:p w14:paraId="6DA97458"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eSafety Commissioner. (8 September 2025). </w:t>
      </w:r>
      <w:r w:rsidRPr="000C32D4">
        <w:rPr>
          <w:i/>
          <w:iCs/>
        </w:rPr>
        <w:t>eSafety moves against services used to 'nudify' Australian school children</w:t>
      </w:r>
      <w:r w:rsidRPr="000C32D4">
        <w:t xml:space="preserve">. </w:t>
      </w:r>
      <w:hyperlink r:id="rId56" w:history="1">
        <w:r w:rsidRPr="000C32D4">
          <w:rPr>
            <w:rStyle w:val="Hyperlink"/>
            <w:szCs w:val="18"/>
          </w:rPr>
          <w:t>https://www.esafety.gov.au/newsroom/media-releases/esafety-moves-against-services-used-to-nudify-australian-school-children</w:t>
        </w:r>
      </w:hyperlink>
    </w:p>
  </w:endnote>
  <w:endnote w:id="77">
    <w:p w14:paraId="18E15333"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SafetySure. (20 October 2025). </w:t>
      </w:r>
      <w:r w:rsidRPr="000C32D4">
        <w:rPr>
          <w:i/>
          <w:iCs/>
        </w:rPr>
        <w:t>Mental health workers compensation claims Australia 2025</w:t>
      </w:r>
      <w:r w:rsidRPr="000C32D4">
        <w:t xml:space="preserve">. </w:t>
      </w:r>
      <w:hyperlink r:id="rId57" w:history="1">
        <w:r w:rsidRPr="000C32D4">
          <w:rPr>
            <w:rStyle w:val="Hyperlink"/>
            <w:szCs w:val="18"/>
          </w:rPr>
          <w:t>https://www.safetysure.com.au/research/mental-health-workplace-claims-australia-2025-statistics/</w:t>
        </w:r>
      </w:hyperlink>
    </w:p>
  </w:endnote>
  <w:endnote w:id="78">
    <w:p w14:paraId="17418F57"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Safe Work Australia. (16 October 2025). </w:t>
      </w:r>
      <w:r w:rsidRPr="000C32D4">
        <w:rPr>
          <w:i/>
          <w:iCs/>
        </w:rPr>
        <w:t>Key Work Health and Safety Statistics Australia 2025</w:t>
      </w:r>
      <w:r w:rsidRPr="000C32D4">
        <w:t xml:space="preserve">. </w:t>
      </w:r>
      <w:hyperlink r:id="rId58" w:history="1">
        <w:r w:rsidRPr="000C32D4">
          <w:rPr>
            <w:rStyle w:val="Hyperlink"/>
            <w:szCs w:val="18"/>
          </w:rPr>
          <w:t>https://data.safeworkaustralia.gov.au/insights/key-whs-statistics-australia/latest-release</w:t>
        </w:r>
      </w:hyperlink>
    </w:p>
  </w:endnote>
  <w:endnote w:id="79">
    <w:p w14:paraId="4924BED8"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w:t>
      </w:r>
      <w:r w:rsidRPr="000C32D4">
        <w:t xml:space="preserve">Australian HR Institute. (2025). </w:t>
      </w:r>
      <w:r w:rsidRPr="000C32D4">
        <w:rPr>
          <w:i/>
          <w:iCs/>
        </w:rPr>
        <w:t>Hybrid and flexible working report 2025</w:t>
      </w:r>
      <w:r w:rsidRPr="000C32D4">
        <w:t xml:space="preserve">. </w:t>
      </w:r>
      <w:hyperlink r:id="rId59" w:history="1">
        <w:r w:rsidRPr="000C32D4">
          <w:rPr>
            <w:rStyle w:val="Hyperlink"/>
            <w:szCs w:val="18"/>
          </w:rPr>
          <w:t>https://www.ahri.com.au/wp-content/uploads/Hybrid-and-Flexible-Working-Report-2025.pdf</w:t>
        </w:r>
      </w:hyperlink>
      <w:r w:rsidRPr="000C32D4">
        <w:t xml:space="preserve"> </w:t>
      </w:r>
    </w:p>
  </w:endnote>
  <w:endnote w:id="80">
    <w:p w14:paraId="21BA2DD3"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w:t>
      </w:r>
      <w:r w:rsidRPr="000C32D4">
        <w:t xml:space="preserve">Australian Psychological Society. (19 August 2025). </w:t>
      </w:r>
      <w:r w:rsidRPr="000C32D4">
        <w:rPr>
          <w:i/>
          <w:iCs/>
        </w:rPr>
        <w:t>Peak psychology body urges consideration as AI grows within Australian workplaces</w:t>
      </w:r>
      <w:r w:rsidRPr="000C32D4">
        <w:t xml:space="preserve">. </w:t>
      </w:r>
      <w:hyperlink r:id="rId60" w:history="1">
        <w:r w:rsidRPr="000C32D4">
          <w:rPr>
            <w:rStyle w:val="Hyperlink"/>
            <w:szCs w:val="18"/>
          </w:rPr>
          <w:t>https://psychology.org.au/about-us/news-and-media/media-releases/2025/peak-psychology-body-urges-consideration-as-ai-gro</w:t>
        </w:r>
      </w:hyperlink>
    </w:p>
  </w:endnote>
  <w:endnote w:id="81">
    <w:p w14:paraId="7E7CCAD2"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w:t>
      </w:r>
      <w:r w:rsidRPr="000C32D4">
        <w:t xml:space="preserve">Jobs and Skills Australia. (4 November 2025). </w:t>
      </w:r>
      <w:r w:rsidRPr="000C32D4">
        <w:rPr>
          <w:i/>
          <w:iCs/>
        </w:rPr>
        <w:t>Connecting for Impact: Jobs and Skills Report 2025</w:t>
      </w:r>
      <w:r w:rsidRPr="000C32D4">
        <w:t xml:space="preserve">. </w:t>
      </w:r>
      <w:hyperlink r:id="rId61" w:history="1">
        <w:r w:rsidRPr="000C32D4">
          <w:rPr>
            <w:rStyle w:val="Hyperlink"/>
            <w:szCs w:val="18"/>
          </w:rPr>
          <w:t>https://www.jobsandskills.gov.au/news/connecting-impact-jobs-and-skills-report-2025</w:t>
        </w:r>
      </w:hyperlink>
    </w:p>
  </w:endnote>
  <w:endnote w:id="82">
    <w:p w14:paraId="147DCBF5"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NSW Government. (27 May 2025). </w:t>
      </w:r>
      <w:r w:rsidRPr="000C32D4">
        <w:rPr>
          <w:i/>
          <w:iCs/>
        </w:rPr>
        <w:t>Protecting workers compensation for future generations</w:t>
      </w:r>
      <w:r w:rsidRPr="000C32D4">
        <w:t xml:space="preserve">. </w:t>
      </w:r>
      <w:hyperlink r:id="rId62" w:history="1">
        <w:r w:rsidRPr="000C32D4">
          <w:rPr>
            <w:rStyle w:val="Hyperlink"/>
            <w:szCs w:val="18"/>
          </w:rPr>
          <w:t>https://www.nsw.gov.au/ministerial-releases/protecting-workers-compensation-for-future-generations</w:t>
        </w:r>
      </w:hyperlink>
    </w:p>
  </w:endnote>
  <w:endnote w:id="83">
    <w:p w14:paraId="39063E9C"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Premier of Victoria. (1 October 2025). </w:t>
      </w:r>
      <w:r w:rsidRPr="000C32D4">
        <w:rPr>
          <w:i/>
          <w:iCs/>
        </w:rPr>
        <w:t>Protecting the mental health of workers in Victoria</w:t>
      </w:r>
      <w:r w:rsidRPr="000C32D4">
        <w:t xml:space="preserve">. </w:t>
      </w:r>
      <w:hyperlink r:id="rId63" w:history="1">
        <w:r w:rsidRPr="000C32D4">
          <w:rPr>
            <w:rStyle w:val="Hyperlink"/>
            <w:szCs w:val="18"/>
          </w:rPr>
          <w:t>https://www.premier.vic.gov.au/sites/default/files/2025-10/251001-Protecting-the-Mental-Health-of-Workers-in-Victoria.pdf</w:t>
        </w:r>
      </w:hyperlink>
    </w:p>
  </w:endnote>
  <w:endnote w:id="84">
    <w:p w14:paraId="3F9CC0E3"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Safe Work Australia. (2 December 2025). </w:t>
      </w:r>
      <w:r w:rsidRPr="000C32D4">
        <w:rPr>
          <w:i/>
          <w:iCs/>
        </w:rPr>
        <w:t>Best practice review: Shaping the future of Australia’s WHS model laws</w:t>
      </w:r>
      <w:r w:rsidRPr="000C32D4">
        <w:t xml:space="preserve">. </w:t>
      </w:r>
      <w:hyperlink r:id="rId64" w:history="1">
        <w:r w:rsidRPr="000C32D4">
          <w:rPr>
            <w:rStyle w:val="Hyperlink"/>
            <w:szCs w:val="18"/>
          </w:rPr>
          <w:t>https://www.safeworkaustralia.gov.au/media-centre/evidence-matters/2025/best-practice-review-shaping-future-australias-whs-model-laws</w:t>
        </w:r>
      </w:hyperlink>
    </w:p>
  </w:endnote>
  <w:endnote w:id="85">
    <w:p w14:paraId="7BA0929D"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w:t>
      </w:r>
      <w:r w:rsidRPr="000C32D4">
        <w:t xml:space="preserve">The Australian Centre for Social Innovation. (1 December 2025). </w:t>
      </w:r>
      <w:r w:rsidRPr="000C32D4">
        <w:rPr>
          <w:i/>
          <w:iCs/>
        </w:rPr>
        <w:t>Realising the potential of peer-to-peer</w:t>
      </w:r>
      <w:r w:rsidRPr="000C32D4">
        <w:t xml:space="preserve">. </w:t>
      </w:r>
      <w:hyperlink r:id="rId65" w:history="1">
        <w:r w:rsidRPr="000C32D4">
          <w:rPr>
            <w:rStyle w:val="Hyperlink"/>
            <w:szCs w:val="18"/>
          </w:rPr>
          <w:t>https://www.tacsi.org.au/our-work/project/realising-the-potential-peer-to-peer</w:t>
        </w:r>
      </w:hyperlink>
      <w:r w:rsidRPr="000C32D4">
        <w:t xml:space="preserve"> </w:t>
      </w:r>
    </w:p>
  </w:endnote>
  <w:endnote w:id="86">
    <w:p w14:paraId="5A257C2E" w14:textId="77777777" w:rsidR="009C373F" w:rsidRPr="000C32D4" w:rsidDel="00647FAA" w:rsidRDefault="009C373F" w:rsidP="000140A3">
      <w:pPr>
        <w:rPr>
          <w:lang w:val="en-AU"/>
        </w:rPr>
      </w:pPr>
      <w:r w:rsidRPr="000C32D4" w:rsidDel="00647FAA">
        <w:rPr>
          <w:rStyle w:val="EndnoteReference"/>
          <w:szCs w:val="18"/>
        </w:rPr>
        <w:endnoteRef/>
      </w:r>
      <w:r w:rsidRPr="000C32D4" w:rsidDel="00647FAA">
        <w:t xml:space="preserve"> </w:t>
      </w:r>
      <w:r w:rsidRPr="000C32D4">
        <w:t xml:space="preserve">Flourish Australia. (2025). </w:t>
      </w:r>
      <w:r w:rsidRPr="000C32D4">
        <w:rPr>
          <w:i/>
          <w:iCs/>
        </w:rPr>
        <w:t>Peer workforce framework</w:t>
      </w:r>
      <w:r w:rsidRPr="000C32D4">
        <w:t xml:space="preserve">. </w:t>
      </w:r>
      <w:hyperlink r:id="rId66" w:history="1">
        <w:r w:rsidRPr="000C32D4">
          <w:rPr>
            <w:rStyle w:val="Hyperlink"/>
            <w:szCs w:val="18"/>
          </w:rPr>
          <w:t>https://www.flourishaustralia.org.au/sites/default/files/2025-10/peer_workforce_framework_2025561.pdf</w:t>
        </w:r>
      </w:hyperlink>
    </w:p>
  </w:endnote>
  <w:endnote w:id="87">
    <w:p w14:paraId="6B19E72C" w14:textId="77777777" w:rsidR="009C373F" w:rsidRPr="000C32D4" w:rsidDel="00647FAA" w:rsidRDefault="009C373F" w:rsidP="000140A3">
      <w:pPr>
        <w:rPr>
          <w:lang w:val="en-AU"/>
        </w:rPr>
      </w:pPr>
      <w:r w:rsidRPr="000C32D4" w:rsidDel="00647FAA">
        <w:rPr>
          <w:rStyle w:val="EndnoteReference"/>
          <w:szCs w:val="18"/>
        </w:rPr>
        <w:endnoteRef/>
      </w:r>
      <w:r w:rsidRPr="000C32D4">
        <w:t xml:space="preserve">Australian Government Department of Health, Disability and Ageing (28 July 2025). </w:t>
      </w:r>
      <w:r w:rsidRPr="000C32D4">
        <w:rPr>
          <w:i/>
          <w:iCs/>
        </w:rPr>
        <w:t xml:space="preserve">Survey to inform development of the National Mental Health and Suicide Prevention Peer Workforce Association. </w:t>
      </w:r>
      <w:hyperlink r:id="rId67" w:history="1">
        <w:r w:rsidRPr="000C32D4">
          <w:rPr>
            <w:rStyle w:val="Hyperlink"/>
            <w:szCs w:val="18"/>
          </w:rPr>
          <w:t>Survey to inform development of the National Mental Health and Suicide Prevention Peer Workforce Association - Australian Government Department of Health, Disability and Ageing - Citizen Space</w:t>
        </w:r>
      </w:hyperlink>
      <w:r w:rsidRPr="000C32D4" w:rsidDel="00563A2F">
        <w:t xml:space="preserve"> </w:t>
      </w:r>
    </w:p>
  </w:endnote>
  <w:endnote w:id="88">
    <w:p w14:paraId="5BC6637E"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Government Department of Health, Disability and Ageing. (25 March 2025). </w:t>
      </w:r>
      <w:r w:rsidRPr="000C32D4">
        <w:rPr>
          <w:i/>
          <w:iCs/>
        </w:rPr>
        <w:t>Budget 2025–26: Building a stronger Medicare with a history-making health Budget</w:t>
      </w:r>
      <w:r w:rsidRPr="000C32D4">
        <w:t xml:space="preserve">. </w:t>
      </w:r>
      <w:hyperlink r:id="rId68" w:history="1">
        <w:r w:rsidRPr="000C32D4">
          <w:rPr>
            <w:rStyle w:val="Hyperlink"/>
            <w:szCs w:val="18"/>
          </w:rPr>
          <w:t>https://www.health.gov.au/ministers/the-hon-mark-butler-mp/media/budget-2025-26-building-a-stronger-medicare-with-a-history-making-health-budget</w:t>
        </w:r>
      </w:hyperlink>
    </w:p>
  </w:endnote>
  <w:endnote w:id="89">
    <w:p w14:paraId="64E3B0D0"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Government. (17 December 2025). </w:t>
      </w:r>
      <w:r w:rsidRPr="000C32D4">
        <w:rPr>
          <w:i/>
          <w:iCs/>
        </w:rPr>
        <w:t>Mid-Year Economic and Fiscal Outlook: Budget 2025–26</w:t>
      </w:r>
      <w:r w:rsidRPr="000C32D4">
        <w:t xml:space="preserve">. </w:t>
      </w:r>
      <w:hyperlink r:id="rId69" w:history="1">
        <w:r w:rsidRPr="000C32D4">
          <w:rPr>
            <w:rStyle w:val="Hyperlink"/>
            <w:szCs w:val="18"/>
          </w:rPr>
          <w:t>https://budget.gov.au/content/myefo/index.htm</w:t>
        </w:r>
      </w:hyperlink>
    </w:p>
  </w:endnote>
  <w:endnote w:id="90">
    <w:p w14:paraId="0E0305D0"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Government Department of Health, Disability and Ageing. (9 October 2025). </w:t>
      </w:r>
      <w:r w:rsidRPr="000C32D4">
        <w:rPr>
          <w:i/>
          <w:iCs/>
        </w:rPr>
        <w:t>National headspace Day: Funding boost to improve headspace services</w:t>
      </w:r>
      <w:r w:rsidRPr="000C32D4">
        <w:t xml:space="preserve">. </w:t>
      </w:r>
      <w:hyperlink r:id="rId70" w:history="1">
        <w:r w:rsidRPr="000C32D4">
          <w:rPr>
            <w:rStyle w:val="Hyperlink"/>
            <w:szCs w:val="18"/>
          </w:rPr>
          <w:t>https://www.health.gov.au/ministers/the-hon-emma-mcbride-mp/media/national-headspace-day-funding-boost-to-improve-headspace-services</w:t>
        </w:r>
      </w:hyperlink>
    </w:p>
  </w:endnote>
  <w:endnote w:id="91">
    <w:p w14:paraId="2502C5C5"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Government Department of Health, Disability and Ageing. (18 October 2025). </w:t>
      </w:r>
      <w:r w:rsidRPr="000C32D4">
        <w:rPr>
          <w:i/>
          <w:iCs/>
        </w:rPr>
        <w:t>50 Medicare Mental Health Centre opens in Campbelltown</w:t>
      </w:r>
      <w:r w:rsidRPr="000C32D4">
        <w:t xml:space="preserve">. </w:t>
      </w:r>
      <w:hyperlink r:id="rId71" w:history="1">
        <w:r w:rsidRPr="000C32D4">
          <w:rPr>
            <w:rStyle w:val="Hyperlink"/>
            <w:szCs w:val="18"/>
          </w:rPr>
          <w:t>https://www.health.gov.au/ministers/the-hon-emma-mcbride-mp/media/50-medicare-mental-health-centre-opens-in-campbelltown</w:t>
        </w:r>
      </w:hyperlink>
    </w:p>
  </w:endnote>
  <w:endnote w:id="92">
    <w:p w14:paraId="7669DBCC"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Australian Government Department of Health, Disability and Ageing. (13 October 2025). </w:t>
      </w:r>
      <w:r w:rsidRPr="000C32D4">
        <w:rPr>
          <w:i/>
          <w:iCs/>
        </w:rPr>
        <w:t>Now available – National Standards for Counsellors and Psychotherapists</w:t>
      </w:r>
      <w:r w:rsidRPr="000C32D4">
        <w:t xml:space="preserve">. </w:t>
      </w:r>
      <w:hyperlink r:id="rId72" w:history="1">
        <w:r w:rsidRPr="000C32D4">
          <w:rPr>
            <w:rStyle w:val="Hyperlink"/>
            <w:szCs w:val="18"/>
          </w:rPr>
          <w:t>https://www.health.gov.au/news/now-available-national-standards-for-counsellors-and-psychotherapists?language=en</w:t>
        </w:r>
      </w:hyperlink>
    </w:p>
  </w:endnote>
  <w:endnote w:id="93">
    <w:p w14:paraId="56221B04"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Psychology Board of Australia. (1 December 2025). </w:t>
      </w:r>
      <w:r w:rsidRPr="000C32D4">
        <w:rPr>
          <w:i/>
          <w:iCs/>
        </w:rPr>
        <w:t>Psychologists to maintain high standards under new requirements</w:t>
      </w:r>
      <w:r w:rsidRPr="000C32D4">
        <w:t xml:space="preserve">. </w:t>
      </w:r>
      <w:hyperlink r:id="rId73" w:history="1">
        <w:r w:rsidRPr="000C32D4">
          <w:rPr>
            <w:rStyle w:val="Hyperlink"/>
            <w:szCs w:val="18"/>
          </w:rPr>
          <w:t>https://www.psychologyboard.gov.au/News/2025-12-01-Psychologists-Code-of-conduct.aspx</w:t>
        </w:r>
      </w:hyperlink>
    </w:p>
  </w:endnote>
  <w:endnote w:id="94">
    <w:p w14:paraId="757356AB" w14:textId="18F5CF33" w:rsidR="009C373F" w:rsidRPr="000C32D4" w:rsidDel="00647FAA" w:rsidRDefault="009C373F" w:rsidP="000140A3">
      <w:r w:rsidRPr="000C32D4" w:rsidDel="00647FAA">
        <w:rPr>
          <w:rStyle w:val="EndnoteReference"/>
          <w:szCs w:val="18"/>
        </w:rPr>
        <w:endnoteRef/>
      </w:r>
      <w:r w:rsidRPr="000C32D4" w:rsidDel="00647FAA">
        <w:t xml:space="preserve"> </w:t>
      </w:r>
      <w:r w:rsidR="00A06656" w:rsidRPr="000C32D4">
        <w:t xml:space="preserve">National Suicide Prevention Office, (January 2025). Accessed from: </w:t>
      </w:r>
      <w:hyperlink r:id="rId74" w:history="1">
        <w:r w:rsidR="00A06656" w:rsidRPr="000C32D4">
          <w:rPr>
            <w:rStyle w:val="Hyperlink"/>
            <w:szCs w:val="18"/>
          </w:rPr>
          <w:t>https://www.mentalhealthcommission.gov.au/national-suicide-prevention-strategy</w:t>
        </w:r>
      </w:hyperlink>
    </w:p>
  </w:endnote>
  <w:endnote w:id="95">
    <w:p w14:paraId="64D0E5BD" w14:textId="77777777" w:rsidR="009C373F" w:rsidRPr="000C32D4" w:rsidDel="00647FAA" w:rsidRDefault="009C373F" w:rsidP="000140A3">
      <w:r w:rsidRPr="000C32D4" w:rsidDel="00647FAA">
        <w:rPr>
          <w:rStyle w:val="EndnoteReference"/>
          <w:szCs w:val="18"/>
        </w:rPr>
        <w:endnoteRef/>
      </w:r>
      <w:r w:rsidRPr="000C32D4" w:rsidDel="00647FAA">
        <w:t xml:space="preserve"> </w:t>
      </w:r>
      <w:r w:rsidRPr="000C32D4">
        <w:t xml:space="preserve"> Australian Government Department of Health, Disability and Ageing. (20 February 2025). </w:t>
      </w:r>
      <w:r w:rsidRPr="000C32D4">
        <w:rPr>
          <w:i/>
          <w:iCs/>
        </w:rPr>
        <w:t>National Suicide Prevention Strategy and $69 million for suicide prevention initiatives</w:t>
      </w:r>
      <w:r w:rsidRPr="000C32D4">
        <w:t xml:space="preserve">. </w:t>
      </w:r>
      <w:hyperlink r:id="rId75" w:history="1">
        <w:r w:rsidRPr="000C32D4">
          <w:rPr>
            <w:rStyle w:val="Hyperlink"/>
            <w:szCs w:val="18"/>
          </w:rPr>
          <w:t>https://www.health.gov.au/ministers/the-hon-mark-butler-mp/media/national-suicide-prevention-strategy-and-69-million-for-suicide-prevention-initiatives?language=en</w:t>
        </w:r>
      </w:hyperlink>
    </w:p>
  </w:endnote>
  <w:endnote w:id="96">
    <w:p w14:paraId="3D0A7B05" w14:textId="2CBB79A6" w:rsidR="009C373F" w:rsidRPr="000C32D4" w:rsidDel="00647FAA" w:rsidRDefault="009C373F" w:rsidP="000140A3">
      <w:r w:rsidRPr="000C32D4" w:rsidDel="00647FAA">
        <w:rPr>
          <w:rStyle w:val="EndnoteReference"/>
          <w:szCs w:val="18"/>
        </w:rPr>
        <w:endnoteRef/>
      </w:r>
      <w:r w:rsidRPr="000C32D4" w:rsidDel="00647FAA">
        <w:t xml:space="preserve"> </w:t>
      </w:r>
      <w:r w:rsidR="00D407EF" w:rsidRPr="000C32D4">
        <w:t>Productivity Commission, Inquiry Report, Mental Health and Suicide Prevention Review, 2025</w:t>
      </w:r>
      <w:r w:rsidR="000C32D4">
        <w:t xml:space="preserve">. </w:t>
      </w:r>
      <w:hyperlink r:id="rId76" w:history="1">
        <w:r w:rsidR="00D407EF" w:rsidRPr="000C32D4">
          <w:rPr>
            <w:rStyle w:val="Hyperlink"/>
            <w:szCs w:val="18"/>
          </w:rPr>
          <w:t>https://www.pc.gov.au/inquiries-and-research/mental-health-review/report/</w:t>
        </w:r>
      </w:hyperlink>
      <w:r w:rsidR="00D407EF" w:rsidRPr="000C32D4">
        <w:t xml:space="preserve"> </w:t>
      </w:r>
    </w:p>
  </w:endnote>
  <w:endnote w:id="97">
    <w:p w14:paraId="53609080" w14:textId="3C507431" w:rsidR="009C1A77" w:rsidRPr="000C32D4" w:rsidRDefault="009C1A77" w:rsidP="000140A3">
      <w:r w:rsidRPr="000C32D4">
        <w:rPr>
          <w:rStyle w:val="EndnoteReference"/>
          <w:szCs w:val="18"/>
        </w:rPr>
        <w:endnoteRef/>
      </w:r>
      <w:r w:rsidRPr="000C32D4">
        <w:t xml:space="preserve"> ABS, 2025, General Social Survey</w:t>
      </w:r>
      <w:r w:rsidR="00EA7234" w:rsidRPr="000C32D4">
        <w:t>.</w:t>
      </w:r>
      <w:r w:rsidRPr="000C32D4">
        <w:t xml:space="preserve"> </w:t>
      </w:r>
    </w:p>
  </w:endnote>
  <w:endnote w:id="98">
    <w:p w14:paraId="3A944EAD" w14:textId="77777777" w:rsidR="009C1A77" w:rsidRPr="000C32D4" w:rsidRDefault="009C1A77" w:rsidP="000140A3">
      <w:r w:rsidRPr="000C32D4">
        <w:rPr>
          <w:rStyle w:val="EndnoteReference"/>
          <w:szCs w:val="18"/>
        </w:rPr>
        <w:endnoteRef/>
      </w:r>
      <w:r w:rsidRPr="000C32D4">
        <w:t xml:space="preserve"> ABS, 2025 General Social Survey.</w:t>
      </w:r>
    </w:p>
  </w:endnote>
  <w:endnote w:id="99">
    <w:p w14:paraId="4B4E8BAF" w14:textId="7D526C9A" w:rsidR="00544F28" w:rsidRPr="007140DC" w:rsidRDefault="00544F28">
      <w:pPr>
        <w:pStyle w:val="EndnoteText"/>
        <w:rPr>
          <w:sz w:val="18"/>
          <w:szCs w:val="18"/>
          <w:lang w:val="en-AU"/>
        </w:rPr>
      </w:pPr>
      <w:r w:rsidRPr="000C32D4">
        <w:rPr>
          <w:rStyle w:val="EndnoteReference"/>
        </w:rPr>
        <w:endnoteRef/>
      </w:r>
      <w:r w:rsidRPr="000C32D4">
        <w:t xml:space="preserve"> </w:t>
      </w:r>
      <w:r w:rsidRPr="007140DC">
        <w:rPr>
          <w:sz w:val="18"/>
          <w:szCs w:val="18"/>
        </w:rPr>
        <w:t xml:space="preserve">The Royal Australian College of General Practitioners. General Practice: Health of the Nation 2025. East Melbourne, Vic: RACGP, 2025. </w:t>
      </w:r>
      <w:hyperlink r:id="rId77" w:history="1">
        <w:r w:rsidRPr="007140DC">
          <w:rPr>
            <w:rStyle w:val="Hyperlink"/>
            <w:sz w:val="18"/>
            <w:szCs w:val="18"/>
          </w:rPr>
          <w:t>https://www.racgp.org.au/general-practice-health-of-the-nation</w:t>
        </w:r>
      </w:hyperlink>
    </w:p>
  </w:endnote>
  <w:endnote w:id="100">
    <w:p w14:paraId="40CF2B7C" w14:textId="431CE662" w:rsidR="00323E2A" w:rsidRPr="007140DC" w:rsidRDefault="00323E2A" w:rsidP="004E5D44">
      <w:pPr>
        <w:rPr>
          <w:u w:val="single"/>
        </w:rPr>
      </w:pPr>
      <w:r w:rsidRPr="000C32D4">
        <w:rPr>
          <w:rStyle w:val="EndnoteReference"/>
          <w:szCs w:val="18"/>
        </w:rPr>
        <w:endnoteRef/>
      </w:r>
      <w:r w:rsidRPr="000C32D4">
        <w:t xml:space="preserve"> December 2025, AIHW, Australian Burden of Disease Study. Accessed from: </w:t>
      </w:r>
      <w:hyperlink r:id="rId78" w:history="1">
        <w:r w:rsidRPr="007140DC">
          <w:rPr>
            <w:rStyle w:val="Hyperlink"/>
            <w:color w:val="545A60" w:themeColor="accent3"/>
          </w:rPr>
          <w:t>https://www.aihw.gov.au/reports/burden-of-disease/australian-burden-of-disease-study-2024/contents/summary</w:t>
        </w:r>
      </w:hyperlink>
    </w:p>
  </w:endnote>
  <w:endnote w:id="101">
    <w:p w14:paraId="0D814C86" w14:textId="77777777" w:rsidR="007056E8" w:rsidRPr="000C32D4" w:rsidRDefault="007056E8" w:rsidP="00CB7D6A">
      <w:r w:rsidRPr="000C32D4">
        <w:rPr>
          <w:rStyle w:val="EndnoteReference"/>
          <w:szCs w:val="18"/>
        </w:rPr>
        <w:endnoteRef/>
      </w:r>
      <w:r w:rsidRPr="000C32D4">
        <w:t xml:space="preserve"> </w:t>
      </w:r>
      <w:r w:rsidRPr="000C32D4">
        <w:rPr>
          <w:shd w:val="clear" w:color="auto" w:fill="FFFFFF"/>
        </w:rPr>
        <w:t>Teesson M, Whiteford H, Bower M, et al. Policy implications of the 2020–22 Australian study of mental health and wellbeing. </w:t>
      </w:r>
      <w:r w:rsidRPr="000C32D4">
        <w:rPr>
          <w:i/>
          <w:iCs/>
          <w:shd w:val="clear" w:color="auto" w:fill="FFFFFF"/>
        </w:rPr>
        <w:t>Australian &amp; New Zealand Journal of Psychiatry</w:t>
      </w:r>
      <w:r w:rsidRPr="000C32D4">
        <w:rPr>
          <w:shd w:val="clear" w:color="auto" w:fill="FFFFFF"/>
        </w:rPr>
        <w:t>. 2025;59(6):485-492. doi:</w:t>
      </w:r>
      <w:hyperlink r:id="rId79" w:history="1">
        <w:r w:rsidRPr="000C32D4">
          <w:rPr>
            <w:rStyle w:val="Hyperlink"/>
          </w:rPr>
          <w:t>10.1177/00048674241292961</w:t>
        </w:r>
      </w:hyperlink>
    </w:p>
  </w:endnote>
  <w:endnote w:id="102">
    <w:p w14:paraId="450E4836" w14:textId="77777777" w:rsidR="00B12401" w:rsidRPr="000C32D4" w:rsidRDefault="00B12401" w:rsidP="004E5D44">
      <w:r w:rsidRPr="000C32D4">
        <w:rPr>
          <w:rStyle w:val="EndnoteReference"/>
        </w:rPr>
        <w:endnoteRef/>
      </w:r>
      <w:r w:rsidRPr="000C32D4">
        <w:rPr>
          <w:vertAlign w:val="superscript"/>
        </w:rPr>
        <w:t xml:space="preserve"> </w:t>
      </w:r>
      <w:r w:rsidRPr="000C32D4">
        <w:t>Pirkis J, Gunnell D, Hawton K, Hetrick S, Niederkrotenthaler T, Sinyor M, Yip PS, Robinson J. A Public Health, Whole-of-Government Approach to National Suicide Prevention Strategies. Crisis. 2023 March 24;44(2) doi:10.1027/0227-5910/a000902.</w:t>
      </w:r>
    </w:p>
  </w:endnote>
  <w:endnote w:id="103">
    <w:p w14:paraId="7CE537FF" w14:textId="76A9FF52" w:rsidR="00173279" w:rsidRPr="007140DC" w:rsidRDefault="00173279" w:rsidP="007140DC">
      <w:pPr>
        <w:pStyle w:val="EndnoteText"/>
        <w:spacing w:line="276" w:lineRule="auto"/>
        <w:rPr>
          <w:lang w:val="en-AU"/>
        </w:rPr>
      </w:pPr>
      <w:r w:rsidRPr="007140DC">
        <w:rPr>
          <w:rStyle w:val="EndnoteReference"/>
          <w:sz w:val="18"/>
          <w:szCs w:val="22"/>
        </w:rPr>
        <w:endnoteRef/>
      </w:r>
      <w:r w:rsidRPr="007140DC">
        <w:rPr>
          <w:rStyle w:val="EndnoteReference"/>
          <w:sz w:val="18"/>
          <w:szCs w:val="22"/>
        </w:rPr>
        <w:t xml:space="preserve"> </w:t>
      </w:r>
      <w:r w:rsidRPr="007140DC">
        <w:rPr>
          <w:sz w:val="18"/>
          <w:szCs w:val="22"/>
        </w:rPr>
        <w:t>Commonwealth of Australia. National Strategic Framework for Aboriginal and Torres Strait Islander Peoples’ Mental Health and Social and E</w:t>
      </w:r>
      <w:r w:rsidRPr="007140DC">
        <w:rPr>
          <w:sz w:val="18"/>
          <w:szCs w:val="18"/>
        </w:rPr>
        <w:t>motional Wellbeing 2017-2023</w:t>
      </w:r>
      <w:r w:rsidRPr="00773342">
        <w:rPr>
          <w:sz w:val="18"/>
          <w:szCs w:val="18"/>
        </w:rPr>
        <w:t xml:space="preserve">. </w:t>
      </w:r>
      <w:r w:rsidRPr="007140DC">
        <w:rPr>
          <w:sz w:val="18"/>
          <w:szCs w:val="18"/>
        </w:rPr>
        <w:t>Canberra: Department of the Prime Minister and Cabinet; 2017.</w:t>
      </w:r>
      <w:r w:rsidRPr="007140DC">
        <w:rPr>
          <w:sz w:val="18"/>
          <w:szCs w:val="18"/>
          <w:lang w:val="en-AU"/>
        </w:rPr>
        <w:t xml:space="preserve"> </w:t>
      </w:r>
      <w:hyperlink r:id="rId80" w:history="1">
        <w:r w:rsidRPr="007140DC">
          <w:rPr>
            <w:rStyle w:val="Hyperlink"/>
            <w:sz w:val="18"/>
            <w:szCs w:val="18"/>
            <w:lang w:val="en-AU"/>
          </w:rPr>
          <w:t>https://www.niaa.gov.au/sites/default/files/documents/publications/mhsewb-framework_0.pdf</w:t>
        </w:r>
      </w:hyperlink>
    </w:p>
  </w:endnote>
  <w:endnote w:id="104">
    <w:p w14:paraId="51A359C7" w14:textId="0C14605B" w:rsidR="00773342" w:rsidRPr="007140DC" w:rsidRDefault="00773342">
      <w:pPr>
        <w:pStyle w:val="EndnoteText"/>
        <w:rPr>
          <w:lang w:val="en-AU"/>
        </w:rPr>
      </w:pPr>
      <w:r w:rsidRPr="007140DC">
        <w:rPr>
          <w:rStyle w:val="EndnoteReference"/>
          <w:sz w:val="18"/>
          <w:szCs w:val="22"/>
        </w:rPr>
        <w:endnoteRef/>
      </w:r>
      <w:r w:rsidRPr="00773342">
        <w:t xml:space="preserve"> </w:t>
      </w:r>
      <w:r w:rsidRPr="007140DC">
        <w:rPr>
          <w:sz w:val="18"/>
          <w:szCs w:val="18"/>
          <w:lang w:val="en-AU"/>
        </w:rPr>
        <w:t>Gay</w:t>
      </w:r>
      <w:r w:rsidRPr="007140DC">
        <w:rPr>
          <w:sz w:val="18"/>
          <w:szCs w:val="18"/>
        </w:rPr>
        <w:t xml:space="preserve">aa </w:t>
      </w:r>
      <w:r w:rsidRPr="007140DC">
        <w:rPr>
          <w:sz w:val="18"/>
          <w:szCs w:val="18"/>
        </w:rPr>
        <w:t xml:space="preserve">Dhuwi (Proud Spirit) Australia, Gayaa Dhuwi (Proud Spirit) Declaration.  </w:t>
      </w:r>
      <w:hyperlink r:id="rId81" w:history="1">
        <w:r w:rsidRPr="007140DC">
          <w:rPr>
            <w:rStyle w:val="Hyperlink"/>
            <w:sz w:val="18"/>
            <w:szCs w:val="18"/>
          </w:rPr>
          <w:t>https://www.gayaadhuwi.org.au/gayaa-dhuwi-declaration</w:t>
        </w:r>
      </w:hyperlink>
    </w:p>
  </w:endnote>
  <w:endnote w:id="105">
    <w:p w14:paraId="32C5FD5A" w14:textId="12D99251" w:rsidR="00773342" w:rsidRPr="007140DC" w:rsidRDefault="00773342">
      <w:pPr>
        <w:pStyle w:val="EndnoteText"/>
        <w:rPr>
          <w:sz w:val="18"/>
          <w:szCs w:val="18"/>
          <w:lang w:val="en-AU"/>
        </w:rPr>
      </w:pPr>
      <w:r w:rsidRPr="007140DC">
        <w:rPr>
          <w:rStyle w:val="EndnoteReference"/>
          <w:sz w:val="18"/>
          <w:szCs w:val="22"/>
        </w:rPr>
        <w:endnoteRef/>
      </w:r>
      <w:r w:rsidRPr="007140DC">
        <w:rPr>
          <w:rStyle w:val="EndnoteReference"/>
          <w:sz w:val="18"/>
          <w:szCs w:val="22"/>
        </w:rPr>
        <w:t xml:space="preserve"> </w:t>
      </w:r>
      <w:r>
        <w:rPr>
          <w:sz w:val="18"/>
          <w:szCs w:val="18"/>
        </w:rPr>
        <w:t xml:space="preserve">Gayaa Dhuwi (Proud Spirit) Australia), </w:t>
      </w:r>
      <w:r w:rsidRPr="007140DC">
        <w:rPr>
          <w:sz w:val="18"/>
          <w:szCs w:val="18"/>
        </w:rPr>
        <w:t>Gayaa Dhuwi (Proud Spirit) Implementation Framework and Plan (February 2025)</w:t>
      </w:r>
      <w:r>
        <w:rPr>
          <w:sz w:val="18"/>
          <w:szCs w:val="18"/>
        </w:rPr>
        <w:t>.</w:t>
      </w:r>
      <w:r w:rsidRPr="007140DC">
        <w:rPr>
          <w:sz w:val="18"/>
          <w:szCs w:val="18"/>
        </w:rPr>
        <w:t xml:space="preserve"> </w:t>
      </w:r>
      <w:hyperlink r:id="rId82" w:history="1">
        <w:r>
          <w:rPr>
            <w:rStyle w:val="Hyperlink"/>
            <w:sz w:val="18"/>
            <w:szCs w:val="18"/>
          </w:rPr>
          <w:t>https://www.health.gov.au/sites/default/files/2025-03/gayaa-dhuwi-proud-spirit-declaration-framework-and-implementation-plan.pdf</w:t>
        </w:r>
      </w:hyperlink>
      <w:r w:rsidR="004758A4">
        <w:rPr>
          <w:sz w:val="18"/>
          <w:szCs w:val="18"/>
        </w:rPr>
        <w:t xml:space="preserve"> </w:t>
      </w:r>
    </w:p>
  </w:endnote>
  <w:endnote w:id="106">
    <w:p w14:paraId="5E2AF5D2" w14:textId="29972D99" w:rsidR="00773342" w:rsidRPr="007140DC" w:rsidRDefault="00773342">
      <w:pPr>
        <w:pStyle w:val="EndnoteText"/>
        <w:rPr>
          <w:rFonts w:ascii="Aptos" w:hAnsi="Aptos"/>
          <w:lang w:val="en-AU"/>
        </w:rPr>
      </w:pPr>
      <w:r w:rsidRPr="007140DC">
        <w:rPr>
          <w:rStyle w:val="EndnoteReference"/>
          <w:sz w:val="18"/>
          <w:szCs w:val="22"/>
        </w:rPr>
        <w:endnoteRef/>
      </w:r>
      <w:r w:rsidRPr="007140DC">
        <w:rPr>
          <w:rStyle w:val="EndnoteReference"/>
          <w:sz w:val="18"/>
          <w:szCs w:val="22"/>
        </w:rPr>
        <w:t xml:space="preserve"> </w:t>
      </w:r>
      <w:r w:rsidRPr="007140DC">
        <w:rPr>
          <w:sz w:val="18"/>
          <w:szCs w:val="18"/>
        </w:rPr>
        <w:t>Australian Human Rights Commission</w:t>
      </w:r>
      <w:r w:rsidR="00C41EA8">
        <w:rPr>
          <w:sz w:val="18"/>
          <w:szCs w:val="18"/>
        </w:rPr>
        <w:t>. (</w:t>
      </w:r>
      <w:r w:rsidR="004758A4" w:rsidRPr="007140DC">
        <w:rPr>
          <w:sz w:val="18"/>
          <w:szCs w:val="18"/>
        </w:rPr>
        <w:t>2026</w:t>
      </w:r>
      <w:r w:rsidR="00C41EA8">
        <w:rPr>
          <w:sz w:val="18"/>
          <w:szCs w:val="18"/>
        </w:rPr>
        <w:t>).</w:t>
      </w:r>
      <w:r w:rsidRPr="007140DC">
        <w:rPr>
          <w:sz w:val="18"/>
          <w:szCs w:val="18"/>
        </w:rPr>
        <w:t xml:space="preserve"> </w:t>
      </w:r>
      <w:hyperlink r:id="rId83" w:history="1">
        <w:r w:rsidRPr="007140DC">
          <w:rPr>
            <w:rStyle w:val="Hyperlink"/>
            <w:sz w:val="18"/>
            <w:szCs w:val="18"/>
          </w:rPr>
          <w:t>Aboriginal and Torres Strait Islander Peoples' Rights Australia</w:t>
        </w:r>
      </w:hyperlink>
      <w:r w:rsidRPr="007140DC">
        <w:rPr>
          <w:sz w:val="18"/>
          <w:szCs w:val="18"/>
        </w:rPr>
        <w:t>.</w:t>
      </w:r>
    </w:p>
  </w:endnote>
  <w:endnote w:id="107">
    <w:p w14:paraId="1390D9F0" w14:textId="5F0C473A" w:rsidR="00C41EA8" w:rsidRPr="007140DC" w:rsidRDefault="00C41EA8">
      <w:pPr>
        <w:pStyle w:val="EndnoteText"/>
        <w:rPr>
          <w:rFonts w:ascii="Aptos" w:hAnsi="Aptos"/>
          <w:lang w:val="en-AU"/>
        </w:rPr>
      </w:pPr>
      <w:r w:rsidRPr="007140DC">
        <w:rPr>
          <w:rStyle w:val="EndnoteReference"/>
          <w:sz w:val="18"/>
          <w:szCs w:val="22"/>
        </w:rPr>
        <w:endnoteRef/>
      </w:r>
      <w:r w:rsidRPr="007140DC">
        <w:rPr>
          <w:rStyle w:val="EndnoteReference"/>
          <w:sz w:val="18"/>
          <w:szCs w:val="22"/>
        </w:rPr>
        <w:t xml:space="preserve"> </w:t>
      </w:r>
      <w:r w:rsidRPr="007140DC">
        <w:rPr>
          <w:sz w:val="18"/>
          <w:szCs w:val="18"/>
        </w:rPr>
        <w:t xml:space="preserve">Productivity Commission (November 2025), Mental Health and Suicide Prevention Agreement Review. </w:t>
      </w:r>
      <w:hyperlink r:id="rId84" w:history="1">
        <w:r w:rsidRPr="007140DC">
          <w:rPr>
            <w:rStyle w:val="Hyperlink"/>
            <w:sz w:val="18"/>
            <w:szCs w:val="18"/>
          </w:rPr>
          <w:t>https://www.pc.gov.au/inquiries-and-research/mental-health-review/report/</w:t>
        </w:r>
      </w:hyperlink>
    </w:p>
  </w:endnote>
  <w:endnote w:id="108">
    <w:p w14:paraId="696AD38F" w14:textId="46BF2467" w:rsidR="008028A6" w:rsidRPr="000C32D4" w:rsidRDefault="008028A6" w:rsidP="004E5D44">
      <w:r w:rsidRPr="00173279">
        <w:rPr>
          <w:rStyle w:val="EndnoteReference"/>
        </w:rPr>
        <w:endnoteRef/>
      </w:r>
      <w:r w:rsidRPr="00173279">
        <w:t xml:space="preserve"> AIHW analysis of survey data from the </w:t>
      </w:r>
      <w:r w:rsidRPr="00173279">
        <w:rPr>
          <w:i/>
          <w:iCs/>
        </w:rPr>
        <w:t xml:space="preserve">Household, Income and Labour Dynamics in Australia Survey (HILDA), Waves </w:t>
      </w:r>
      <w:r w:rsidR="00EF1201" w:rsidRPr="00173279">
        <w:rPr>
          <w:i/>
          <w:iCs/>
        </w:rPr>
        <w:t>11</w:t>
      </w:r>
      <w:r w:rsidRPr="00173279">
        <w:rPr>
          <w:i/>
          <w:iCs/>
        </w:rPr>
        <w:t>-24</w:t>
      </w:r>
      <w:r w:rsidRPr="00173279">
        <w:t>. Melbourne Institute of Applied Economic and Social Research.</w:t>
      </w:r>
    </w:p>
  </w:endnote>
  <w:endnote w:id="109">
    <w:p w14:paraId="42430DE2" w14:textId="2DE4655A" w:rsidR="008028A6" w:rsidRPr="000C32D4" w:rsidRDefault="008028A6" w:rsidP="004E5D44">
      <w:r w:rsidRPr="000C32D4">
        <w:rPr>
          <w:rStyle w:val="EndnoteReference"/>
        </w:rPr>
        <w:endnoteRef/>
      </w:r>
      <w:r w:rsidRPr="000C32D4">
        <w:t xml:space="preserve"> AIHW analysis of survey data from the </w:t>
      </w:r>
      <w:r w:rsidRPr="000C32D4">
        <w:rPr>
          <w:i/>
          <w:iCs/>
        </w:rPr>
        <w:t xml:space="preserve">Household, Income and Labour Dynamics in Australia Survey (HILDA), Waves </w:t>
      </w:r>
      <w:r w:rsidR="00EF1201" w:rsidRPr="000C32D4">
        <w:rPr>
          <w:i/>
          <w:iCs/>
        </w:rPr>
        <w:t>11</w:t>
      </w:r>
      <w:r w:rsidRPr="000C32D4">
        <w:rPr>
          <w:i/>
          <w:iCs/>
        </w:rPr>
        <w:t>-24</w:t>
      </w:r>
      <w:r w:rsidRPr="000C32D4">
        <w:t>. Melbourne Institute of Applied Economic and Social Research.</w:t>
      </w:r>
    </w:p>
  </w:endnote>
  <w:endnote w:id="110">
    <w:p w14:paraId="21787763" w14:textId="77777777" w:rsidR="008028A6" w:rsidRPr="000C32D4" w:rsidRDefault="008028A6" w:rsidP="004E5D44">
      <w:r w:rsidRPr="000C32D4">
        <w:rPr>
          <w:rStyle w:val="EndnoteReference"/>
        </w:rPr>
        <w:endnoteRef/>
      </w:r>
      <w:r w:rsidRPr="000C32D4">
        <w:t xml:space="preserve"> ABS, 2025 General Social Survey.</w:t>
      </w:r>
    </w:p>
  </w:endnote>
  <w:endnote w:id="111">
    <w:p w14:paraId="2588D41A" w14:textId="5047D033" w:rsidR="008028A6" w:rsidRPr="000C32D4" w:rsidRDefault="008028A6" w:rsidP="004E5D44">
      <w:r w:rsidRPr="000C32D4">
        <w:rPr>
          <w:rStyle w:val="EndnoteReference"/>
        </w:rPr>
        <w:endnoteRef/>
      </w:r>
      <w:r w:rsidRPr="000C32D4">
        <w:t xml:space="preserve"> AIHW, 2024-2025</w:t>
      </w:r>
      <w:r w:rsidR="000C32D4">
        <w:t>,</w:t>
      </w:r>
      <w:r w:rsidRPr="000C32D4">
        <w:t xml:space="preserve"> Specialist Housing and Homelessness data collection.</w:t>
      </w:r>
    </w:p>
  </w:endnote>
  <w:endnote w:id="112">
    <w:p w14:paraId="0D3DB9B2" w14:textId="6C3F1B89" w:rsidR="008028A6" w:rsidRPr="000C32D4" w:rsidRDefault="008028A6" w:rsidP="004E5D44">
      <w:r w:rsidRPr="000C32D4">
        <w:rPr>
          <w:rStyle w:val="EndnoteReference"/>
        </w:rPr>
        <w:endnoteRef/>
      </w:r>
      <w:r w:rsidRPr="000C32D4">
        <w:t xml:space="preserve"> AIHW, 2024-2025</w:t>
      </w:r>
      <w:r w:rsidR="000C32D4">
        <w:t>,</w:t>
      </w:r>
      <w:r w:rsidRPr="000C32D4">
        <w:t xml:space="preserve"> Specialist Housing and Homelessness data collection.</w:t>
      </w:r>
    </w:p>
  </w:endnote>
  <w:endnote w:id="113">
    <w:p w14:paraId="44F49B95" w14:textId="77777777" w:rsidR="009C373F" w:rsidRPr="000C32D4" w:rsidRDefault="009C373F" w:rsidP="000140A3">
      <w:pPr>
        <w:rPr>
          <w:lang w:val="en-AU"/>
        </w:rPr>
      </w:pPr>
      <w:r w:rsidRPr="000C32D4">
        <w:rPr>
          <w:rStyle w:val="EndnoteReference"/>
          <w:szCs w:val="18"/>
        </w:rPr>
        <w:endnoteRef/>
      </w:r>
      <w:r w:rsidRPr="000C32D4">
        <w:t xml:space="preserve"> </w:t>
      </w:r>
      <w:r w:rsidRPr="000C32D4">
        <w:rPr>
          <w:rFonts w:cs="Times New Roman"/>
        </w:rPr>
        <w:t xml:space="preserve">Kessler RC, Amminger GP, Aguilar-Gaxiola S, Alonso J, Lee S, </w:t>
      </w:r>
      <w:r w:rsidRPr="000C32D4">
        <w:rPr>
          <w:rFonts w:cs="Times New Roman"/>
        </w:rPr>
        <w:t>Ustün TB. Age of onset of mental disorders: a review of recent literature. Curr Opin Psychiatry. 2007 Jul;20(4):359-64. doi: 10.1097/YCO.0b013e32816ebc8c. PMID: 17551351; PMCID: PMC1925038.</w:t>
      </w:r>
    </w:p>
  </w:endnote>
  <w:endnote w:id="114">
    <w:p w14:paraId="77017DA4" w14:textId="77777777" w:rsidR="009C373F" w:rsidRPr="000C32D4" w:rsidRDefault="009C373F" w:rsidP="000140A3">
      <w:pPr>
        <w:rPr>
          <w:lang w:val="en-AU"/>
        </w:rPr>
      </w:pPr>
      <w:r w:rsidRPr="000C32D4">
        <w:rPr>
          <w:rStyle w:val="EndnoteReference"/>
          <w:szCs w:val="18"/>
        </w:rPr>
        <w:endnoteRef/>
      </w:r>
      <w:r w:rsidRPr="000C32D4">
        <w:t xml:space="preserve"> </w:t>
      </w:r>
      <w:r w:rsidRPr="000C32D4">
        <w:t>Solmi M, Radua J, Olivola M, Croce E, Soardo L, Salazar de Pablo G, Il Shin J, Kirkbride JB, Jones P, Kim JH, Kim JY, Carvalho AF, Seeman MV, Correll CU, Fusar-Poli P. Age at onset of mental disorders worldwide: large-scale meta-analysis of 192 epidemiological studies. Mol Psychiatry. 2022 Jan;27(1):281-295. doi: 10.1038/s41380-021-01161-7. Epub 2021 Jun 2. PMID: 34079068; PMCID: PMC8960395.</w:t>
      </w:r>
    </w:p>
  </w:endnote>
  <w:endnote w:id="115">
    <w:p w14:paraId="0F3DE69B" w14:textId="77777777" w:rsidR="009C373F" w:rsidRPr="000C32D4" w:rsidRDefault="009C373F" w:rsidP="000140A3">
      <w:pPr>
        <w:rPr>
          <w:rFonts w:cs="Open Sans"/>
          <w:shd w:val="clear" w:color="auto" w:fill="FFFFFF"/>
        </w:rPr>
      </w:pPr>
      <w:r w:rsidRPr="000C32D4">
        <w:rPr>
          <w:rStyle w:val="EndnoteReference"/>
          <w:szCs w:val="18"/>
        </w:rPr>
        <w:endnoteRef/>
      </w:r>
      <w:r w:rsidRPr="000C32D4">
        <w:t xml:space="preserve"> Boulton Z, Gregory T, Harman-Smith Y. Early childhood development and later social-emotional wellbeing and mental health outcomes (AEDC Research Snapshot). Australian Government, Canberra. 2023 [Accessed 22 May 2026]. Available at </w:t>
      </w:r>
      <w:hyperlink r:id="rId85" w:history="1">
        <w:r w:rsidRPr="000C32D4">
          <w:rPr>
            <w:rStyle w:val="Hyperlink"/>
            <w:szCs w:val="18"/>
          </w:rPr>
          <w:t>https://www.aedc.gov.au/resources/detail/early-childhood-development-and-mental-health-outcomes</w:t>
        </w:r>
      </w:hyperlink>
    </w:p>
  </w:endnote>
  <w:endnote w:id="116">
    <w:p w14:paraId="13F5FA13" w14:textId="77777777" w:rsidR="00593A4B" w:rsidRPr="000C32D4" w:rsidRDefault="00593A4B" w:rsidP="00FC1CFE">
      <w:pPr>
        <w:pStyle w:val="EndnoteText"/>
        <w:rPr>
          <w:lang w:val="en-AU"/>
        </w:rPr>
      </w:pPr>
      <w:r w:rsidRPr="000C32D4">
        <w:rPr>
          <w:rStyle w:val="EndnoteReference"/>
        </w:rPr>
        <w:endnoteRef/>
      </w:r>
      <w:r w:rsidRPr="000C32D4">
        <w:t xml:space="preserve"> </w:t>
      </w:r>
      <w:r w:rsidRPr="000C32D4">
        <w:rPr>
          <w:sz w:val="18"/>
          <w:szCs w:val="18"/>
        </w:rPr>
        <w:t>AIHW, Specialist homelessness services annual report 2024-25, last updated 4 December 2025.</w:t>
      </w:r>
      <w:r w:rsidRPr="000C32D4">
        <w:t xml:space="preserve"> </w:t>
      </w:r>
    </w:p>
  </w:endnote>
  <w:endnote w:id="117">
    <w:p w14:paraId="5E876D10" w14:textId="77777777" w:rsidR="00593A4B" w:rsidRPr="000C32D4" w:rsidRDefault="00593A4B" w:rsidP="00FC1CFE">
      <w:pPr>
        <w:pStyle w:val="EndnoteText"/>
        <w:rPr>
          <w:lang w:val="en-AU"/>
        </w:rPr>
      </w:pPr>
      <w:r w:rsidRPr="000C32D4">
        <w:rPr>
          <w:rStyle w:val="EndnoteReference"/>
        </w:rPr>
        <w:endnoteRef/>
      </w:r>
      <w:r w:rsidRPr="000C32D4">
        <w:t xml:space="preserve"> </w:t>
      </w:r>
      <w:r w:rsidRPr="000C32D4">
        <w:rPr>
          <w:sz w:val="18"/>
          <w:szCs w:val="18"/>
        </w:rPr>
        <w:t>AIHW, Specialist homelessness services annual report 2024-25, last updated 4 December 2025.</w:t>
      </w:r>
    </w:p>
  </w:endnote>
  <w:endnote w:id="118">
    <w:p w14:paraId="54C47CAF" w14:textId="2F36979E" w:rsidR="009C373F" w:rsidRPr="000C32D4" w:rsidRDefault="009C373F" w:rsidP="000140A3">
      <w:pPr>
        <w:rPr>
          <w:lang w:val="en-AU"/>
        </w:rPr>
      </w:pPr>
      <w:r w:rsidRPr="000C32D4">
        <w:rPr>
          <w:rStyle w:val="EndnoteReference"/>
          <w:szCs w:val="18"/>
        </w:rPr>
        <w:endnoteRef/>
      </w:r>
      <w:r w:rsidRPr="000C32D4">
        <w:t xml:space="preserve"> </w:t>
      </w:r>
      <w:r w:rsidRPr="000C32D4">
        <w:rPr>
          <w:lang w:val="en-AU"/>
        </w:rPr>
        <w:t>Miscenko D, Vallesi S, Wood L, Thielking M, Taylor K, Mackelprang J and Flatau P (2017)</w:t>
      </w:r>
      <w:r w:rsidR="00A06656" w:rsidRPr="000C32D4">
        <w:rPr>
          <w:lang w:val="en-AU"/>
        </w:rPr>
        <w:t xml:space="preserve">. Chronic homelessness in Melbourne: The experiences of Journey to Social Inclusion Mark II study participants.  </w:t>
      </w:r>
      <w:hyperlink r:id="rId86" w:history="1">
        <w:r w:rsidR="00A06656" w:rsidRPr="000C32D4">
          <w:rPr>
            <w:rStyle w:val="Hyperlink"/>
          </w:rPr>
          <w:t>https://apo.org.au/sites/default/files/resource-files/2017-05/apo-nid180741_1.pdf</w:t>
        </w:r>
      </w:hyperlink>
      <w:r w:rsidR="00A06656" w:rsidRPr="000C32D4">
        <w:rPr>
          <w:lang w:val="en-AU"/>
        </w:rPr>
        <w:t xml:space="preserve"> </w:t>
      </w:r>
      <w:r w:rsidRPr="000C32D4">
        <w:rPr>
          <w:lang w:val="en-AU"/>
        </w:rPr>
        <w:t xml:space="preserve"> St Kilda, VIC: Sacred Heart Mission.</w:t>
      </w:r>
    </w:p>
  </w:endnote>
  <w:endnote w:id="119">
    <w:p w14:paraId="10F01E25" w14:textId="7A490509" w:rsidR="009C373F" w:rsidRPr="000C32D4" w:rsidRDefault="009C373F" w:rsidP="000140A3">
      <w:pPr>
        <w:rPr>
          <w:lang w:val="en-AU"/>
        </w:rPr>
      </w:pPr>
      <w:r w:rsidRPr="000C32D4">
        <w:rPr>
          <w:rStyle w:val="EndnoteReference"/>
          <w:szCs w:val="18"/>
        </w:rPr>
        <w:endnoteRef/>
      </w:r>
      <w:r w:rsidRPr="000C32D4">
        <w:t xml:space="preserve"> </w:t>
      </w:r>
      <w:r w:rsidRPr="000C32D4">
        <w:rPr>
          <w:lang w:val="en-AU"/>
        </w:rPr>
        <w:t xml:space="preserve">AIHW, </w:t>
      </w:r>
      <w:r w:rsidRPr="000C32D4">
        <w:rPr>
          <w:i/>
          <w:iCs/>
          <w:lang w:val="en-AU"/>
        </w:rPr>
        <w:t xml:space="preserve">Closed treatment episodes for client’s own drug use, by principal drug of concern and state and territory, 2015–16 to 2024–25, </w:t>
      </w:r>
      <w:r w:rsidRPr="000C32D4">
        <w:rPr>
          <w:lang w:val="en-AU"/>
        </w:rPr>
        <w:t>Alcohol and other drug treatment services in Australia: early insights 2024–25, last updated 16 April 2026</w:t>
      </w:r>
      <w:r w:rsidR="000C32D4">
        <w:rPr>
          <w:lang w:val="en-AU"/>
        </w:rPr>
        <w:t>.</w:t>
      </w:r>
      <w:r w:rsidRPr="000C32D4">
        <w:rPr>
          <w:lang w:val="en-AU"/>
        </w:rPr>
        <w:t xml:space="preserve"> </w:t>
      </w:r>
      <w:hyperlink r:id="rId87" w:history="1">
        <w:r w:rsidR="000C32D4">
          <w:rPr>
            <w:rStyle w:val="Hyperlink"/>
          </w:rPr>
          <w:t>https://www.aihw.gov.au/reports/alcohol-other-drug-treatment-services/alcohol-other-drug-treatment-services-aus/contents/key-findings/drugs-of-concern</w:t>
        </w:r>
      </w:hyperlink>
    </w:p>
  </w:endnote>
  <w:endnote w:id="120">
    <w:p w14:paraId="6D5A9DC0" w14:textId="77777777" w:rsidR="000D1C5F" w:rsidRPr="000C32D4" w:rsidRDefault="000D1C5F" w:rsidP="000140A3">
      <w:r w:rsidRPr="000C32D4">
        <w:rPr>
          <w:rStyle w:val="EndnoteReference"/>
          <w:szCs w:val="18"/>
        </w:rPr>
        <w:endnoteRef/>
      </w:r>
      <w:r w:rsidRPr="000C32D4">
        <w:t xml:space="preserve"> AIHW analysis of Department of Health, Disability and Ageing MBS Statistics (unpublished); Department of Veterans' Affairs Treatment Account System data (unpublished).</w:t>
      </w:r>
      <w:r w:rsidRPr="000C32D4">
        <w:tab/>
      </w:r>
      <w:r w:rsidRPr="000C32D4">
        <w:tab/>
      </w:r>
    </w:p>
  </w:endnote>
  <w:endnote w:id="121">
    <w:p w14:paraId="4862CC8E" w14:textId="77777777" w:rsidR="000D1C5F" w:rsidRPr="000C32D4" w:rsidRDefault="000D1C5F" w:rsidP="000140A3">
      <w:r w:rsidRPr="000C32D4">
        <w:rPr>
          <w:rStyle w:val="EndnoteReference"/>
          <w:szCs w:val="18"/>
        </w:rPr>
        <w:endnoteRef/>
      </w:r>
      <w:r w:rsidRPr="000C32D4">
        <w:t xml:space="preserve">  AIHW analysis of Australian Government Department of Health, Disability and Ageing (unpublished) and National Mental Health Establishments Database.</w:t>
      </w:r>
    </w:p>
  </w:endnote>
  <w:endnote w:id="122">
    <w:p w14:paraId="0174D1D3" w14:textId="578E0476" w:rsidR="000D1C5F" w:rsidRPr="000C32D4" w:rsidRDefault="000D1C5F" w:rsidP="000140A3">
      <w:pPr>
        <w:rPr>
          <w:vertAlign w:val="superscript"/>
        </w:rPr>
      </w:pPr>
      <w:r w:rsidRPr="000C32D4">
        <w:rPr>
          <w:rStyle w:val="EndnoteReference"/>
          <w:szCs w:val="18"/>
        </w:rPr>
        <w:endnoteRef/>
      </w:r>
      <w:r w:rsidRPr="000C32D4">
        <w:t xml:space="preserve"> AIHW analysis of MBS data maintained by the Australian Government Department of Health, Disability and Ageing. The data presented here are classified by Remoteness Area or SEIFA Index of Relative Socio-economic Disadvantage (IR</w:t>
      </w:r>
      <w:r w:rsidR="003D6A44" w:rsidRPr="000C32D4">
        <w:t>S</w:t>
      </w:r>
      <w:r w:rsidRPr="000C32D4">
        <w:t>AD).</w:t>
      </w:r>
    </w:p>
  </w:endnote>
  <w:endnote w:id="123">
    <w:p w14:paraId="41C97DA7" w14:textId="1D64999E" w:rsidR="00D74BAA" w:rsidRPr="007140DC" w:rsidRDefault="00D74BAA">
      <w:pPr>
        <w:pStyle w:val="EndnoteText"/>
        <w:rPr>
          <w:lang w:val="en-AU"/>
        </w:rPr>
      </w:pPr>
      <w:r w:rsidRPr="007140DC">
        <w:rPr>
          <w:rStyle w:val="EndnoteReference"/>
          <w:sz w:val="18"/>
          <w:szCs w:val="18"/>
        </w:rPr>
        <w:endnoteRef/>
      </w:r>
      <w:r w:rsidRPr="007140DC">
        <w:rPr>
          <w:rStyle w:val="EndnoteReference"/>
          <w:sz w:val="18"/>
          <w:szCs w:val="18"/>
        </w:rPr>
        <w:t xml:space="preserve"> </w:t>
      </w:r>
      <w:r w:rsidRPr="007140DC">
        <w:rPr>
          <w:sz w:val="18"/>
          <w:szCs w:val="22"/>
        </w:rPr>
        <w:t>AIHW analysis of MBS data maintained by the Australian Government Department of Health, Disability and Ageing. The data presented here are classified by Remoteness Area or SEIFA Index of Relative Socio-economic Disadvantage (IRSAD).</w:t>
      </w:r>
    </w:p>
  </w:endnote>
  <w:endnote w:id="124">
    <w:p w14:paraId="61F4D44C" w14:textId="2AF3B43F" w:rsidR="000D1C5F" w:rsidRPr="000C32D4" w:rsidRDefault="000D1C5F" w:rsidP="000140A3">
      <w:r w:rsidRPr="000C32D4">
        <w:rPr>
          <w:rStyle w:val="EndnoteReference"/>
          <w:szCs w:val="18"/>
        </w:rPr>
        <w:endnoteRef/>
      </w:r>
      <w:r w:rsidRPr="000C32D4">
        <w:t xml:space="preserve"> </w:t>
      </w:r>
      <w:r w:rsidR="00FD2F62" w:rsidRPr="000C32D4">
        <w:t xml:space="preserve">AIHW analysis of </w:t>
      </w:r>
      <w:r w:rsidRPr="000C32D4">
        <w:t>ABS Patient Experiences Survey, 2020-21 to 2024-25. The data presented here are classified by SEIFA Index of Relative Socio-economic Disadvantage (IR</w:t>
      </w:r>
      <w:r w:rsidR="003D6A44" w:rsidRPr="000C32D4">
        <w:t>S</w:t>
      </w:r>
      <w:r w:rsidRPr="000C32D4">
        <w:t>AD).</w:t>
      </w:r>
    </w:p>
  </w:endnote>
  <w:endnote w:id="125">
    <w:p w14:paraId="0A49FB69" w14:textId="14655514" w:rsidR="009C373F" w:rsidRPr="000C32D4" w:rsidRDefault="009C373F" w:rsidP="000140A3">
      <w:r w:rsidRPr="000C32D4">
        <w:rPr>
          <w:rStyle w:val="EndnoteReference"/>
          <w:szCs w:val="18"/>
        </w:rPr>
        <w:endnoteRef/>
      </w:r>
      <w:r w:rsidRPr="000C32D4">
        <w:t xml:space="preserve"> Productivity Commission, Inquiry Report, Mental Health and Suicide Prevention Review, 2025</w:t>
      </w:r>
      <w:r w:rsidR="000C32D4">
        <w:t xml:space="preserve">. </w:t>
      </w:r>
      <w:hyperlink r:id="rId88" w:history="1">
        <w:r w:rsidR="00D407EF" w:rsidRPr="000C32D4">
          <w:rPr>
            <w:rStyle w:val="Hyperlink"/>
            <w:szCs w:val="18"/>
          </w:rPr>
          <w:t>https://www.pc.gov.au/inquiries-and-research/mental-health-review/report/</w:t>
        </w:r>
      </w:hyperlink>
      <w:r w:rsidRPr="000C32D4">
        <w:t xml:space="preserve"> </w:t>
      </w:r>
    </w:p>
  </w:endnote>
  <w:endnote w:id="126">
    <w:p w14:paraId="533EB386" w14:textId="77777777" w:rsidR="009C373F" w:rsidRPr="000C32D4" w:rsidRDefault="009C373F" w:rsidP="000140A3">
      <w:pPr>
        <w:rPr>
          <w:lang w:val="en-AU"/>
        </w:rPr>
      </w:pPr>
      <w:r w:rsidRPr="000C32D4">
        <w:rPr>
          <w:rStyle w:val="EndnoteReference"/>
          <w:szCs w:val="18"/>
        </w:rPr>
        <w:endnoteRef/>
      </w:r>
      <w:r w:rsidRPr="000C32D4">
        <w:t xml:space="preserve"> Fujimoto, H.; Manohar, N.; Harvey, S.; Baldwin, P.; (2026) Characteristics of available datasets for public mental health surveillance in Australia and evaluation of the National Mental Health and Suicide Prevention Agreement: a scoping review protocol. JBI Evidence Synthesis 24(4</w:t>
      </w:r>
      <w:r w:rsidRPr="000C32D4">
        <w:t>):p 833-841, April 2026. | DOI: 10.11124/JBIES-25-00122</w:t>
      </w:r>
    </w:p>
  </w:endnote>
  <w:endnote w:id="127">
    <w:p w14:paraId="277A075A" w14:textId="0E7DA607" w:rsidR="009C373F" w:rsidRPr="000C32D4" w:rsidRDefault="009C373F" w:rsidP="000140A3">
      <w:pPr>
        <w:rPr>
          <w:lang w:val="en-AU"/>
        </w:rPr>
      </w:pPr>
      <w:r w:rsidRPr="000C32D4">
        <w:rPr>
          <w:rStyle w:val="EndnoteReference"/>
          <w:szCs w:val="18"/>
        </w:rPr>
        <w:endnoteRef/>
      </w:r>
      <w:r w:rsidRPr="000C32D4">
        <w:t xml:space="preserve"> Fujimoto, H.; Manohar, N.; Harvey, S.; Baldwin, P.; (2026)</w:t>
      </w:r>
      <w:r w:rsidR="000C32D4">
        <w:t>.</w:t>
      </w:r>
      <w:r w:rsidRPr="000C32D4">
        <w:t> </w:t>
      </w:r>
    </w:p>
  </w:endnote>
  <w:endnote w:id="128">
    <w:p w14:paraId="0F78E236" w14:textId="0C63FFCA" w:rsidR="009C373F" w:rsidRPr="000C32D4" w:rsidRDefault="009C373F" w:rsidP="000140A3">
      <w:pPr>
        <w:rPr>
          <w:lang w:val="en-AU"/>
        </w:rPr>
      </w:pPr>
      <w:r w:rsidRPr="000C32D4">
        <w:rPr>
          <w:rStyle w:val="EndnoteReference"/>
          <w:szCs w:val="18"/>
        </w:rPr>
        <w:endnoteRef/>
      </w:r>
      <w:r w:rsidRPr="000C32D4">
        <w:t xml:space="preserve"> AIHW,</w:t>
      </w:r>
      <w:r w:rsidR="000C32D4">
        <w:t xml:space="preserve"> Mental Health Crisi Support, l</w:t>
      </w:r>
      <w:r w:rsidRPr="000C32D4">
        <w:t>ast updated 12 May 2026</w:t>
      </w:r>
      <w:r w:rsidR="000C32D4">
        <w:t xml:space="preserve">. </w:t>
      </w:r>
      <w:hyperlink r:id="rId89" w:history="1">
        <w:r w:rsidR="000C32D4">
          <w:rPr>
            <w:rStyle w:val="Hyperlink"/>
          </w:rPr>
          <w:t>https://www.aihw.gov.au/mental-health/monitoring/mental-health-services-activity-monitoring/mental-health-crisis-support</w:t>
        </w:r>
      </w:hyperlink>
      <w:r w:rsidR="000C32D4" w:rsidRPr="000C32D4">
        <w:t>,</w:t>
      </w:r>
    </w:p>
  </w:endnote>
  <w:endnote w:id="129">
    <w:p w14:paraId="2B8AF547" w14:textId="2AB90914" w:rsidR="009C373F" w:rsidRPr="000C32D4" w:rsidRDefault="009C373F" w:rsidP="000140A3">
      <w:pPr>
        <w:rPr>
          <w:lang w:val="en-AU"/>
        </w:rPr>
      </w:pPr>
      <w:r w:rsidRPr="000C32D4">
        <w:rPr>
          <w:rStyle w:val="EndnoteReference"/>
          <w:szCs w:val="18"/>
        </w:rPr>
        <w:endnoteRef/>
      </w:r>
      <w:r w:rsidRPr="000C32D4">
        <w:t xml:space="preserve"> </w:t>
      </w:r>
      <w:r w:rsidRPr="000C32D4">
        <w:rPr>
          <w:lang w:val="en-AU"/>
        </w:rPr>
        <w:t>headspace Annual Report 2024-2025, 2025</w:t>
      </w:r>
      <w:r w:rsidR="000C32D4">
        <w:rPr>
          <w:lang w:val="en-AU"/>
        </w:rPr>
        <w:t xml:space="preserve">. </w:t>
      </w:r>
      <w:hyperlink r:id="rId90" w:history="1">
        <w:r w:rsidR="000C32D4">
          <w:rPr>
            <w:rStyle w:val="Hyperlink"/>
          </w:rPr>
          <w:t>https://headspace.org.au/our-impact/evaluation-research-reports/annual-reports/</w:t>
        </w:r>
      </w:hyperlink>
    </w:p>
  </w:endnote>
  <w:endnote w:id="130">
    <w:p w14:paraId="0CF07F76" w14:textId="22CB7EF9" w:rsidR="009C373F" w:rsidRPr="000C32D4" w:rsidRDefault="009C373F" w:rsidP="000140A3">
      <w:pPr>
        <w:rPr>
          <w:lang w:val="en-AU"/>
        </w:rPr>
      </w:pPr>
      <w:r w:rsidRPr="000C32D4">
        <w:rPr>
          <w:rStyle w:val="EndnoteReference"/>
          <w:szCs w:val="18"/>
        </w:rPr>
        <w:endnoteRef/>
      </w:r>
      <w:r w:rsidRPr="000C32D4">
        <w:t xml:space="preserve"> Australian Government Department of Health, Disability and Ageing, 2026, Medicare Mental Health Check In</w:t>
      </w:r>
      <w:r w:rsidR="000C32D4">
        <w:t xml:space="preserve">. </w:t>
      </w:r>
      <w:hyperlink r:id="rId91" w:history="1">
        <w:r w:rsidR="000C32D4">
          <w:rPr>
            <w:rStyle w:val="Hyperlink"/>
          </w:rPr>
          <w:t>https://www.health.gov.au/news/medicare-mental-health-check-in-online-now</w:t>
        </w:r>
      </w:hyperlink>
      <w:r w:rsidRPr="000C32D4">
        <w:t xml:space="preserve"> </w:t>
      </w:r>
    </w:p>
  </w:endnote>
  <w:endnote w:id="131">
    <w:p w14:paraId="01567D1B" w14:textId="7AE9CCDA" w:rsidR="009C373F" w:rsidRPr="000C32D4" w:rsidRDefault="009C373F" w:rsidP="000140A3">
      <w:pPr>
        <w:rPr>
          <w:lang w:val="en-AU"/>
        </w:rPr>
      </w:pPr>
      <w:r w:rsidRPr="000C32D4">
        <w:rPr>
          <w:rStyle w:val="EndnoteReference"/>
          <w:szCs w:val="18"/>
        </w:rPr>
        <w:endnoteRef/>
      </w:r>
      <w:r w:rsidRPr="000C32D4">
        <w:t xml:space="preserve"> </w:t>
      </w:r>
      <w:r w:rsidRPr="000C32D4">
        <w:rPr>
          <w:lang w:val="en-AU"/>
        </w:rPr>
        <w:t>Lifeline Australia, 2024-25 Annual Report</w:t>
      </w:r>
      <w:r w:rsidR="00815CC8">
        <w:rPr>
          <w:lang w:val="en-AU"/>
        </w:rPr>
        <w:t xml:space="preserve">. </w:t>
      </w:r>
      <w:hyperlink r:id="rId92" w:history="1">
        <w:r w:rsidR="00815CC8">
          <w:rPr>
            <w:rStyle w:val="Hyperlink"/>
          </w:rPr>
          <w:t>https://www.lifeline.org.au/about-us/governance/annual-reports</w:t>
        </w:r>
      </w:hyperlink>
    </w:p>
  </w:endnote>
  <w:endnote w:id="132">
    <w:p w14:paraId="6E0A20DD" w14:textId="12736F1E" w:rsidR="009C373F" w:rsidRPr="000C32D4" w:rsidRDefault="009C373F" w:rsidP="000140A3">
      <w:pPr>
        <w:rPr>
          <w:lang w:val="en-AU"/>
        </w:rPr>
      </w:pPr>
      <w:r w:rsidRPr="000C32D4">
        <w:rPr>
          <w:rStyle w:val="EndnoteReference"/>
          <w:szCs w:val="18"/>
        </w:rPr>
        <w:endnoteRef/>
      </w:r>
      <w:r w:rsidRPr="000C32D4">
        <w:t xml:space="preserve"> </w:t>
      </w:r>
      <w:r w:rsidRPr="000C32D4">
        <w:rPr>
          <w:lang w:val="en-AU"/>
        </w:rPr>
        <w:t xml:space="preserve">Mental Health Australia, April 2026, Increasing NGO data in the National Report Card, Final Report, Mental Health Australia for the National Mental Health Commission. </w:t>
      </w:r>
      <w:hyperlink r:id="rId93" w:history="1">
        <w:r w:rsidR="00815CC8">
          <w:rPr>
            <w:rStyle w:val="Hyperlink"/>
          </w:rPr>
          <w:t>https://www.mentalhealthaustralia.org.au/articles/research-projects/increasing-ngo-data-national-report-card-report/</w:t>
        </w:r>
      </w:hyperlink>
    </w:p>
  </w:endnote>
  <w:endnote w:id="133">
    <w:p w14:paraId="159BB700" w14:textId="03D18BC2" w:rsidR="009C373F" w:rsidRPr="000C32D4" w:rsidRDefault="009C373F" w:rsidP="000140A3">
      <w:pPr>
        <w:rPr>
          <w:lang w:val="en-AU"/>
        </w:rPr>
      </w:pPr>
      <w:r w:rsidRPr="000C32D4">
        <w:rPr>
          <w:rStyle w:val="EndnoteReference"/>
          <w:szCs w:val="18"/>
        </w:rPr>
        <w:endnoteRef/>
      </w:r>
      <w:r w:rsidRPr="000C32D4">
        <w:t xml:space="preserve"> </w:t>
      </w:r>
      <w:r w:rsidRPr="000C32D4">
        <w:rPr>
          <w:lang w:val="en-AU"/>
        </w:rPr>
        <w:t xml:space="preserve">Mental Health Australia, April 2026, Increasing NGO data in the National Report Card, Final Report, Mental Health Australia for the National Mental Health Commission. </w:t>
      </w:r>
    </w:p>
  </w:endnote>
  <w:endnote w:id="134">
    <w:p w14:paraId="11C82B7B" w14:textId="606803C6" w:rsidR="009C373F" w:rsidRPr="000C32D4" w:rsidRDefault="009C373F" w:rsidP="000140A3">
      <w:pPr>
        <w:rPr>
          <w:lang w:val="en-AU"/>
        </w:rPr>
      </w:pPr>
      <w:r w:rsidRPr="000C32D4">
        <w:rPr>
          <w:rStyle w:val="EndnoteReference"/>
          <w:szCs w:val="18"/>
        </w:rPr>
        <w:endnoteRef/>
      </w:r>
      <w:r w:rsidRPr="000C32D4">
        <w:t xml:space="preserve"> Health Policy Analysis</w:t>
      </w:r>
      <w:r w:rsidR="00815CC8">
        <w:t xml:space="preserve">, (August 2024). </w:t>
      </w:r>
      <w:hyperlink r:id="rId94" w:history="1">
        <w:r w:rsidR="00815CC8">
          <w:rPr>
            <w:rStyle w:val="Hyperlink"/>
          </w:rPr>
          <w:t>https://www.health.gov.au/resources/publications/analysis-of-unmet-need-for-psychosocial-supports-outside-of-the-national-disability-insurance-scheme-final-report?language=en</w:t>
        </w:r>
      </w:hyperlink>
    </w:p>
  </w:endnote>
  <w:endnote w:id="135">
    <w:p w14:paraId="4738D52A" w14:textId="0FC00FD1" w:rsidR="009C373F" w:rsidRPr="000C32D4" w:rsidRDefault="009C373F" w:rsidP="000140A3">
      <w:pPr>
        <w:rPr>
          <w:lang w:val="en-AU"/>
        </w:rPr>
      </w:pPr>
      <w:r w:rsidRPr="000C32D4">
        <w:rPr>
          <w:rStyle w:val="EndnoteReference"/>
          <w:szCs w:val="18"/>
        </w:rPr>
        <w:endnoteRef/>
      </w:r>
      <w:r w:rsidRPr="000C32D4">
        <w:t xml:space="preserve"> Grattan </w:t>
      </w:r>
      <w:r w:rsidRPr="000C32D4">
        <w:rPr>
          <w:rFonts w:eastAsia="Times New Roman" w:cs="Segoe UI"/>
          <w:lang w:eastAsia="en-AU"/>
        </w:rPr>
        <w:t>Institute,</w:t>
      </w:r>
      <w:r w:rsidR="00815CC8">
        <w:rPr>
          <w:rFonts w:eastAsia="Times New Roman" w:cs="Segoe UI"/>
          <w:lang w:eastAsia="en-AU"/>
        </w:rPr>
        <w:t xml:space="preserve"> (December 2025).</w:t>
      </w:r>
      <w:r w:rsidRPr="000C32D4">
        <w:rPr>
          <w:rFonts w:eastAsia="Times New Roman" w:cs="Segoe UI"/>
          <w:lang w:eastAsia="en-AU"/>
        </w:rPr>
        <w:t xml:space="preserve"> </w:t>
      </w:r>
      <w:hyperlink r:id="rId95" w:history="1">
        <w:r w:rsidR="00815CC8">
          <w:rPr>
            <w:rStyle w:val="Hyperlink"/>
            <w:rFonts w:eastAsia="Times New Roman" w:cs="Segoe UI"/>
            <w:lang w:eastAsia="en-AU"/>
          </w:rPr>
          <w:t>https://grattan.edu.au/report/bridging-the-gap-meeting-the-needs-of-australians-with-psychosocial-disability/</w:t>
        </w:r>
      </w:hyperlink>
      <w:r w:rsidR="00815CC8">
        <w:rPr>
          <w:rFonts w:eastAsia="Times New Roman" w:cs="Segoe UI"/>
          <w:lang w:eastAsia="en-AU"/>
        </w:rPr>
        <w:t xml:space="preserve"> </w:t>
      </w:r>
    </w:p>
  </w:endnote>
  <w:endnote w:id="136">
    <w:p w14:paraId="6A569109" w14:textId="77777777" w:rsidR="009C373F" w:rsidRPr="000C32D4" w:rsidRDefault="009C373F" w:rsidP="000140A3">
      <w:r w:rsidRPr="000C32D4">
        <w:rPr>
          <w:rStyle w:val="EndnoteReference"/>
          <w:szCs w:val="18"/>
        </w:rPr>
        <w:endnoteRef/>
      </w:r>
      <w:r w:rsidRPr="000C32D4">
        <w:t xml:space="preserve"> On 14 May 2026, the Senate referred the</w:t>
      </w:r>
      <w:r w:rsidRPr="000C32D4">
        <w:rPr>
          <w:i/>
          <w:iCs/>
        </w:rPr>
        <w:t> </w:t>
      </w:r>
      <w:hyperlink r:id="rId96" w:history="1">
        <w:r w:rsidRPr="000C32D4">
          <w:rPr>
            <w:rStyle w:val="Hyperlink"/>
            <w:szCs w:val="18"/>
          </w:rPr>
          <w:t>National Disability Insurance Scheme Amendment (Securing the NDIS for Future Generations) Bill</w:t>
        </w:r>
      </w:hyperlink>
      <w:r w:rsidRPr="000C32D4">
        <w:t xml:space="preserve"> for inquiry and report by the Community Affairs Legislation Committee. </w:t>
      </w:r>
    </w:p>
  </w:endnote>
  <w:endnote w:id="137">
    <w:p w14:paraId="1606EBE0" w14:textId="562B7794" w:rsidR="009C373F" w:rsidRPr="000C32D4" w:rsidRDefault="009C373F" w:rsidP="000140A3">
      <w:pPr>
        <w:rPr>
          <w:lang w:val="en-AU"/>
        </w:rPr>
      </w:pPr>
      <w:r w:rsidRPr="000C32D4">
        <w:rPr>
          <w:rStyle w:val="EndnoteReference"/>
          <w:szCs w:val="18"/>
        </w:rPr>
        <w:endnoteRef/>
      </w:r>
      <w:r w:rsidRPr="000C32D4">
        <w:t xml:space="preserve"> National Mental Health Commission, May 2026, </w:t>
      </w:r>
      <w:r w:rsidR="00815CC8">
        <w:t xml:space="preserve">Submission on the NDIS Amendment Bill 2026 </w:t>
      </w:r>
      <w:hyperlink r:id="rId97" w:history="1">
        <w:r w:rsidR="00815CC8" w:rsidRPr="00815CC8">
          <w:rPr>
            <w:rStyle w:val="Hyperlink"/>
          </w:rPr>
          <w:t>https://www.mentalhealthcommission.gov.au/sites/default/files/2026-06/submission-on-the-national-disability-insurance-scheme-amendment-securing-the-ndis-for-future-generations-bill-2026.pdf</w:t>
        </w:r>
      </w:hyperlink>
    </w:p>
  </w:endnote>
  <w:endnote w:id="138">
    <w:p w14:paraId="4BDEA609" w14:textId="02577034" w:rsidR="009672A2" w:rsidRPr="000C32D4" w:rsidRDefault="009672A2">
      <w:pPr>
        <w:pStyle w:val="EndnoteText"/>
        <w:rPr>
          <w:lang w:val="en-AU"/>
        </w:rPr>
      </w:pPr>
      <w:r w:rsidRPr="000C32D4">
        <w:rPr>
          <w:rStyle w:val="EndnoteReference"/>
        </w:rPr>
        <w:endnoteRef/>
      </w:r>
      <w:r w:rsidRPr="000C32D4">
        <w:t xml:space="preserve"> </w:t>
      </w:r>
      <w:r w:rsidR="00C510DE" w:rsidRPr="000C32D4">
        <w:rPr>
          <w:sz w:val="18"/>
          <w:szCs w:val="18"/>
        </w:rPr>
        <w:t xml:space="preserve">AIHW analysis of </w:t>
      </w:r>
      <w:r w:rsidR="00C510DE" w:rsidRPr="000C32D4" w:rsidDel="00647FAA">
        <w:rPr>
          <w:sz w:val="18"/>
          <w:szCs w:val="18"/>
        </w:rPr>
        <w:t>ABS Patient Experiences Survey, 2020-21 to 2024-25</w:t>
      </w:r>
      <w:r w:rsidRPr="000C32D4">
        <w:rPr>
          <w:sz w:val="18"/>
          <w:szCs w:val="18"/>
          <w:lang w:val="en-AU"/>
        </w:rPr>
        <w:t>.</w:t>
      </w:r>
    </w:p>
  </w:endnote>
  <w:endnote w:id="139">
    <w:p w14:paraId="2293AF8B" w14:textId="16B9CABB" w:rsidR="009C373F" w:rsidRPr="000C32D4" w:rsidRDefault="009C373F" w:rsidP="000140A3">
      <w:pPr>
        <w:rPr>
          <w:lang w:val="en-AU"/>
        </w:rPr>
      </w:pPr>
      <w:r w:rsidRPr="000C32D4">
        <w:rPr>
          <w:rStyle w:val="EndnoteReference"/>
          <w:szCs w:val="18"/>
        </w:rPr>
        <w:endnoteRef/>
      </w:r>
      <w:r w:rsidRPr="000C32D4">
        <w:t xml:space="preserve"> Kavanagh, B.E., Corney, K.B., Beks, H.</w:t>
      </w:r>
      <w:r w:rsidR="000B5088">
        <w:t xml:space="preserve">, Williams, L.J., Quirk, S.E., &amp; Versace, V. (2023). </w:t>
      </w:r>
      <w:r w:rsidRPr="000C32D4">
        <w:t>A scoping review of the barriers and facilitators to accessing and utilising mental health services across regional, rural, and remote Australia. </w:t>
      </w:r>
      <w:r w:rsidRPr="000C32D4">
        <w:rPr>
          <w:i/>
          <w:iCs/>
        </w:rPr>
        <w:t>BMC Health Serv</w:t>
      </w:r>
      <w:r w:rsidR="00CE57D1" w:rsidRPr="000C32D4">
        <w:rPr>
          <w:i/>
          <w:iCs/>
        </w:rPr>
        <w:t>ices</w:t>
      </w:r>
      <w:r w:rsidRPr="000C32D4">
        <w:rPr>
          <w:i/>
          <w:iCs/>
        </w:rPr>
        <w:t xml:space="preserve"> Res</w:t>
      </w:r>
      <w:r w:rsidR="00CE57D1" w:rsidRPr="000C32D4">
        <w:rPr>
          <w:i/>
          <w:iCs/>
        </w:rPr>
        <w:t>earch</w:t>
      </w:r>
      <w:r w:rsidRPr="000C32D4">
        <w:t xml:space="preserve"> 23, 1060 </w:t>
      </w:r>
      <w:hyperlink r:id="rId98" w:history="1">
        <w:r w:rsidRPr="000C32D4">
          <w:rPr>
            <w:rStyle w:val="Hyperlink"/>
            <w:szCs w:val="18"/>
          </w:rPr>
          <w:t>https://doi.org/10.1186/s12913-023-10034-4</w:t>
        </w:r>
      </w:hyperlink>
      <w:r w:rsidRPr="000C32D4">
        <w:t xml:space="preserve"> </w:t>
      </w:r>
    </w:p>
  </w:endnote>
  <w:endnote w:id="140">
    <w:p w14:paraId="16C21FB2" w14:textId="3F84389B" w:rsidR="009C373F" w:rsidRPr="000C32D4" w:rsidRDefault="009C373F" w:rsidP="000140A3">
      <w:pPr>
        <w:rPr>
          <w:lang w:val="en-AU"/>
        </w:rPr>
      </w:pPr>
      <w:r w:rsidRPr="000C32D4">
        <w:rPr>
          <w:rStyle w:val="EndnoteReference"/>
          <w:szCs w:val="18"/>
        </w:rPr>
        <w:endnoteRef/>
      </w:r>
      <w:r w:rsidRPr="000C32D4">
        <w:t xml:space="preserve"> </w:t>
      </w:r>
      <w:r w:rsidRPr="000C32D4">
        <w:rPr>
          <w:lang w:val="en-AU"/>
        </w:rPr>
        <w:t>RAC</w:t>
      </w:r>
      <w:r w:rsidR="000B5088">
        <w:rPr>
          <w:lang w:val="en-AU"/>
        </w:rPr>
        <w:t>G</w:t>
      </w:r>
      <w:r w:rsidRPr="000C32D4">
        <w:rPr>
          <w:lang w:val="en-AU"/>
        </w:rPr>
        <w:t xml:space="preserve">P, October 2025, Position statement: provision of mental health services in rural Australia. </w:t>
      </w:r>
      <w:hyperlink r:id="rId99" w:history="1">
        <w:r w:rsidRPr="000C32D4">
          <w:rPr>
            <w:rStyle w:val="Hyperlink"/>
          </w:rPr>
          <w:t>https://www.racgp.org.au/the-racgp/faculties/rural/advocacy-and-research/position-statements/provision-of-mental-health-services-in-rural-austr</w:t>
        </w:r>
      </w:hyperlink>
    </w:p>
  </w:endnote>
  <w:endnote w:id="141">
    <w:p w14:paraId="3046ABFC" w14:textId="4B9D5185" w:rsidR="009C373F" w:rsidRPr="000C32D4" w:rsidRDefault="009C373F" w:rsidP="000140A3">
      <w:pPr>
        <w:rPr>
          <w:lang w:val="en-AU"/>
        </w:rPr>
      </w:pPr>
      <w:r w:rsidRPr="000C32D4">
        <w:rPr>
          <w:rStyle w:val="EndnoteReference"/>
          <w:szCs w:val="18"/>
        </w:rPr>
        <w:endnoteRef/>
      </w:r>
      <w:r w:rsidRPr="000C32D4">
        <w:t xml:space="preserve"> Azimi, S., Uddin, N. &amp; Dragovic, M. </w:t>
      </w:r>
      <w:r w:rsidR="000B5088">
        <w:t xml:space="preserve">(2025). </w:t>
      </w:r>
      <w:r w:rsidRPr="000C32D4">
        <w:t xml:space="preserve">Access to urban community mental health services: does geographical distance play a </w:t>
      </w:r>
      <w:r w:rsidRPr="000C32D4">
        <w:t>role?. </w:t>
      </w:r>
      <w:r w:rsidRPr="000C32D4">
        <w:rPr>
          <w:i/>
          <w:iCs/>
        </w:rPr>
        <w:t>Soc</w:t>
      </w:r>
      <w:r w:rsidR="000B5088">
        <w:rPr>
          <w:i/>
          <w:iCs/>
        </w:rPr>
        <w:t>ial</w:t>
      </w:r>
      <w:r w:rsidRPr="000C32D4">
        <w:rPr>
          <w:i/>
          <w:iCs/>
        </w:rPr>
        <w:t xml:space="preserve"> Psychiatry </w:t>
      </w:r>
      <w:r w:rsidR="000B5088">
        <w:rPr>
          <w:i/>
          <w:iCs/>
        </w:rPr>
        <w:t>and Psychiatric Epidemiology</w:t>
      </w:r>
      <w:r w:rsidRPr="000C32D4">
        <w:t> 60, 849–857</w:t>
      </w:r>
      <w:r w:rsidR="000B5088">
        <w:t xml:space="preserve">. </w:t>
      </w:r>
      <w:r w:rsidRPr="000C32D4">
        <w:t>https://doi.org/10.1007/s00127-024-02779-y</w:t>
      </w:r>
    </w:p>
  </w:endnote>
  <w:endnote w:id="142">
    <w:p w14:paraId="22409E7E" w14:textId="1C387C61" w:rsidR="009C373F" w:rsidRPr="000C32D4" w:rsidRDefault="009C373F" w:rsidP="000140A3">
      <w:pPr>
        <w:rPr>
          <w:lang w:val="en-AU"/>
        </w:rPr>
      </w:pPr>
      <w:r w:rsidRPr="000C32D4">
        <w:rPr>
          <w:rStyle w:val="EndnoteReference"/>
          <w:szCs w:val="18"/>
        </w:rPr>
        <w:endnoteRef/>
      </w:r>
      <w:r w:rsidRPr="000C32D4">
        <w:t xml:space="preserve"> Evaluation of Better Access</w:t>
      </w:r>
      <w:r w:rsidR="000B5088">
        <w:t xml:space="preserve"> Initiative.</w:t>
      </w:r>
      <w:r w:rsidRPr="000C32D4">
        <w:t xml:space="preserve"> </w:t>
      </w:r>
      <w:r w:rsidR="000B5088">
        <w:t>(</w:t>
      </w:r>
      <w:r w:rsidRPr="000C32D4">
        <w:t>8 December 2022</w:t>
      </w:r>
      <w:r w:rsidR="000B5088">
        <w:t>).</w:t>
      </w:r>
      <w:r w:rsidRPr="000C32D4">
        <w:t xml:space="preserve"> Conclusions and Recommendations</w:t>
      </w:r>
      <w:r w:rsidR="000B5088">
        <w:t xml:space="preserve">. </w:t>
      </w:r>
      <w:hyperlink r:id="rId100" w:history="1">
        <w:r w:rsidR="000B5088" w:rsidRPr="000B5088">
          <w:rPr>
            <w:rStyle w:val="Hyperlink"/>
            <w:szCs w:val="18"/>
          </w:rPr>
          <w:t>https://www.health.gov.au/sites/default/files/2022-12/conclusions-and-recommendations-evaluation-of-the-better-access-initiative.pdf</w:t>
        </w:r>
      </w:hyperlink>
    </w:p>
  </w:endnote>
  <w:endnote w:id="143">
    <w:p w14:paraId="240D073D" w14:textId="68B5210C" w:rsidR="009C373F" w:rsidRPr="000C32D4" w:rsidRDefault="009C373F" w:rsidP="000140A3">
      <w:pPr>
        <w:rPr>
          <w:lang w:val="en-AU"/>
        </w:rPr>
      </w:pPr>
      <w:r w:rsidRPr="00DA4383">
        <w:rPr>
          <w:rStyle w:val="EndnoteReference"/>
          <w:szCs w:val="18"/>
        </w:rPr>
        <w:endnoteRef/>
      </w:r>
      <w:r w:rsidRPr="00DA4383">
        <w:t xml:space="preserve"> </w:t>
      </w:r>
      <w:r w:rsidRPr="00DA4383">
        <w:rPr>
          <w:rFonts w:eastAsia="Arial" w:cs="Arial"/>
        </w:rPr>
        <w:t xml:space="preserve">Ziersch AM, Baum F, Darmawan IG, Kavanagh AM, Bentley RJ. </w:t>
      </w:r>
      <w:r w:rsidR="00DA4383">
        <w:rPr>
          <w:rFonts w:eastAsia="Arial" w:cs="Arial"/>
        </w:rPr>
        <w:t xml:space="preserve">(2009) </w:t>
      </w:r>
      <w:r w:rsidRPr="00DA4383">
        <w:rPr>
          <w:rFonts w:eastAsia="Arial" w:cs="Arial"/>
        </w:rPr>
        <w:t xml:space="preserve">Social capital and health in rural and urban communities in South Australia. </w:t>
      </w:r>
      <w:r w:rsidRPr="00DA4383">
        <w:rPr>
          <w:rFonts w:eastAsia="Arial" w:cs="Arial"/>
        </w:rPr>
        <w:t>Aust N Z J Public Health. 2009 Feb;33(1):7-16</w:t>
      </w:r>
      <w:r w:rsidRPr="000C32D4">
        <w:rPr>
          <w:rFonts w:eastAsia="Arial" w:cs="Arial"/>
        </w:rPr>
        <w:t xml:space="preserve">. </w:t>
      </w:r>
      <w:r w:rsidRPr="00830421">
        <w:rPr>
          <w:rFonts w:eastAsia="Arial" w:cs="Arial"/>
          <w:u w:val="single"/>
        </w:rPr>
        <w:t>doi:10.1111/j.1753-6405.2009.</w:t>
      </w:r>
      <w:r w:rsidRPr="00830421">
        <w:rPr>
          <w:rFonts w:eastAsia="Arial" w:cs="Arial"/>
          <w:u w:val="single"/>
        </w:rPr>
        <w:t>00332.x.</w:t>
      </w:r>
    </w:p>
  </w:endnote>
  <w:endnote w:id="144">
    <w:p w14:paraId="22DB833B" w14:textId="761165AE" w:rsidR="009C373F" w:rsidRPr="000C32D4" w:rsidRDefault="009C373F" w:rsidP="000140A3">
      <w:r w:rsidRPr="000C32D4">
        <w:rPr>
          <w:rStyle w:val="EndnoteReference"/>
          <w:szCs w:val="18"/>
        </w:rPr>
        <w:endnoteRef/>
      </w:r>
      <w:r w:rsidRPr="000C32D4">
        <w:t xml:space="preserve"> Australian Commission on Safety and Quality in Health Care, 2022, Mental Health Standards for Community Managed Organisations,</w:t>
      </w:r>
      <w:hyperlink r:id="rId101" w:history="1">
        <w:r w:rsidR="003457DC" w:rsidRPr="003457DC">
          <w:rPr>
            <w:rStyle w:val="Hyperlink"/>
          </w:rPr>
          <w:t>https://www.safetyandquality.gov.au/sites/default/files/resources/attachments/nsqmh_standards_for_cmos_-_2022.pdf</w:t>
        </w:r>
      </w:hyperlink>
      <w:r w:rsidR="003457DC" w:rsidRPr="003457DC" w:rsidDel="003457DC">
        <w:t xml:space="preserve"> </w:t>
      </w:r>
    </w:p>
  </w:endnote>
  <w:endnote w:id="145">
    <w:p w14:paraId="5A4640A1" w14:textId="5EBBAF32" w:rsidR="009C373F" w:rsidRPr="000C32D4" w:rsidRDefault="009C373F" w:rsidP="000140A3">
      <w:r w:rsidRPr="000C32D4">
        <w:rPr>
          <w:rStyle w:val="EndnoteReference"/>
          <w:szCs w:val="18"/>
        </w:rPr>
        <w:endnoteRef/>
      </w:r>
      <w:r w:rsidRPr="000C32D4">
        <w:t xml:space="preserve"> Green, R., Gelling, A., Jackson, M., Verbeek-Martin, E., Millet, S., Mallet, W., Powell Thomas, G., Bothwell, S., </w:t>
      </w:r>
      <w:r w:rsidRPr="000C32D4">
        <w:t>Brideson, T., Brown, T., &amp; Reavley, N. (2025). Digital Navigation Project Recommendations Report. SANE and Nous Group.</w:t>
      </w:r>
      <w:r w:rsidR="003457DC">
        <w:t xml:space="preserve"> </w:t>
      </w:r>
      <w:hyperlink r:id="rId102" w:history="1">
        <w:r w:rsidR="003457DC">
          <w:rPr>
            <w:rStyle w:val="Hyperlink"/>
          </w:rPr>
          <w:t>https://www.sane.org/images/reports/Digital%20Navigation%20Project%20Final%20Report.pdf</w:t>
        </w:r>
      </w:hyperlink>
    </w:p>
  </w:endnote>
  <w:endnote w:id="146">
    <w:p w14:paraId="542A444B" w14:textId="2826AD30" w:rsidR="009C373F" w:rsidRPr="000C32D4" w:rsidRDefault="009C373F" w:rsidP="000140A3">
      <w:pPr>
        <w:rPr>
          <w:lang w:val="en-AU"/>
        </w:rPr>
      </w:pPr>
      <w:r w:rsidRPr="000C32D4">
        <w:rPr>
          <w:rStyle w:val="EndnoteReference"/>
          <w:szCs w:val="18"/>
        </w:rPr>
        <w:endnoteRef/>
      </w:r>
      <w:r w:rsidRPr="000C32D4">
        <w:t xml:space="preserve"> </w:t>
      </w:r>
      <w:r w:rsidRPr="000C32D4">
        <w:rPr>
          <w:lang w:val="en-AU"/>
        </w:rPr>
        <w:t xml:space="preserve">AIHW, last updated 24 February 2026, </w:t>
      </w:r>
      <w:r w:rsidR="003457DC">
        <w:rPr>
          <w:lang w:val="en-AU"/>
        </w:rPr>
        <w:t>C</w:t>
      </w:r>
      <w:r w:rsidRPr="000C32D4">
        <w:rPr>
          <w:lang w:val="en-AU"/>
        </w:rPr>
        <w:t xml:space="preserve">ommunity mental health care service indicators. </w:t>
      </w:r>
      <w:hyperlink r:id="rId103" w:history="1">
        <w:r w:rsidRPr="000C32D4">
          <w:rPr>
            <w:rStyle w:val="Hyperlink"/>
            <w:szCs w:val="18"/>
          </w:rPr>
          <w:t>https://www.aihw.gov.au/mental-health/monitoring/performance-indicators/community-indicators</w:t>
        </w:r>
      </w:hyperlink>
    </w:p>
  </w:endnote>
  <w:endnote w:id="147">
    <w:p w14:paraId="748AC8FC" w14:textId="6ECEE300" w:rsidR="009C373F" w:rsidRPr="000C32D4" w:rsidRDefault="009C373F" w:rsidP="000140A3">
      <w:pPr>
        <w:rPr>
          <w:lang w:val="en-AU"/>
        </w:rPr>
      </w:pPr>
      <w:r w:rsidRPr="000C32D4">
        <w:rPr>
          <w:rStyle w:val="EndnoteReference"/>
          <w:szCs w:val="18"/>
        </w:rPr>
        <w:endnoteRef/>
      </w:r>
      <w:r w:rsidRPr="000C32D4">
        <w:t xml:space="preserve"> Australian Government Department of Health, Disability and Ageing, 2022, National Mental Health Workforce Strategy 2022-2023</w:t>
      </w:r>
      <w:r w:rsidR="003457DC">
        <w:t xml:space="preserve">. </w:t>
      </w:r>
      <w:hyperlink r:id="rId104" w:history="1">
        <w:r w:rsidRPr="000C32D4">
          <w:rPr>
            <w:rStyle w:val="Hyperlink"/>
            <w:szCs w:val="18"/>
          </w:rPr>
          <w:t>https://www.health.gov.au/sites/default/files/2023-10/national-mental-health-workforce-strategy-2022-2032.pdf</w:t>
        </w:r>
      </w:hyperlink>
    </w:p>
  </w:endnote>
  <w:endnote w:id="148">
    <w:p w14:paraId="0B4D604A" w14:textId="11E76BAB" w:rsidR="009C373F" w:rsidRPr="000C32D4" w:rsidRDefault="009C373F" w:rsidP="000140A3">
      <w:pPr>
        <w:rPr>
          <w:lang w:val="en-AU"/>
        </w:rPr>
      </w:pPr>
      <w:r w:rsidRPr="000C32D4">
        <w:rPr>
          <w:rStyle w:val="EndnoteReference"/>
          <w:szCs w:val="18"/>
        </w:rPr>
        <w:endnoteRef/>
      </w:r>
      <w:r w:rsidRPr="000C32D4">
        <w:t xml:space="preserve"> </w:t>
      </w:r>
      <w:r w:rsidRPr="000C32D4">
        <w:rPr>
          <w:lang w:val="en-AU"/>
        </w:rPr>
        <w:t xml:space="preserve">National Mental Health Commission, 2024, </w:t>
      </w:r>
      <w:r w:rsidRPr="000C32D4">
        <w:rPr>
          <w:i/>
          <w:iCs/>
          <w:lang w:val="en-AU"/>
        </w:rPr>
        <w:t>Position statement on seclusion and restraint in mental health services.</w:t>
      </w:r>
      <w:r w:rsidRPr="000C32D4">
        <w:rPr>
          <w:lang w:val="en-AU"/>
        </w:rPr>
        <w:t xml:space="preserve"> </w:t>
      </w:r>
      <w:hyperlink r:id="rId105" w:history="1">
        <w:r w:rsidRPr="000C32D4">
          <w:rPr>
            <w:rStyle w:val="Hyperlink"/>
            <w:szCs w:val="18"/>
          </w:rPr>
          <w:t>position-statement-on-seclusion-and-restraint-in-mental-health.pdf</w:t>
        </w:r>
      </w:hyperlink>
    </w:p>
  </w:endnote>
  <w:endnote w:id="149">
    <w:p w14:paraId="3273AA36" w14:textId="77777777" w:rsidR="009C373F" w:rsidRPr="000C32D4" w:rsidRDefault="009C373F" w:rsidP="000140A3">
      <w:pPr>
        <w:rPr>
          <w:lang w:val="en-AU"/>
        </w:rPr>
      </w:pPr>
      <w:r w:rsidRPr="000C32D4">
        <w:rPr>
          <w:rStyle w:val="EndnoteReference"/>
          <w:szCs w:val="18"/>
        </w:rPr>
        <w:endnoteRef/>
      </w:r>
      <w:r w:rsidRPr="000C32D4">
        <w:t xml:space="preserve"> </w:t>
      </w:r>
      <w:r w:rsidRPr="000C32D4">
        <w:rPr>
          <w:lang w:val="en-AU"/>
        </w:rPr>
        <w:t xml:space="preserve">World Health Organisation. (2021). </w:t>
      </w:r>
      <w:r w:rsidRPr="000C32D4">
        <w:rPr>
          <w:i/>
          <w:iCs/>
          <w:lang w:val="en-AU"/>
        </w:rPr>
        <w:t>Comprehensive mental health action plan 2013–2030</w:t>
      </w:r>
      <w:r w:rsidRPr="000C32D4">
        <w:rPr>
          <w:lang w:val="en-AU"/>
        </w:rPr>
        <w:t xml:space="preserve">. </w:t>
      </w:r>
      <w:hyperlink r:id="rId106" w:history="1">
        <w:r w:rsidRPr="000C32D4">
          <w:rPr>
            <w:rStyle w:val="Hyperlink"/>
            <w:szCs w:val="18"/>
            <w:lang w:val="en-AU"/>
          </w:rPr>
          <w:t>https://www.who.int/publications/b/58680</w:t>
        </w:r>
      </w:hyperlink>
    </w:p>
  </w:endnote>
  <w:endnote w:id="150">
    <w:p w14:paraId="1A559D5B" w14:textId="77777777" w:rsidR="009C373F" w:rsidRPr="000C32D4" w:rsidRDefault="009C373F" w:rsidP="000140A3">
      <w:pPr>
        <w:rPr>
          <w:lang w:val="en-AU"/>
        </w:rPr>
      </w:pPr>
      <w:r w:rsidRPr="000C32D4">
        <w:rPr>
          <w:rStyle w:val="EndnoteReference"/>
          <w:szCs w:val="18"/>
        </w:rPr>
        <w:endnoteRef/>
      </w:r>
      <w:r w:rsidRPr="000C32D4">
        <w:t xml:space="preserve">  National Mental Health Consumer Alliance. (2024). </w:t>
      </w:r>
      <w:r w:rsidRPr="000C32D4">
        <w:rPr>
          <w:i/>
          <w:iCs/>
        </w:rPr>
        <w:t>Human rights report</w:t>
      </w:r>
      <w:r w:rsidRPr="000C32D4">
        <w:t>. </w:t>
      </w:r>
      <w:hyperlink r:id="rId107" w:tgtFrame="_blank" w:tooltip="https://nmhca.org.au/__static/jdj5jdewjes5chi2z1zwa1fvvwnyrlcw/2024-human-rights-report-final.pdf" w:history="1">
        <w:r w:rsidRPr="000C32D4">
          <w:rPr>
            <w:rStyle w:val="Hyperlink"/>
            <w:szCs w:val="18"/>
          </w:rPr>
          <w:t>https://nmhca.org.au/__static/jdj5jdewjes5chi2z1zwa1fvvwnyrlcw/2024-human-rights-report-final.pdf</w:t>
        </w:r>
      </w:hyperlink>
    </w:p>
  </w:endnote>
  <w:endnote w:id="151">
    <w:p w14:paraId="61826753" w14:textId="761A2B8D" w:rsidR="009C373F" w:rsidRPr="000C32D4" w:rsidRDefault="009C373F" w:rsidP="000140A3">
      <w:pPr>
        <w:rPr>
          <w:lang w:val="en-AU"/>
        </w:rPr>
      </w:pPr>
      <w:r w:rsidRPr="000C32D4">
        <w:rPr>
          <w:rStyle w:val="EndnoteReference"/>
          <w:color w:val="171717" w:themeColor="background2" w:themeShade="1A"/>
          <w:szCs w:val="18"/>
        </w:rPr>
        <w:endnoteRef/>
      </w:r>
      <w:r w:rsidRPr="000C32D4">
        <w:rPr>
          <w:color w:val="171717" w:themeColor="background2" w:themeShade="1A"/>
        </w:rPr>
        <w:t xml:space="preserve"> </w:t>
      </w:r>
      <w:r w:rsidRPr="000C32D4">
        <w:t xml:space="preserve">Savage MK, Lepping P, Newton-Howes G, et al. </w:t>
      </w:r>
      <w:r w:rsidR="003457DC">
        <w:t xml:space="preserve">(2024). </w:t>
      </w:r>
      <w:r w:rsidRPr="000C32D4">
        <w:t>Comparison of coercive practices in worldwide mental healthcare: overcoming difficulties resulting from variations in monitoring strategies. </w:t>
      </w:r>
      <w:r w:rsidRPr="000C32D4">
        <w:t>BJPsych Open. 10(1</w:t>
      </w:r>
      <w:r w:rsidRPr="000C32D4">
        <w:t xml:space="preserve">):e26. </w:t>
      </w:r>
      <w:r w:rsidRPr="007140DC">
        <w:rPr>
          <w:u w:val="single"/>
        </w:rPr>
        <w:t>doi:10.1192/bjo.2023.613</w:t>
      </w:r>
      <w:r w:rsidRPr="000C32D4">
        <w:rPr>
          <w:color w:val="171717" w:themeColor="background2" w:themeShade="1A"/>
        </w:rPr>
        <w:t xml:space="preserve"> </w:t>
      </w:r>
    </w:p>
  </w:endnote>
  <w:endnote w:id="152">
    <w:p w14:paraId="62C2CEFD" w14:textId="77777777" w:rsidR="009C373F" w:rsidRPr="000C32D4" w:rsidRDefault="009C373F" w:rsidP="000140A3">
      <w:pPr>
        <w:rPr>
          <w:lang w:val="en-AU"/>
        </w:rPr>
      </w:pPr>
      <w:r w:rsidRPr="000C32D4">
        <w:rPr>
          <w:rStyle w:val="EndnoteReference"/>
          <w:szCs w:val="18"/>
        </w:rPr>
        <w:endnoteRef/>
      </w:r>
      <w:r w:rsidRPr="000C32D4">
        <w:t xml:space="preserve"> </w:t>
      </w:r>
      <w:r w:rsidRPr="000C32D4">
        <w:rPr>
          <w:lang w:val="en-AU"/>
        </w:rPr>
        <w:t>Justice Action.</w:t>
      </w:r>
      <w:r w:rsidRPr="000C32D4">
        <w:rPr>
          <w:i/>
          <w:iCs/>
          <w:lang w:val="en-AU"/>
        </w:rPr>
        <w:t>10th National Seclusion and Restraint Reduction Forum</w:t>
      </w:r>
      <w:r w:rsidRPr="000C32D4">
        <w:rPr>
          <w:lang w:val="en-AU"/>
        </w:rPr>
        <w:t xml:space="preserve">. </w:t>
      </w:r>
      <w:hyperlink r:id="rId108" w:history="1">
        <w:r w:rsidRPr="000C32D4">
          <w:rPr>
            <w:rStyle w:val="Hyperlink"/>
            <w:szCs w:val="18"/>
            <w:lang w:val="en-AU"/>
          </w:rPr>
          <w:t>https://justiceaction.org.au/10th-national-seclusion-and-restraint-reduction-forum/</w:t>
        </w:r>
      </w:hyperlink>
    </w:p>
  </w:endnote>
  <w:endnote w:id="153">
    <w:p w14:paraId="668BB911" w14:textId="77777777" w:rsidR="009C373F" w:rsidRPr="000C32D4" w:rsidRDefault="009C373F" w:rsidP="000140A3">
      <w:pPr>
        <w:rPr>
          <w:lang w:val="en-AU"/>
        </w:rPr>
      </w:pPr>
      <w:r w:rsidRPr="000C32D4">
        <w:rPr>
          <w:rStyle w:val="EndnoteReference"/>
          <w:szCs w:val="18"/>
        </w:rPr>
        <w:endnoteRef/>
      </w:r>
      <w:r w:rsidRPr="000C32D4">
        <w:t xml:space="preserve"> </w:t>
      </w:r>
      <w:r w:rsidRPr="000C32D4">
        <w:rPr>
          <w:lang w:val="en-AU"/>
        </w:rPr>
        <w:t xml:space="preserve">National Mental Health Consumer and Carer Forum. (2021). </w:t>
      </w:r>
      <w:r w:rsidRPr="000C32D4">
        <w:rPr>
          <w:i/>
          <w:iCs/>
          <w:lang w:val="en-AU"/>
        </w:rPr>
        <w:t>Restrictive practices in Australian mental health services: Position paper</w:t>
      </w:r>
      <w:r w:rsidRPr="000C32D4">
        <w:rPr>
          <w:lang w:val="en-AU"/>
        </w:rPr>
        <w:t xml:space="preserve"> (revised ed.). </w:t>
      </w:r>
      <w:hyperlink r:id="rId109" w:history="1">
        <w:r w:rsidRPr="000C32D4">
          <w:rPr>
            <w:rStyle w:val="Hyperlink"/>
            <w:szCs w:val="18"/>
            <w:lang w:val="en-AU"/>
          </w:rPr>
          <w:t>https://vccmhw.vic.gov.au/dam/jcr:58338139-abde-4baf-814e-7ecd26c4cb8c/NMHCCF_RPMHS_12%C6%92%20(1).pdf</w:t>
        </w:r>
      </w:hyperlink>
    </w:p>
  </w:endnote>
  <w:endnote w:id="154">
    <w:p w14:paraId="1947B65E" w14:textId="77777777" w:rsidR="009C373F" w:rsidRPr="000C32D4" w:rsidRDefault="009C373F" w:rsidP="000140A3">
      <w:pPr>
        <w:rPr>
          <w:u w:val="single"/>
          <w:lang w:val="en-AU"/>
        </w:rPr>
      </w:pPr>
      <w:r w:rsidRPr="000C32D4">
        <w:rPr>
          <w:rStyle w:val="EndnoteReference"/>
          <w:szCs w:val="18"/>
        </w:rPr>
        <w:endnoteRef/>
      </w:r>
      <w:r w:rsidRPr="000C32D4">
        <w:t xml:space="preserve"> December 2025, </w:t>
      </w:r>
      <w:r w:rsidRPr="000C32D4">
        <w:rPr>
          <w:lang w:val="en-AU"/>
        </w:rPr>
        <w:t xml:space="preserve">Mid-Year Economic and Fiscal Outlook 2025–26, p. 8, accessed from: </w:t>
      </w:r>
      <w:hyperlink r:id="rId110" w:history="1">
        <w:r w:rsidRPr="000C32D4">
          <w:rPr>
            <w:u w:val="single"/>
          </w:rPr>
          <w:t>https://archive.budget.gov.au/2025-26/myefo/download/myefo-2025-26.pdf</w:t>
        </w:r>
      </w:hyperlink>
    </w:p>
  </w:endnote>
  <w:endnote w:id="155">
    <w:p w14:paraId="07D3DCA3" w14:textId="6505B569" w:rsidR="00E94BB2" w:rsidRPr="000C32D4" w:rsidRDefault="00E94BB2" w:rsidP="00E94BB2">
      <w:r w:rsidRPr="000C32D4">
        <w:rPr>
          <w:rStyle w:val="EndnoteReference"/>
          <w:szCs w:val="18"/>
        </w:rPr>
        <w:endnoteRef/>
      </w:r>
      <w:r w:rsidRPr="000C32D4">
        <w:t xml:space="preserve"> Department of Health, Disability and Ageing, 2026, Psychology Supply and Demand Compendium Report, [page 28], </w:t>
      </w:r>
      <w:hyperlink r:id="rId111" w:history="1">
        <w:r w:rsidR="003457DC" w:rsidRPr="009A7668">
          <w:rPr>
            <w:rStyle w:val="Hyperlink"/>
          </w:rPr>
          <w:t>https://hwd.health.gov.au/resources/primary/psychology compendium-report-april-2026.pdf</w:t>
        </w:r>
      </w:hyperlink>
      <w:r w:rsidR="003457DC">
        <w:t xml:space="preserve"> </w:t>
      </w:r>
    </w:p>
  </w:endnote>
  <w:endnote w:id="156">
    <w:p w14:paraId="65C413BB" w14:textId="77777777" w:rsidR="00E94BB2" w:rsidRPr="000C32D4" w:rsidRDefault="00E94BB2" w:rsidP="00E94BB2">
      <w:r w:rsidRPr="000C32D4">
        <w:rPr>
          <w:rStyle w:val="EndnoteReference"/>
          <w:szCs w:val="18"/>
        </w:rPr>
        <w:endnoteRef/>
      </w:r>
      <w:r w:rsidRPr="000C32D4">
        <w:t xml:space="preserve"> Department of Health, Disability and Ageing, 2025, Psychiatry Supply and Demand Compendium Report, [page 22], </w:t>
      </w:r>
      <w:hyperlink r:id="rId112" w:history="1">
        <w:r w:rsidRPr="000C32D4">
          <w:rPr>
            <w:rStyle w:val="Hyperlink"/>
            <w:szCs w:val="18"/>
          </w:rPr>
          <w:t>https://hwd.health.gov.au/resources/primary/psychiatry-supply-and-demand-compendium-report-updated-november-2025.pdf</w:t>
        </w:r>
      </w:hyperlink>
    </w:p>
  </w:endnote>
  <w:endnote w:id="157">
    <w:p w14:paraId="6DC8BCAF" w14:textId="270D5A48" w:rsidR="009C373F" w:rsidRPr="000C32D4" w:rsidRDefault="009C373F" w:rsidP="000140A3">
      <w:r w:rsidRPr="000C32D4">
        <w:rPr>
          <w:rStyle w:val="EndnoteReference"/>
          <w:szCs w:val="18"/>
        </w:rPr>
        <w:endnoteRef/>
      </w:r>
      <w:r w:rsidRPr="000C32D4">
        <w:t xml:space="preserve"> </w:t>
      </w:r>
      <w:r w:rsidRPr="000C32D4">
        <w:rPr>
          <w:rFonts w:eastAsia="Aptos" w:cs="Aptos"/>
        </w:rPr>
        <w:t xml:space="preserve">October 2025, headspace 2024-2025 Annual Report, p. 35, </w:t>
      </w:r>
      <w:hyperlink r:id="rId113" w:history="1">
        <w:r w:rsidRPr="000C32D4">
          <w:rPr>
            <w:rStyle w:val="Hyperlink"/>
          </w:rPr>
          <w:t>https://headspace.org.au/our-impact/evaluation-research-reports/annual-reports/</w:t>
        </w:r>
      </w:hyperlink>
      <w:r w:rsidRPr="000C32D4">
        <w:rPr>
          <w:rStyle w:val="Hyperlink"/>
        </w:rPr>
        <w:t xml:space="preserve">  </w:t>
      </w:r>
    </w:p>
  </w:endnote>
  <w:endnote w:id="158">
    <w:p w14:paraId="48FB8AA6" w14:textId="1EA417ED" w:rsidR="009C373F" w:rsidRPr="000C32D4" w:rsidRDefault="009C373F" w:rsidP="000140A3">
      <w:r w:rsidRPr="000C32D4">
        <w:rPr>
          <w:rStyle w:val="EndnoteReference"/>
          <w:szCs w:val="18"/>
        </w:rPr>
        <w:endnoteRef/>
      </w:r>
      <w:r w:rsidRPr="000C32D4">
        <w:t xml:space="preserve"> Social Research Centre, 2026,</w:t>
      </w:r>
      <w:r w:rsidR="003457DC">
        <w:t xml:space="preserve"> National Mental Health and Suicide Prevention Lived Experience (Peer) Workforce Census</w:t>
      </w:r>
      <w:r w:rsidRPr="000C32D4">
        <w:t xml:space="preserve"> </w:t>
      </w:r>
      <w:hyperlink r:id="rId114" w:history="1">
        <w:r w:rsidR="003457DC">
          <w:rPr>
            <w:rStyle w:val="Hyperlink"/>
          </w:rPr>
          <w:t>https://srcentre.com.au/project-lived-experience-peer-workforce-census/</w:t>
        </w:r>
      </w:hyperlink>
      <w:r w:rsidR="003457DC">
        <w:t xml:space="preserve"> </w:t>
      </w:r>
    </w:p>
  </w:endnote>
  <w:endnote w:id="159">
    <w:p w14:paraId="7502E37C" w14:textId="5D720C2F" w:rsidR="009C373F" w:rsidRPr="000C32D4" w:rsidRDefault="009C373F" w:rsidP="000140A3">
      <w:pPr>
        <w:rPr>
          <w:lang w:val="en-AU"/>
        </w:rPr>
      </w:pPr>
      <w:r w:rsidRPr="000C32D4">
        <w:rPr>
          <w:rStyle w:val="EndnoteReference"/>
          <w:szCs w:val="18"/>
        </w:rPr>
        <w:endnoteRef/>
      </w:r>
      <w:r w:rsidRPr="000C32D4">
        <w:t xml:space="preserve"> </w:t>
      </w:r>
      <w:r w:rsidR="009F1FFF" w:rsidRPr="000C32D4">
        <w:t>National Mental Health Consumer Alliance, Australian Association of Peer Workers</w:t>
      </w:r>
      <w:r w:rsidR="003457DC">
        <w:t xml:space="preserve">. (2025). </w:t>
      </w:r>
      <w:hyperlink r:id="rId115" w:history="1">
        <w:r w:rsidR="003457DC">
          <w:rPr>
            <w:rStyle w:val="Hyperlink"/>
          </w:rPr>
          <w:t>https://nmhca.org.au/peer-association-faq/</w:t>
        </w:r>
      </w:hyperlink>
      <w:r w:rsidR="003457DC">
        <w:t xml:space="preserve"> </w:t>
      </w:r>
    </w:p>
  </w:endnote>
  <w:endnote w:id="160">
    <w:p w14:paraId="0ADDFC71" w14:textId="7B4A4DA6" w:rsidR="009C373F" w:rsidRPr="000C32D4" w:rsidRDefault="009C373F" w:rsidP="000140A3">
      <w:r w:rsidRPr="000C32D4">
        <w:rPr>
          <w:rStyle w:val="EndnoteReference"/>
          <w:szCs w:val="18"/>
        </w:rPr>
        <w:endnoteRef/>
      </w:r>
      <w:r w:rsidRPr="000C32D4">
        <w:t xml:space="preserve"> Coombs T, Dickson R, Reed C. </w:t>
      </w:r>
      <w:r w:rsidR="003457DC">
        <w:t xml:space="preserve">(2025). </w:t>
      </w:r>
      <w:r w:rsidRPr="000C32D4">
        <w:t>The ongoing development of a national approach to mental health service experience measurement in Australia. </w:t>
      </w:r>
      <w:r w:rsidRPr="000C32D4">
        <w:rPr>
          <w:i/>
          <w:iCs/>
        </w:rPr>
        <w:t>Australasian Psychiatry</w:t>
      </w:r>
      <w:r w:rsidRPr="000C32D4">
        <w:t xml:space="preserve">. 33(4):662-668. </w:t>
      </w:r>
      <w:r w:rsidRPr="007140DC">
        <w:rPr>
          <w:u w:val="single"/>
        </w:rPr>
        <w:t>doi:</w:t>
      </w:r>
      <w:hyperlink r:id="rId116" w:history="1">
        <w:r w:rsidRPr="007140DC">
          <w:rPr>
            <w:u w:val="single"/>
          </w:rPr>
          <w:t>10.1177/10398562251335547</w:t>
        </w:r>
      </w:hyperlink>
    </w:p>
  </w:endnote>
  <w:endnote w:id="161">
    <w:p w14:paraId="012A4037" w14:textId="52FABBDB" w:rsidR="009C373F" w:rsidRPr="000C32D4" w:rsidRDefault="009C373F" w:rsidP="000140A3">
      <w:pPr>
        <w:rPr>
          <w:lang w:val="en-AU"/>
        </w:rPr>
      </w:pPr>
      <w:r w:rsidRPr="000C32D4">
        <w:rPr>
          <w:rStyle w:val="EndnoteReference"/>
          <w:szCs w:val="18"/>
        </w:rPr>
        <w:endnoteRef/>
      </w:r>
      <w:r w:rsidRPr="000C32D4">
        <w:t xml:space="preserve"> </w:t>
      </w:r>
      <w:r w:rsidRPr="000C32D4">
        <w:rPr>
          <w:rStyle w:val="normaltextrun"/>
          <w:rFonts w:eastAsia="Times New Roman" w:cs="Segoe UI"/>
          <w:szCs w:val="18"/>
          <w:lang w:eastAsia="en-AU"/>
        </w:rPr>
        <w:t>Australian Mental Health Outcomes and Classification Network</w:t>
      </w:r>
      <w:r w:rsidR="00DA4383">
        <w:rPr>
          <w:rStyle w:val="normaltextrun"/>
          <w:rFonts w:eastAsia="Times New Roman" w:cs="Segoe UI"/>
          <w:szCs w:val="18"/>
          <w:lang w:eastAsia="en-AU"/>
        </w:rPr>
        <w:t>.</w:t>
      </w:r>
      <w:r w:rsidRPr="000C32D4">
        <w:rPr>
          <w:rStyle w:val="normaltextrun"/>
          <w:rFonts w:eastAsia="Times New Roman" w:cs="Segoe UI"/>
          <w:szCs w:val="18"/>
          <w:lang w:eastAsia="en-AU"/>
        </w:rPr>
        <w:t xml:space="preserve"> (AMHOCN)</w:t>
      </w:r>
      <w:r w:rsidR="00DA4383">
        <w:rPr>
          <w:rStyle w:val="normaltextrun"/>
          <w:rFonts w:eastAsia="Times New Roman" w:cs="Segoe UI"/>
          <w:szCs w:val="18"/>
          <w:lang w:eastAsia="en-AU"/>
        </w:rPr>
        <w:t>.</w:t>
      </w:r>
      <w:r w:rsidRPr="000C32D4">
        <w:rPr>
          <w:rStyle w:val="normaltextrun"/>
          <w:rFonts w:eastAsia="Times New Roman" w:cs="Segoe UI"/>
          <w:szCs w:val="18"/>
          <w:lang w:eastAsia="en-AU"/>
        </w:rPr>
        <w:t xml:space="preserve"> Your Experience of Service (YES) surveys</w:t>
      </w:r>
      <w:r w:rsidR="00DA4383">
        <w:rPr>
          <w:rStyle w:val="normaltextrun"/>
          <w:rFonts w:eastAsia="Times New Roman" w:cs="Segoe UI"/>
          <w:szCs w:val="18"/>
          <w:lang w:eastAsia="en-AU"/>
        </w:rPr>
        <w:t xml:space="preserve">. </w:t>
      </w:r>
      <w:hyperlink r:id="rId117" w:history="1">
        <w:r w:rsidRPr="000C32D4">
          <w:rPr>
            <w:rStyle w:val="Hyperlink"/>
            <w:szCs w:val="18"/>
          </w:rPr>
          <w:t>https://www.amhocn.org/training-and-service-development/experience-measures/application-for-use</w:t>
        </w:r>
      </w:hyperlink>
    </w:p>
  </w:endnote>
  <w:endnote w:id="162">
    <w:p w14:paraId="43222D24" w14:textId="7805B13F" w:rsidR="00406C56" w:rsidRPr="000C32D4" w:rsidRDefault="00406C56" w:rsidP="00406C56">
      <w:pPr>
        <w:rPr>
          <w:lang w:val="en-AU"/>
        </w:rPr>
      </w:pPr>
      <w:r w:rsidRPr="000C32D4">
        <w:rPr>
          <w:rStyle w:val="EndnoteReference"/>
          <w:szCs w:val="18"/>
        </w:rPr>
        <w:endnoteRef/>
      </w:r>
      <w:r w:rsidRPr="000C32D4">
        <w:t xml:space="preserve"> Brazel M, Allison S, </w:t>
      </w:r>
      <w:r w:rsidRPr="000C32D4">
        <w:t xml:space="preserve">Bastiampillai T, Kisely SR, Looi JC. </w:t>
      </w:r>
      <w:r w:rsidR="00DA4383">
        <w:t xml:space="preserve">(2023). </w:t>
      </w:r>
      <w:r w:rsidRPr="000C32D4">
        <w:t>Patients languishing in emergency departments: A descriptive analysis of mental health-related emergency department presentations in Australia between 2016-17 and 2020-21. </w:t>
      </w:r>
      <w:r w:rsidRPr="000C32D4">
        <w:rPr>
          <w:i/>
          <w:iCs/>
        </w:rPr>
        <w:t>Australasian Psychiatry</w:t>
      </w:r>
      <w:r w:rsidRPr="000C32D4">
        <w:t>.</w:t>
      </w:r>
      <w:r w:rsidR="003457DC">
        <w:t xml:space="preserve"> </w:t>
      </w:r>
      <w:r w:rsidRPr="000C32D4">
        <w:t>31(5):646-651. doi:</w:t>
      </w:r>
      <w:hyperlink r:id="rId118" w:history="1">
        <w:r w:rsidRPr="000C32D4">
          <w:rPr>
            <w:rStyle w:val="Hyperlink"/>
            <w:szCs w:val="18"/>
          </w:rPr>
          <w:t>10.1177/10398562231195438</w:t>
        </w:r>
      </w:hyperlink>
    </w:p>
  </w:endnote>
  <w:endnote w:id="163">
    <w:p w14:paraId="112A857D" w14:textId="47363DB0" w:rsidR="00406C56" w:rsidRPr="000C32D4" w:rsidRDefault="00406C56" w:rsidP="00406C56">
      <w:pPr>
        <w:rPr>
          <w:lang w:val="en-AU"/>
        </w:rPr>
      </w:pPr>
      <w:r w:rsidRPr="000C32D4">
        <w:rPr>
          <w:rStyle w:val="EndnoteReference"/>
          <w:szCs w:val="18"/>
        </w:rPr>
        <w:endnoteRef/>
      </w:r>
      <w:r w:rsidRPr="000C32D4">
        <w:t xml:space="preserve"> </w:t>
      </w:r>
      <w:r w:rsidRPr="000C32D4">
        <w:rPr>
          <w:color w:val="5B626C" w:themeColor="text1"/>
        </w:rPr>
        <w:t xml:space="preserve">Australasian College for Emergency Medicine State of Emergency: Regional, Rural and Remote 2024 Report, published January 2025. </w:t>
      </w:r>
      <w:hyperlink r:id="rId119" w:history="1">
        <w:r w:rsidRPr="000C32D4">
          <w:rPr>
            <w:u w:val="single"/>
          </w:rPr>
          <w:t>https://acem.org.au/Content-Sources/Advancing-Emergency-Medicine/Better-Outcomes-for-Patients/Access-Block-(1)/State-of-Emergency-2022</w:t>
        </w:r>
      </w:hyperlink>
    </w:p>
  </w:endnote>
  <w:endnote w:id="164">
    <w:p w14:paraId="274FC3DC" w14:textId="3464D41A" w:rsidR="00406C56" w:rsidRPr="000C32D4" w:rsidRDefault="00406C56" w:rsidP="00406C56">
      <w:pPr>
        <w:rPr>
          <w:lang w:val="en-AU"/>
        </w:rPr>
      </w:pPr>
      <w:r w:rsidRPr="000C32D4">
        <w:rPr>
          <w:rStyle w:val="EndnoteReference"/>
          <w:color w:val="5B626C" w:themeColor="text1"/>
          <w:szCs w:val="18"/>
        </w:rPr>
        <w:endnoteRef/>
      </w:r>
      <w:r w:rsidRPr="000C32D4">
        <w:rPr>
          <w:color w:val="5B626C" w:themeColor="text1"/>
        </w:rPr>
        <w:t xml:space="preserve"> Department of Health, Disability and Ageing</w:t>
      </w:r>
      <w:r w:rsidR="003457DC">
        <w:rPr>
          <w:color w:val="5B626C" w:themeColor="text1"/>
        </w:rPr>
        <w:t>.</w:t>
      </w:r>
      <w:r w:rsidRPr="000C32D4">
        <w:rPr>
          <w:color w:val="5B626C" w:themeColor="text1"/>
        </w:rPr>
        <w:t xml:space="preserve"> </w:t>
      </w:r>
      <w:r w:rsidR="003457DC">
        <w:rPr>
          <w:color w:val="5B626C" w:themeColor="text1"/>
        </w:rPr>
        <w:t>(</w:t>
      </w:r>
      <w:r w:rsidRPr="000C32D4">
        <w:rPr>
          <w:color w:val="5B626C" w:themeColor="text1"/>
        </w:rPr>
        <w:t xml:space="preserve">February </w:t>
      </w:r>
      <w:r w:rsidRPr="000C32D4">
        <w:t>2025</w:t>
      </w:r>
      <w:r w:rsidR="003457DC">
        <w:t>).</w:t>
      </w:r>
      <w:r w:rsidRPr="000C32D4">
        <w:t xml:space="preserve"> </w:t>
      </w:r>
      <w:hyperlink r:id="rId120" w:history="1">
        <w:r w:rsidR="003457DC">
          <w:rPr>
            <w:rStyle w:val="Hyperlink"/>
          </w:rPr>
          <w:t>https://www.health.gov.au/resources/publications/national-mental-health-and-suicide-prevention-evaluation-framework?language=en</w:t>
        </w:r>
      </w:hyperlink>
    </w:p>
  </w:endnote>
  <w:endnote w:id="165">
    <w:p w14:paraId="3042EFE3" w14:textId="07433D2E" w:rsidR="00F86D41" w:rsidRPr="000C32D4" w:rsidRDefault="00F86D41" w:rsidP="00011374">
      <w:r w:rsidRPr="000C32D4">
        <w:rPr>
          <w:rStyle w:val="EndnoteReference"/>
          <w:color w:val="5B626C" w:themeColor="text1"/>
          <w:szCs w:val="18"/>
        </w:rPr>
        <w:endnoteRef/>
      </w:r>
      <w:r w:rsidRPr="000C32D4">
        <w:rPr>
          <w:color w:val="5B626C" w:themeColor="text1"/>
        </w:rPr>
        <w:t xml:space="preserve"> World Health Organization. Mental disorders. WHO; 2022 Available from: </w:t>
      </w:r>
      <w:hyperlink r:id="rId121" w:history="1">
        <w:r w:rsidRPr="000C32D4">
          <w:rPr>
            <w:u w:val="single"/>
          </w:rPr>
          <w:t>https://www.who.int/news-room/fact-sheets/detail/mental-disorders</w:t>
        </w:r>
      </w:hyperlink>
    </w:p>
    <w:p w14:paraId="397FE857" w14:textId="77777777" w:rsidR="000A477D" w:rsidRPr="00F86D41" w:rsidRDefault="000A477D" w:rsidP="000113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Roboto-Bold">
    <w:altName w:val="Roboto"/>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Light">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Regular">
    <w:altName w:val="Roboto"/>
    <w:panose1 w:val="02000000000000000000"/>
    <w:charset w:val="00"/>
    <w:family w:val="auto"/>
    <w:notTrueType/>
    <w:pitch w:val="variable"/>
    <w:sig w:usb0="E0000AFF" w:usb1="5000217F" w:usb2="00000021" w:usb3="00000000" w:csb0="0000019F" w:csb1="00000000"/>
  </w:font>
  <w:font w:name="Roboto">
    <w:panose1 w:val="02000000000000000000"/>
    <w:charset w:val="00"/>
    <w:family w:val="auto"/>
    <w:pitch w:val="variable"/>
    <w:sig w:usb0="E0000AFF" w:usb1="5000217F" w:usb2="00000021" w:usb3="00000000" w:csb0="0000019F" w:csb1="00000000"/>
  </w:font>
  <w:font w:name="Merriweather-Regular">
    <w:altName w:val="Cambria"/>
    <w:panose1 w:val="00000500000000000000"/>
    <w:charset w:val="4D"/>
    <w:family w:val="auto"/>
    <w:pitch w:val="variable"/>
    <w:sig w:usb0="A00002BF" w:usb1="5000207B" w:usb2="00000008" w:usb3="00000000" w:csb0="00000197" w:csb1="00000000"/>
  </w:font>
  <w:font w:name="Roboto-Medium">
    <w:panose1 w:val="02000000000000000000"/>
    <w:charset w:val="00"/>
    <w:family w:val="auto"/>
    <w:pitch w:val="variable"/>
    <w:sig w:usb0="E0000AFF" w:usb1="5000217F" w:usb2="00000021" w:usb3="00000000" w:csb0="0000019F" w:csb1="00000000"/>
  </w:font>
  <w:font w:name="MinionPro-Regular">
    <w:altName w:val="Cambria"/>
    <w:panose1 w:val="02040503050201020203"/>
    <w:charset w:val="4D"/>
    <w:family w:val="auto"/>
    <w:notTrueType/>
    <w:pitch w:val="default"/>
    <w:sig w:usb0="00000003" w:usb1="00000000" w:usb2="00000000" w:usb3="00000000" w:csb0="00000001" w:csb1="00000000"/>
  </w:font>
  <w:font w:name="MerriweatherLight">
    <w:altName w:val="Calibri"/>
    <w:panose1 w:val="00000400000000000000"/>
    <w:charset w:val="4D"/>
    <w:family w:val="auto"/>
    <w:pitch w:val="variable"/>
    <w:sig w:usb0="A00002BF" w:usb1="5000207B" w:usb2="00000008" w:usb3="00000000" w:csb0="00000197" w:csb1="00000000"/>
  </w:font>
  <w:font w:name="Merriweather">
    <w:altName w:val="Calibri"/>
    <w:panose1 w:val="00000500000000000000"/>
    <w:charset w:val="00"/>
    <w:family w:val="auto"/>
    <w:pitch w:val="variable"/>
    <w:sig w:usb0="20000207" w:usb1="00000002" w:usb2="00000000" w:usb3="00000000" w:csb0="00000197" w:csb1="00000000"/>
  </w:font>
  <w:font w:name="Roboto Light">
    <w:panose1 w:val="02000000000000000000"/>
    <w:charset w:val="00"/>
    <w:family w:val="auto"/>
    <w:pitch w:val="variable"/>
    <w:sig w:usb0="E0000AFF" w:usb1="5000217F" w:usb2="00000021" w:usb3="00000000" w:csb0="0000019F" w:csb1="00000000"/>
  </w:font>
  <w:font w:name="Adobe Garamond Pro">
    <w:panose1 w:val="02020502060506020403"/>
    <w:charset w:val="4D"/>
    <w:family w:val="roman"/>
    <w:pitch w:val="variable"/>
    <w:sig w:usb0="00000007" w:usb1="00000001" w:usb2="00000000" w:usb3="00000000" w:csb0="00000093" w:csb1="00000000"/>
  </w:font>
  <w:font w:name="Adobe Garamond Pro Bold">
    <w:panose1 w:val="02020702060506020403"/>
    <w:charset w:val="4D"/>
    <w:family w:val="roman"/>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cciona ExtraLight">
    <w:panose1 w:val="00000300000000000000"/>
    <w:charset w:val="4D"/>
    <w:family w:val="auto"/>
    <w:pitch w:val="variable"/>
    <w:sig w:usb0="00000007" w:usb1="00000000" w:usb2="00000000" w:usb3="00000000" w:csb0="00000093" w:csb1="00000000"/>
  </w:font>
  <w:font w:name="Merriweather 18pt">
    <w:panose1 w:val="00000000000000000000"/>
    <w:charset w:val="4D"/>
    <w:family w:val="auto"/>
    <w:pitch w:val="variable"/>
    <w:sig w:usb0="A10006FF" w:usb1="4001E4FB" w:usb2="00000000" w:usb3="00000000" w:csb0="00000197" w:csb1="00000000"/>
  </w:font>
  <w:font w:name="Open Sans">
    <w:panose1 w:val="00000000000000000000"/>
    <w:charset w:val="00"/>
    <w:family w:val="auto"/>
    <w:pitch w:val="variable"/>
    <w:sig w:usb0="E00002EF" w:usb1="4000205B" w:usb2="00000028"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C93532" w14:textId="096D5075" w:rsidR="00ED090F" w:rsidRDefault="00360361" w:rsidP="003A26B9">
    <w:pPr>
      <w:pStyle w:val="Footer"/>
      <w:rPr>
        <w:rStyle w:val="PageNumber"/>
      </w:rPr>
    </w:pPr>
    <w:r>
      <w:rPr>
        <w:rFonts w:ascii="Roboto-Bold" w:hAnsi="Roboto-Bold"/>
        <w:noProof/>
        <w:color w:val="008143"/>
      </w:rPr>
      <mc:AlternateContent>
        <mc:Choice Requires="wps">
          <w:drawing>
            <wp:anchor distT="0" distB="0" distL="0" distR="0" simplePos="0" relativeHeight="251684897" behindDoc="0" locked="0" layoutInCell="1" allowOverlap="1" wp14:anchorId="41B43C52" wp14:editId="2CDB86E0">
              <wp:simplePos x="635" y="635"/>
              <wp:positionH relativeFrom="page">
                <wp:align>center</wp:align>
              </wp:positionH>
              <wp:positionV relativeFrom="page">
                <wp:align>bottom</wp:align>
              </wp:positionV>
              <wp:extent cx="622300" cy="376555"/>
              <wp:effectExtent l="0" t="0" r="6350" b="0"/>
              <wp:wrapNone/>
              <wp:docPr id="1517989214" name="Text Box 20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4510CD" w14:textId="2CA25520"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B43C52" id="_x0000_t202" coordsize="21600,21600" o:spt="202" path="m,l,21600r21600,l21600,xe">
              <v:stroke joinstyle="miter"/>
              <v:path gradientshapeok="t" o:connecttype="rect"/>
            </v:shapetype>
            <v:shape id="Text Box 207" o:spid="_x0000_s1028" type="#_x0000_t202" alt="OFFICIAL" style="position:absolute;margin-left:0;margin-top:0;width:49pt;height:29.65pt;z-index:25168489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" filled="f" stroked="f">
              <v:textbox style="mso-fit-shape-to-text:t" inset="0,0,0,15pt">
                <w:txbxContent>
                  <w:p w14:paraId="184510CD" w14:textId="2CA25520"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sdt>
    <w:sdtPr>
      <w:rPr>
        <w:rStyle w:val="PageNumber"/>
      </w:rPr>
      <w:id w:val="-1351712444"/>
      <w:docPartObj>
        <w:docPartGallery w:val="Page Numbers (Bottom of Page)"/>
        <w:docPartUnique/>
      </w:docPartObj>
    </w:sdtPr>
    <w:sdtContent>
      <w:p w14:paraId="0E2B1813" w14:textId="77777777" w:rsidR="00ED090F" w:rsidRDefault="00ED090F" w:rsidP="003A26B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DE05BB">
          <w:rPr>
            <w:rStyle w:val="PageNumber"/>
            <w:noProof/>
          </w:rPr>
          <w:t>5</w:t>
        </w:r>
        <w:r>
          <w:rPr>
            <w:rStyle w:val="PageNumber"/>
          </w:rPr>
          <w:fldChar w:fldCharType="end"/>
        </w:r>
      </w:p>
    </w:sdtContent>
  </w:sdt>
  <w:p w14:paraId="5D0AB33A" w14:textId="77777777" w:rsidR="00ED090F" w:rsidRDefault="00ED090F" w:rsidP="003A26B9">
    <w:pPr>
      <w:pStyle w:val="Footer"/>
    </w:pPr>
  </w:p>
  <w:p w14:paraId="7E8A9FC4" w14:textId="77777777" w:rsidR="003E2D9C" w:rsidRDefault="003E2D9C"/>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571902" w14:textId="0E0C2BAB" w:rsidR="00604985" w:rsidRPr="00D3192F" w:rsidRDefault="00604985" w:rsidP="00DF6E2D">
    <w:pPr>
      <w:pStyle w:val="Folio-DocumentNameFOLIO"/>
      <w:tabs>
        <w:tab w:val="left" w:pos="8789"/>
      </w:tabs>
      <w:rPr>
        <w:color w:val="545A60" w:themeColor="accent3"/>
      </w:rPr>
    </w:pPr>
    <w:r w:rsidRPr="00D3192F">
      <w:rPr>
        <w:color w:val="545A60" w:themeColor="accent3"/>
      </w:rPr>
      <w:t>National Mental Health Commission • National Report Card 2025</w:t>
    </w:r>
    <w:r w:rsidRPr="00D3192F">
      <w:rPr>
        <w:rStyle w:val="PageNumber"/>
        <w:color w:val="545A60" w:themeColor="accent3"/>
      </w:rPr>
      <w:t xml:space="preserve"> </w:t>
    </w:r>
    <w:sdt>
      <w:sdtPr>
        <w:rPr>
          <w:rStyle w:val="PageNumber"/>
          <w:color w:val="545A60" w:themeColor="accent3"/>
        </w:rPr>
        <w:id w:val="-72436557"/>
        <w:docPartObj>
          <w:docPartGallery w:val="Page Numbers (Bottom of Page)"/>
          <w:docPartUnique/>
        </w:docPartObj>
      </w:sdtPr>
      <w:sdtContent>
        <w:r>
          <w:rPr>
            <w:rStyle w:val="PageNumber"/>
            <w:color w:val="545A60" w:themeColor="accent3"/>
          </w:rPr>
          <w:tab/>
        </w:r>
        <w:r>
          <w:rPr>
            <w:rStyle w:val="PageNumber"/>
            <w:color w:val="545A60" w:themeColor="accent3"/>
          </w:rPr>
          <w:tab/>
        </w:r>
        <w:r>
          <w:rPr>
            <w:rStyle w:val="PageNumber"/>
            <w:color w:val="545A60" w:themeColor="accent3"/>
          </w:rPr>
          <w:tab/>
        </w:r>
        <w:r>
          <w:rPr>
            <w:rStyle w:val="PageNumber"/>
            <w:color w:val="545A60" w:themeColor="accent3"/>
          </w:rPr>
          <w:tab/>
        </w:r>
        <w:r>
          <w:rPr>
            <w:rStyle w:val="PageNumber"/>
            <w:color w:val="545A60" w:themeColor="accent3"/>
          </w:rPr>
          <w:tab/>
        </w:r>
        <w:r>
          <w:rPr>
            <w:rStyle w:val="PageNumber"/>
            <w:color w:val="545A60" w:themeColor="accent3"/>
          </w:rPr>
          <w:tab/>
        </w:r>
        <w:r>
          <w:rPr>
            <w:rStyle w:val="PageNumber"/>
            <w:color w:val="545A60" w:themeColor="accent3"/>
          </w:rPr>
          <w:tab/>
          <w:t xml:space="preserve">        </w:t>
        </w:r>
        <w:r w:rsidRPr="00D3192F">
          <w:rPr>
            <w:rStyle w:val="PageNumber"/>
            <w:color w:val="545A60" w:themeColor="accent3"/>
          </w:rPr>
          <w:fldChar w:fldCharType="begin"/>
        </w:r>
        <w:r w:rsidRPr="00D3192F">
          <w:rPr>
            <w:rStyle w:val="PageNumber"/>
            <w:color w:val="545A60" w:themeColor="accent3"/>
          </w:rPr>
          <w:instrText xml:space="preserve"> PAGE </w:instrText>
        </w:r>
        <w:r w:rsidRPr="00D3192F">
          <w:rPr>
            <w:rStyle w:val="PageNumber"/>
            <w:color w:val="545A60" w:themeColor="accent3"/>
          </w:rPr>
          <w:fldChar w:fldCharType="separate"/>
        </w:r>
        <w:r>
          <w:rPr>
            <w:rStyle w:val="PageNumber"/>
          </w:rPr>
          <w:t>69</w:t>
        </w:r>
        <w:r w:rsidRPr="00D3192F">
          <w:rPr>
            <w:rStyle w:val="PageNumber"/>
            <w:color w:val="545A60" w:themeColor="accent3"/>
          </w:rPr>
          <w:fldChar w:fldCharType="end"/>
        </w:r>
      </w:sdtContent>
    </w:sdt>
  </w:p>
  <w:p w14:paraId="67673CFD" w14:textId="77777777" w:rsidR="00604985" w:rsidRPr="00737032" w:rsidRDefault="00604985" w:rsidP="00235BB8">
    <w:pPr>
      <w:pStyle w:val="Folio-DocumentNameFOLIO"/>
    </w:pPr>
    <w:r>
      <w:rPr>
        <w:noProof/>
      </w:rPr>
      <w:drawing>
        <wp:anchor distT="0" distB="0" distL="114300" distR="114300" simplePos="0" relativeHeight="251712545" behindDoc="1" locked="0" layoutInCell="1" allowOverlap="1" wp14:anchorId="7E9B98E3" wp14:editId="32453AA5">
          <wp:simplePos x="0" y="0"/>
          <wp:positionH relativeFrom="page">
            <wp:posOffset>-3810</wp:posOffset>
          </wp:positionH>
          <wp:positionV relativeFrom="page">
            <wp:posOffset>10815955</wp:posOffset>
          </wp:positionV>
          <wp:extent cx="7556400" cy="10692000"/>
          <wp:effectExtent l="0" t="0" r="6985" b="0"/>
          <wp:wrapNone/>
          <wp:docPr id="900497363" name="Graphic 900497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12183" name="Graphic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00EBC3" w14:textId="7E68AE64" w:rsidR="00604985" w:rsidRPr="00D3192F" w:rsidRDefault="00604985" w:rsidP="00DF6E2D">
    <w:pPr>
      <w:pStyle w:val="Folio-DocumentNameFOLIO"/>
      <w:tabs>
        <w:tab w:val="left" w:pos="8789"/>
      </w:tabs>
      <w:rPr>
        <w:color w:val="545A60" w:themeColor="accent3"/>
      </w:rPr>
    </w:pPr>
    <w:r w:rsidRPr="00D3192F">
      <w:rPr>
        <w:color w:val="545A60" w:themeColor="accent3"/>
      </w:rPr>
      <w:t>National Mental Health Commission • National Report Card 2025</w:t>
    </w:r>
    <w:r w:rsidRPr="00D3192F">
      <w:rPr>
        <w:rStyle w:val="PageNumber"/>
        <w:color w:val="545A60" w:themeColor="accent3"/>
      </w:rPr>
      <w:t xml:space="preserve"> </w:t>
    </w:r>
    <w:sdt>
      <w:sdtPr>
        <w:rPr>
          <w:rStyle w:val="PageNumber"/>
          <w:color w:val="545A60" w:themeColor="accent3"/>
        </w:rPr>
        <w:id w:val="510956190"/>
        <w:docPartObj>
          <w:docPartGallery w:val="Page Numbers (Bottom of Page)"/>
          <w:docPartUnique/>
        </w:docPartObj>
      </w:sdtPr>
      <w:sdtContent>
        <w:r>
          <w:rPr>
            <w:rStyle w:val="PageNumber"/>
            <w:color w:val="545A60" w:themeColor="accent3"/>
          </w:rPr>
          <w:tab/>
        </w:r>
        <w:r w:rsidRPr="00D3192F">
          <w:rPr>
            <w:rStyle w:val="PageNumber"/>
            <w:color w:val="545A60" w:themeColor="accent3"/>
          </w:rPr>
          <w:fldChar w:fldCharType="begin"/>
        </w:r>
        <w:r w:rsidRPr="00D3192F">
          <w:rPr>
            <w:rStyle w:val="PageNumber"/>
            <w:color w:val="545A60" w:themeColor="accent3"/>
          </w:rPr>
          <w:instrText xml:space="preserve"> PAGE </w:instrText>
        </w:r>
        <w:r w:rsidRPr="00D3192F">
          <w:rPr>
            <w:rStyle w:val="PageNumber"/>
            <w:color w:val="545A60" w:themeColor="accent3"/>
          </w:rPr>
          <w:fldChar w:fldCharType="separate"/>
        </w:r>
        <w:r>
          <w:rPr>
            <w:rStyle w:val="PageNumber"/>
          </w:rPr>
          <w:t>69</w:t>
        </w:r>
        <w:r w:rsidRPr="00D3192F">
          <w:rPr>
            <w:rStyle w:val="PageNumber"/>
            <w:color w:val="545A60" w:themeColor="accent3"/>
          </w:rPr>
          <w:fldChar w:fldCharType="end"/>
        </w:r>
      </w:sdtContent>
    </w:sdt>
  </w:p>
  <w:p w14:paraId="54614638" w14:textId="77777777" w:rsidR="00604985" w:rsidRPr="00737032" w:rsidRDefault="00604985" w:rsidP="00235BB8">
    <w:pPr>
      <w:pStyle w:val="Folio-DocumentNameFOLIO"/>
    </w:pPr>
    <w:r>
      <w:rPr>
        <w:noProof/>
      </w:rPr>
      <w:drawing>
        <wp:anchor distT="0" distB="0" distL="114300" distR="114300" simplePos="0" relativeHeight="251714593" behindDoc="1" locked="0" layoutInCell="1" allowOverlap="1" wp14:anchorId="32CFBCE5" wp14:editId="668E5BE8">
          <wp:simplePos x="0" y="0"/>
          <wp:positionH relativeFrom="page">
            <wp:posOffset>-3810</wp:posOffset>
          </wp:positionH>
          <wp:positionV relativeFrom="page">
            <wp:posOffset>10815955</wp:posOffset>
          </wp:positionV>
          <wp:extent cx="7556400" cy="10692000"/>
          <wp:effectExtent l="0" t="0" r="6985" b="0"/>
          <wp:wrapNone/>
          <wp:docPr id="2071842627" name="Graphic 20718426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12183" name="Graphic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13F289" w14:textId="2F41CDED" w:rsidR="003E2D9C" w:rsidRPr="004E5D44" w:rsidRDefault="004E5D44" w:rsidP="004E5D44">
    <w:pPr>
      <w:pStyle w:val="Folio-DocumentNameFOLIO"/>
      <w:tabs>
        <w:tab w:val="left" w:pos="8789"/>
      </w:tabs>
      <w:rPr>
        <w:color w:val="545A60" w:themeColor="accent3"/>
      </w:rPr>
    </w:pPr>
    <w:r w:rsidRPr="00D3192F">
      <w:rPr>
        <w:color w:val="545A60" w:themeColor="accent3"/>
      </w:rPr>
      <w:t>National Mental Health Commission • National Report Card 2025</w:t>
    </w:r>
    <w:r w:rsidRPr="00D3192F">
      <w:rPr>
        <w:rStyle w:val="PageNumber"/>
        <w:color w:val="545A60" w:themeColor="accent3"/>
      </w:rPr>
      <w:t xml:space="preserve"> </w:t>
    </w:r>
    <w:r w:rsidRPr="00D3192F">
      <w:rPr>
        <w:rStyle w:val="PageNumber"/>
        <w:color w:val="545A60" w:themeColor="accent3"/>
      </w:rPr>
      <w:tab/>
    </w:r>
    <w:sdt>
      <w:sdtPr>
        <w:rPr>
          <w:rStyle w:val="PageNumber"/>
          <w:color w:val="545A60" w:themeColor="accent3"/>
        </w:rPr>
        <w:id w:val="-684211435"/>
        <w:docPartObj>
          <w:docPartGallery w:val="Page Numbers (Bottom of Page)"/>
          <w:docPartUnique/>
        </w:docPartObj>
      </w:sdtPr>
      <w:sdtContent>
        <w:r w:rsidRPr="00D3192F">
          <w:rPr>
            <w:rStyle w:val="PageNumber"/>
            <w:color w:val="545A60" w:themeColor="accent3"/>
          </w:rPr>
          <w:fldChar w:fldCharType="begin"/>
        </w:r>
        <w:r w:rsidRPr="00D3192F">
          <w:rPr>
            <w:rStyle w:val="PageNumber"/>
            <w:color w:val="545A60" w:themeColor="accent3"/>
          </w:rPr>
          <w:instrText xml:space="preserve"> PAGE </w:instrText>
        </w:r>
        <w:r w:rsidRPr="00D3192F">
          <w:rPr>
            <w:rStyle w:val="PageNumber"/>
            <w:color w:val="545A60" w:themeColor="accent3"/>
          </w:rPr>
          <w:fldChar w:fldCharType="separate"/>
        </w:r>
        <w:r>
          <w:rPr>
            <w:rStyle w:val="PageNumber"/>
            <w:color w:val="545A60" w:themeColor="accent3"/>
          </w:rPr>
          <w:t>4</w:t>
        </w:r>
        <w:r w:rsidRPr="00D3192F">
          <w:rPr>
            <w:rStyle w:val="PageNumber"/>
            <w:color w:val="545A60" w:themeColor="accent3"/>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63C139" w14:textId="0FB4EE46" w:rsidR="00822A92" w:rsidRDefault="00360361">
    <w:pPr>
      <w:pStyle w:val="Footer"/>
    </w:pPr>
    <w:r>
      <w:rPr>
        <w:noProof/>
      </w:rPr>
      <mc:AlternateContent>
        <mc:Choice Requires="wps">
          <w:drawing>
            <wp:anchor distT="0" distB="0" distL="0" distR="0" simplePos="0" relativeHeight="251683873" behindDoc="0" locked="0" layoutInCell="1" allowOverlap="1" wp14:anchorId="2B25BBBD" wp14:editId="7B890A02">
              <wp:simplePos x="635" y="635"/>
              <wp:positionH relativeFrom="page">
                <wp:align>center</wp:align>
              </wp:positionH>
              <wp:positionV relativeFrom="page">
                <wp:align>bottom</wp:align>
              </wp:positionV>
              <wp:extent cx="622300" cy="376555"/>
              <wp:effectExtent l="0" t="0" r="6350" b="0"/>
              <wp:wrapNone/>
              <wp:docPr id="870651652" name="Text Box 20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2CDEA2" w14:textId="1E65D681"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25BBBD" id="_x0000_t202" coordsize="21600,21600" o:spt="202" path="m,l,21600r21600,l21600,xe">
              <v:stroke joinstyle="miter"/>
              <v:path gradientshapeok="t" o:connecttype="rect"/>
            </v:shapetype>
            <v:shape id="Text Box 206" o:spid="_x0000_s1030" type="#_x0000_t202" alt="OFFICIAL" style="position:absolute;margin-left:0;margin-top:0;width:49pt;height:29.65pt;z-index:25168387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" filled="f" stroked="f">
              <v:textbox style="mso-fit-shape-to-text:t" inset="0,0,0,15pt">
                <w:txbxContent>
                  <w:p w14:paraId="522CDEA2" w14:textId="1E65D681"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FCB4CF" w14:textId="1A19B2EE" w:rsidR="009C373F" w:rsidRDefault="00360361">
    <w:pPr>
      <w:rPr>
        <w:color w:val="auto"/>
      </w:rPr>
    </w:pPr>
    <w:r>
      <w:rPr>
        <w:noProof/>
        <w:color w:val="auto"/>
      </w:rPr>
      <mc:AlternateContent>
        <mc:Choice Requires="wps">
          <w:drawing>
            <wp:anchor distT="0" distB="0" distL="0" distR="0" simplePos="0" relativeHeight="251687969" behindDoc="0" locked="0" layoutInCell="1" allowOverlap="1" wp14:anchorId="66F220D0" wp14:editId="611B8CF3">
              <wp:simplePos x="635" y="635"/>
              <wp:positionH relativeFrom="page">
                <wp:align>center</wp:align>
              </wp:positionH>
              <wp:positionV relativeFrom="page">
                <wp:align>bottom</wp:align>
              </wp:positionV>
              <wp:extent cx="622300" cy="376555"/>
              <wp:effectExtent l="0" t="0" r="6350" b="0"/>
              <wp:wrapNone/>
              <wp:docPr id="2004879567" name="Text Box 2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91A4C02" w14:textId="00E2E6AF"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F220D0" id="_x0000_t202" coordsize="21600,21600" o:spt="202" path="m,l,21600r21600,l21600,xe">
              <v:stroke joinstyle="miter"/>
              <v:path gradientshapeok="t" o:connecttype="rect"/>
            </v:shapetype>
            <v:shape id="Text Box 210" o:spid="_x0000_s1036" type="#_x0000_t202" alt="OFFICIAL" style="position:absolute;margin-left:0;margin-top:0;width:49pt;height:29.65pt;z-index:25168796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" filled="f" stroked="f">
              <v:textbox style="mso-fit-shape-to-text:t" inset="0,0,0,15pt">
                <w:txbxContent>
                  <w:p w14:paraId="791A4C02" w14:textId="00E2E6AF"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p w14:paraId="14B15C38" w14:textId="77777777" w:rsidR="009C373F" w:rsidRDefault="009C373F">
    <w:pPr>
      <w:rPr>
        <w:color w:val="auto"/>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6A9F00" w14:textId="0CF498AD" w:rsidR="009C373F" w:rsidRPr="00D3192F" w:rsidRDefault="00DA18F6" w:rsidP="004F5DE5">
    <w:pPr>
      <w:pStyle w:val="Folio-DocumentNameFOLIO"/>
      <w:tabs>
        <w:tab w:val="left" w:pos="8789"/>
      </w:tabs>
      <w:rPr>
        <w:color w:val="545A60" w:themeColor="accent3"/>
      </w:rPr>
    </w:pPr>
    <w:r w:rsidRPr="00D3192F">
      <w:rPr>
        <w:color w:val="545A60" w:themeColor="accent3"/>
      </w:rPr>
      <w:t>National Mental Health Commission • National Report Card 2025</w:t>
    </w:r>
    <w:r w:rsidRPr="00D3192F">
      <w:rPr>
        <w:rStyle w:val="PageNumber"/>
        <w:color w:val="545A60" w:themeColor="accent3"/>
      </w:rPr>
      <w:t xml:space="preserve"> </w:t>
    </w:r>
    <w:r w:rsidR="00926D00" w:rsidRPr="00D3192F">
      <w:rPr>
        <w:rStyle w:val="PageNumber"/>
        <w:color w:val="545A60" w:themeColor="accent3"/>
      </w:rPr>
      <w:tab/>
    </w:r>
    <w:sdt>
      <w:sdtPr>
        <w:rPr>
          <w:rStyle w:val="PageNumber"/>
          <w:color w:val="545A60" w:themeColor="accent3"/>
        </w:rPr>
        <w:id w:val="1309904076"/>
        <w:docPartObj>
          <w:docPartGallery w:val="Page Numbers (Bottom of Page)"/>
          <w:docPartUnique/>
        </w:docPartObj>
      </w:sdtPr>
      <w:sdtContent>
        <w:r w:rsidRPr="00D3192F">
          <w:rPr>
            <w:rStyle w:val="PageNumber"/>
            <w:color w:val="545A60" w:themeColor="accent3"/>
          </w:rPr>
          <w:fldChar w:fldCharType="begin"/>
        </w:r>
        <w:r w:rsidRPr="00D3192F">
          <w:rPr>
            <w:rStyle w:val="PageNumber"/>
            <w:color w:val="545A60" w:themeColor="accent3"/>
          </w:rPr>
          <w:instrText xml:space="preserve"> PAGE </w:instrText>
        </w:r>
        <w:r w:rsidRPr="00D3192F">
          <w:rPr>
            <w:rStyle w:val="PageNumber"/>
            <w:color w:val="545A60" w:themeColor="accent3"/>
          </w:rPr>
          <w:fldChar w:fldCharType="separate"/>
        </w:r>
        <w:r w:rsidRPr="00D3192F">
          <w:rPr>
            <w:rStyle w:val="PageNumber"/>
            <w:color w:val="545A60" w:themeColor="accent3"/>
          </w:rPr>
          <w:t>3</w:t>
        </w:r>
        <w:r w:rsidRPr="00D3192F">
          <w:rPr>
            <w:rStyle w:val="PageNumber"/>
            <w:color w:val="545A60" w:themeColor="accent3"/>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E43CB1" w14:textId="57F63546" w:rsidR="009C373F" w:rsidRPr="00F52A17" w:rsidRDefault="009C373F">
    <w:pPr>
      <w:rPr>
        <w:color w:val="auto"/>
        <w:lang w:val="en-AU"/>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0C082A" w14:textId="77777777" w:rsidR="00F86D41" w:rsidRDefault="00F86D41" w:rsidP="00803754">
    <w:pPr>
      <w:pStyle w:val="Footer"/>
      <w:framePr w:wrap="none" w:vAnchor="text" w:hAnchor="margin" w:xAlign="right" w:y="1"/>
      <w:rPr>
        <w:rStyle w:val="PageNumber"/>
      </w:rPr>
    </w:pPr>
    <w:r>
      <w:rPr>
        <w:rFonts w:ascii="Roboto-Bold" w:hAnsi="Roboto-Bold"/>
        <w:noProof/>
        <w:color w:val="008143"/>
      </w:rPr>
      <mc:AlternateContent>
        <mc:Choice Requires="wps">
          <w:drawing>
            <wp:anchor distT="0" distB="0" distL="0" distR="0" simplePos="0" relativeHeight="251706401" behindDoc="0" locked="0" layoutInCell="1" allowOverlap="1" wp14:anchorId="60B03392" wp14:editId="62B75CB3">
              <wp:simplePos x="635" y="635"/>
              <wp:positionH relativeFrom="page">
                <wp:align>center</wp:align>
              </wp:positionH>
              <wp:positionV relativeFrom="page">
                <wp:align>bottom</wp:align>
              </wp:positionV>
              <wp:extent cx="622300" cy="376555"/>
              <wp:effectExtent l="0" t="0" r="6350" b="0"/>
              <wp:wrapNone/>
              <wp:docPr id="692468721" name="Text Box 2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A3E7CE3" w14:textId="77777777" w:rsidR="00F86D41" w:rsidRPr="00360361" w:rsidRDefault="00F86D4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B03392" id="_x0000_t202" coordsize="21600,21600" o:spt="202" path="m,l,21600r21600,l21600,xe">
              <v:stroke joinstyle="miter"/>
              <v:path gradientshapeok="t" o:connecttype="rect"/>
            </v:shapetype>
            <v:shape id="Text Box 212" o:spid="_x0000_s1045" type="#_x0000_t202" alt="OFFICIAL" style="position:absolute;margin-left:0;margin-top:0;width:49pt;height:29.65pt;z-index:25170640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" filled="f" stroked="f">
              <v:textbox style="mso-fit-shape-to-text:t" inset="0,0,0,15pt">
                <w:txbxContent>
                  <w:p w14:paraId="4A3E7CE3" w14:textId="77777777" w:rsidR="00F86D41" w:rsidRPr="00360361" w:rsidRDefault="00F86D4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sdt>
    <w:sdtPr>
      <w:rPr>
        <w:rStyle w:val="PageNumber"/>
      </w:rPr>
      <w:id w:val="720259986"/>
      <w:docPartObj>
        <w:docPartGallery w:val="Page Numbers (Bottom of Page)"/>
        <w:docPartUnique/>
      </w:docPartObj>
    </w:sdtPr>
    <w:sdtContent>
      <w:p w14:paraId="7CA209A6" w14:textId="77777777" w:rsidR="00F86D41" w:rsidRDefault="00F86D41" w:rsidP="008037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6F590FB3" w14:textId="77777777" w:rsidR="00F86D41" w:rsidRDefault="00F86D41" w:rsidP="00ED090F">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779BD6" w14:textId="5A501CCB" w:rsidR="00F86D41" w:rsidRPr="00D3192F" w:rsidRDefault="00F86D41" w:rsidP="00DF6E2D">
    <w:pPr>
      <w:pStyle w:val="Folio-DocumentNameFOLIO"/>
      <w:tabs>
        <w:tab w:val="left" w:pos="8789"/>
      </w:tabs>
      <w:rPr>
        <w:color w:val="545A60" w:themeColor="accent3"/>
      </w:rPr>
    </w:pPr>
    <w:r w:rsidRPr="00D3192F">
      <w:rPr>
        <w:color w:val="545A60" w:themeColor="accent3"/>
      </w:rPr>
      <w:t>National Mental Health Commission • National Report Card 2025</w:t>
    </w:r>
    <w:r w:rsidRPr="00D3192F">
      <w:rPr>
        <w:rStyle w:val="PageNumber"/>
        <w:color w:val="545A60" w:themeColor="accent3"/>
      </w:rPr>
      <w:t xml:space="preserve"> </w:t>
    </w:r>
    <w:r w:rsidRPr="00D3192F">
      <w:rPr>
        <w:rStyle w:val="PageNumber"/>
        <w:color w:val="545A60" w:themeColor="accent3"/>
      </w:rPr>
      <w:tab/>
    </w:r>
    <w:sdt>
      <w:sdtPr>
        <w:rPr>
          <w:rStyle w:val="PageNumber"/>
          <w:color w:val="545A60" w:themeColor="accent3"/>
        </w:rPr>
        <w:id w:val="-2038876156"/>
        <w:docPartObj>
          <w:docPartGallery w:val="Page Numbers (Bottom of Page)"/>
          <w:docPartUnique/>
        </w:docPartObj>
      </w:sdtPr>
      <w:sdtContent>
        <w:r w:rsidRPr="00D3192F">
          <w:rPr>
            <w:rStyle w:val="PageNumber"/>
            <w:color w:val="545A60" w:themeColor="accent3"/>
          </w:rPr>
          <w:fldChar w:fldCharType="begin"/>
        </w:r>
        <w:r w:rsidRPr="00D3192F">
          <w:rPr>
            <w:rStyle w:val="PageNumber"/>
            <w:color w:val="545A60" w:themeColor="accent3"/>
          </w:rPr>
          <w:instrText xml:space="preserve"> PAGE </w:instrText>
        </w:r>
        <w:r w:rsidRPr="00D3192F">
          <w:rPr>
            <w:rStyle w:val="PageNumber"/>
            <w:color w:val="545A60" w:themeColor="accent3"/>
          </w:rPr>
          <w:fldChar w:fldCharType="separate"/>
        </w:r>
        <w:r>
          <w:rPr>
            <w:rStyle w:val="PageNumber"/>
          </w:rPr>
          <w:t>69</w:t>
        </w:r>
        <w:r w:rsidRPr="00D3192F">
          <w:rPr>
            <w:rStyle w:val="PageNumber"/>
            <w:color w:val="545A60" w:themeColor="accent3"/>
          </w:rPr>
          <w:fldChar w:fldCharType="end"/>
        </w:r>
      </w:sdtContent>
    </w:sdt>
  </w:p>
  <w:p w14:paraId="6AA23C01" w14:textId="77777777" w:rsidR="00F86D41" w:rsidRPr="00737032" w:rsidRDefault="00F86D41" w:rsidP="00235BB8">
    <w:pPr>
      <w:pStyle w:val="Folio-DocumentNameFOLIO"/>
    </w:pPr>
    <w:r>
      <w:rPr>
        <w:noProof/>
      </w:rPr>
      <w:drawing>
        <wp:anchor distT="0" distB="0" distL="114300" distR="114300" simplePos="0" relativeHeight="251700257" behindDoc="1" locked="0" layoutInCell="1" allowOverlap="1" wp14:anchorId="64647595" wp14:editId="7CFFCC7C">
          <wp:simplePos x="0" y="0"/>
          <wp:positionH relativeFrom="page">
            <wp:posOffset>-3810</wp:posOffset>
          </wp:positionH>
          <wp:positionV relativeFrom="page">
            <wp:posOffset>10815955</wp:posOffset>
          </wp:positionV>
          <wp:extent cx="7556400" cy="10692000"/>
          <wp:effectExtent l="0" t="0" r="6985" b="0"/>
          <wp:wrapNone/>
          <wp:docPr id="70560149" name="Graphic 705601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12183" name="Graphic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A9A4D2" w14:textId="6B2D131C" w:rsidR="00F86D41" w:rsidRPr="00D3192F" w:rsidRDefault="00F86D41" w:rsidP="00DF6E2D">
    <w:pPr>
      <w:pStyle w:val="Folio-DocumentNameFOLIO"/>
      <w:tabs>
        <w:tab w:val="left" w:pos="8789"/>
      </w:tabs>
      <w:rPr>
        <w:color w:val="545A60" w:themeColor="accent3"/>
      </w:rPr>
    </w:pPr>
    <w:r w:rsidRPr="00D3192F">
      <w:rPr>
        <w:color w:val="545A60" w:themeColor="accent3"/>
      </w:rPr>
      <w:t>National Mental Health Commission • National Report Card 2025</w:t>
    </w:r>
    <w:r w:rsidRPr="00D3192F">
      <w:rPr>
        <w:rStyle w:val="PageNumber"/>
        <w:color w:val="545A60" w:themeColor="accent3"/>
      </w:rPr>
      <w:t xml:space="preserve"> </w:t>
    </w:r>
    <w:r w:rsidRPr="00D3192F">
      <w:rPr>
        <w:rStyle w:val="PageNumber"/>
        <w:color w:val="545A60" w:themeColor="accent3"/>
      </w:rPr>
      <w:tab/>
    </w:r>
    <w:sdt>
      <w:sdtPr>
        <w:rPr>
          <w:rStyle w:val="PageNumber"/>
          <w:color w:val="545A60" w:themeColor="accent3"/>
        </w:rPr>
        <w:id w:val="-1935049908"/>
        <w:docPartObj>
          <w:docPartGallery w:val="Page Numbers (Bottom of Page)"/>
          <w:docPartUnique/>
        </w:docPartObj>
      </w:sdtPr>
      <w:sdtContent>
        <w:r>
          <w:rPr>
            <w:rStyle w:val="PageNumber"/>
            <w:color w:val="545A60" w:themeColor="accent3"/>
          </w:rPr>
          <w:tab/>
        </w:r>
        <w:r w:rsidRPr="00D3192F">
          <w:rPr>
            <w:rStyle w:val="PageNumber"/>
            <w:color w:val="545A60" w:themeColor="accent3"/>
          </w:rPr>
          <w:fldChar w:fldCharType="begin"/>
        </w:r>
        <w:r w:rsidRPr="00D3192F">
          <w:rPr>
            <w:rStyle w:val="PageNumber"/>
            <w:color w:val="545A60" w:themeColor="accent3"/>
          </w:rPr>
          <w:instrText xml:space="preserve"> PAGE </w:instrText>
        </w:r>
        <w:r w:rsidRPr="00D3192F">
          <w:rPr>
            <w:rStyle w:val="PageNumber"/>
            <w:color w:val="545A60" w:themeColor="accent3"/>
          </w:rPr>
          <w:fldChar w:fldCharType="separate"/>
        </w:r>
        <w:r>
          <w:rPr>
            <w:rStyle w:val="PageNumber"/>
          </w:rPr>
          <w:t>69</w:t>
        </w:r>
        <w:r w:rsidRPr="00D3192F">
          <w:rPr>
            <w:rStyle w:val="PageNumber"/>
            <w:color w:val="545A60" w:themeColor="accent3"/>
          </w:rPr>
          <w:fldChar w:fldCharType="end"/>
        </w:r>
      </w:sdtContent>
    </w:sdt>
  </w:p>
  <w:p w14:paraId="4B24DB57" w14:textId="77777777" w:rsidR="00F86D41" w:rsidRPr="00737032" w:rsidRDefault="00F86D41" w:rsidP="00235BB8">
    <w:pPr>
      <w:pStyle w:val="Folio-DocumentNameFOLIO"/>
    </w:pPr>
    <w:r>
      <w:rPr>
        <w:noProof/>
      </w:rPr>
      <w:drawing>
        <wp:anchor distT="0" distB="0" distL="114300" distR="114300" simplePos="0" relativeHeight="251708449" behindDoc="1" locked="0" layoutInCell="1" allowOverlap="1" wp14:anchorId="04325182" wp14:editId="196D9B1B">
          <wp:simplePos x="0" y="0"/>
          <wp:positionH relativeFrom="page">
            <wp:posOffset>-3810</wp:posOffset>
          </wp:positionH>
          <wp:positionV relativeFrom="page">
            <wp:posOffset>10815955</wp:posOffset>
          </wp:positionV>
          <wp:extent cx="7556400" cy="10692000"/>
          <wp:effectExtent l="0" t="0" r="6985" b="0"/>
          <wp:wrapNone/>
          <wp:docPr id="1818772585" name="Graphic 18187725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12183" name="Graphic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C0D8F6" w14:textId="77777777" w:rsidR="008D7E34" w:rsidRPr="00AC0031" w:rsidRDefault="008D7E34" w:rsidP="00DC1DC6">
      <w:pPr>
        <w:rPr>
          <w:lang w:val="en-AU"/>
        </w:rPr>
      </w:pPr>
    </w:p>
  </w:footnote>
  <w:footnote w:type="continuationSeparator" w:id="0">
    <w:p w14:paraId="6068A54C" w14:textId="77777777" w:rsidR="008D7E34" w:rsidRDefault="008D7E34" w:rsidP="00DC1DC6">
      <w:r>
        <w:continuationSeparator/>
      </w:r>
    </w:p>
  </w:footnote>
  <w:footnote w:type="continuationNotice" w:id="1">
    <w:p w14:paraId="1E645BE1" w14:textId="77777777" w:rsidR="008D7E34" w:rsidRDefault="008D7E34">
      <w:pPr>
        <w:spacing w:after="0" w:line="240" w:lineRule="auto"/>
      </w:pPr>
    </w:p>
  </w:footnote>
  <w:footnote w:id="2">
    <w:p w14:paraId="64F8B909" w14:textId="77777777" w:rsidR="009C373F" w:rsidRPr="00A25A47" w:rsidRDefault="009C373F" w:rsidP="00A25A47">
      <w:pPr>
        <w:pStyle w:val="FootnoteText"/>
      </w:pPr>
      <w:r w:rsidRPr="00A25A47">
        <w:rPr>
          <w:rStyle w:val="FootnoteReference"/>
          <w:vertAlign w:val="baseline"/>
        </w:rPr>
        <w:footnoteRef/>
      </w:r>
      <w:r w:rsidRPr="00A25A47">
        <w:t xml:space="preserve"> In this context, psychological distress is measured by the self-report Kessler Psychological Distress Scale - 10 (K10), which is a 10-item questionnaire that asks how a person has been feeling over the past four weeks.</w:t>
      </w:r>
    </w:p>
  </w:footnote>
  <w:footnote w:id="3">
    <w:p w14:paraId="7A8CE1A0" w14:textId="62CE53ED" w:rsidR="009C373F" w:rsidRPr="00A25A47" w:rsidRDefault="009C373F" w:rsidP="00A25A47">
      <w:pPr>
        <w:pStyle w:val="FootnoteText"/>
      </w:pPr>
      <w:r w:rsidRPr="00A25A47">
        <w:rPr>
          <w:rStyle w:val="FootnoteReference"/>
          <w:vertAlign w:val="baseline"/>
        </w:rPr>
        <w:footnoteRef/>
      </w:r>
      <w:r w:rsidRPr="00A25A47">
        <w:t xml:space="preserve"> ABS, 2025 General Social Survey, which measures overall life satisfaction for people aged 15 years and over on a scale from 0 to 10 - where 0 means ‘not at all satisfied’ and 10 means ‘completely satisfied</w:t>
      </w:r>
      <w:r w:rsidR="00CF2794">
        <w:t>’.</w:t>
      </w:r>
    </w:p>
  </w:footnote>
  <w:footnote w:id="4">
    <w:p w14:paraId="48C9C810" w14:textId="77777777" w:rsidR="009C373F" w:rsidRPr="00F9789C" w:rsidRDefault="009C373F" w:rsidP="00F9789C">
      <w:pPr>
        <w:pStyle w:val="FootnoteText"/>
        <w:rPr>
          <w:rStyle w:val="normaltextrun"/>
        </w:rPr>
      </w:pPr>
      <w:r w:rsidRPr="00F9789C">
        <w:rPr>
          <w:rStyle w:val="normaltextrun"/>
        </w:rPr>
        <w:footnoteRef/>
      </w:r>
      <w:r w:rsidRPr="00F9789C">
        <w:rPr>
          <w:rStyle w:val="normaltextrun"/>
        </w:rPr>
        <w:t xml:space="preserve"> This data refers to a survey question in the ABS 2025 General Social Survey, which reports on the proportion of people aged 15 years and over living in households in Australia that are unable to raise $2,000 within a week for something important.</w:t>
      </w:r>
    </w:p>
  </w:footnote>
  <w:footnote w:id="5">
    <w:p w14:paraId="000CE3E9" w14:textId="77777777" w:rsidR="009C373F" w:rsidRPr="000F3ED5" w:rsidRDefault="009C373F" w:rsidP="00F9789C">
      <w:pPr>
        <w:pStyle w:val="FootnoteText"/>
      </w:pPr>
      <w:r w:rsidRPr="00F9789C">
        <w:rPr>
          <w:rStyle w:val="normaltextrun"/>
        </w:rPr>
        <w:footnoteRef/>
      </w:r>
      <w:r w:rsidRPr="00F9789C">
        <w:rPr>
          <w:rStyle w:val="normaltextrun"/>
        </w:rPr>
        <w:t xml:space="preserve"> AIHW analysis of survey data from </w:t>
      </w:r>
      <w:r w:rsidRPr="00ED16E8">
        <w:rPr>
          <w:rStyle w:val="normaltextrun"/>
          <w:i/>
          <w:iCs/>
        </w:rPr>
        <w:t>the Household, Income and Labour Dynamics in Australia Survey (HILDA).</w:t>
      </w:r>
      <w:r w:rsidRPr="00F9789C">
        <w:rPr>
          <w:rStyle w:val="normaltextrun"/>
        </w:rPr>
        <w:t xml:space="preserve"> The data presented here are classified according to the SEIFA Index of Relative Socio-economic Advantage and Disadvantage (IRSAD).</w:t>
      </w:r>
    </w:p>
  </w:footnote>
  <w:footnote w:id="6">
    <w:p w14:paraId="6CBFB615" w14:textId="2F3D7A48" w:rsidR="009C373F" w:rsidRPr="004F5F5F" w:rsidDel="00647FAA" w:rsidRDefault="009C373F" w:rsidP="004F5F5F">
      <w:pPr>
        <w:pStyle w:val="FootnoteText"/>
      </w:pPr>
      <w:r w:rsidRPr="004F5F5F" w:rsidDel="00647FAA">
        <w:rPr>
          <w:rStyle w:val="FootnoteReference"/>
          <w:vertAlign w:val="baseline"/>
        </w:rPr>
        <w:footnoteRef/>
      </w:r>
      <w:r w:rsidR="005672CE">
        <w:t xml:space="preserve"> </w:t>
      </w:r>
      <w:r w:rsidRPr="004F5F5F" w:rsidDel="00647FAA">
        <w:t>Includes GPs, psychiatrists, psychologists, mental health nurses, social workers, counsellors and occupational therapists.</w:t>
      </w:r>
    </w:p>
  </w:footnote>
  <w:footnote w:id="7">
    <w:p w14:paraId="4B62A85B" w14:textId="77777777" w:rsidR="009C1A77" w:rsidRPr="00B50EDE" w:rsidRDefault="009C1A77" w:rsidP="009C1A77">
      <w:pPr>
        <w:pStyle w:val="FootnoteText"/>
        <w:rPr>
          <w:rFonts w:ascii="Aptos" w:hAnsi="Aptos"/>
          <w:lang w:val="en-AU"/>
        </w:rPr>
      </w:pPr>
      <w:r w:rsidRPr="00B50EDE">
        <w:rPr>
          <w:rStyle w:val="FootnoteReference"/>
          <w:rFonts w:ascii="Aptos" w:hAnsi="Aptos"/>
        </w:rPr>
        <w:footnoteRef/>
      </w:r>
      <w:r w:rsidRPr="00B50EDE">
        <w:rPr>
          <w:rFonts w:ascii="Aptos" w:hAnsi="Aptos"/>
        </w:rPr>
        <w:t xml:space="preserve"> ABS, 2025 General Social Survey, a nationally representative population survey based on data collected over a 2-month period from 1st May to 28th June 2025.</w:t>
      </w:r>
    </w:p>
  </w:footnote>
  <w:footnote w:id="8">
    <w:p w14:paraId="22E194A2" w14:textId="77777777" w:rsidR="009C1A77" w:rsidRPr="00B50EDE" w:rsidRDefault="009C1A77" w:rsidP="009C1A77">
      <w:pPr>
        <w:pStyle w:val="FootnoteText"/>
        <w:rPr>
          <w:rFonts w:ascii="Aptos" w:hAnsi="Aptos"/>
          <w:lang w:val="en-AU"/>
        </w:rPr>
      </w:pPr>
      <w:r w:rsidRPr="00B50EDE">
        <w:rPr>
          <w:rStyle w:val="FootnoteReference"/>
          <w:rFonts w:ascii="Aptos" w:hAnsi="Aptos"/>
        </w:rPr>
        <w:footnoteRef/>
      </w:r>
      <w:r w:rsidRPr="00B50EDE">
        <w:rPr>
          <w:rFonts w:ascii="Aptos" w:hAnsi="Aptos"/>
        </w:rPr>
        <w:t xml:space="preserve"> In this context, psychological distress is measured by the self-report Kessler Psychological Distress Scale - 10 (K10), which is a 10-item questionnaire that asks how a person has been feeling over the past four weeks.</w:t>
      </w:r>
    </w:p>
  </w:footnote>
  <w:footnote w:id="9">
    <w:p w14:paraId="430FE211" w14:textId="77777777" w:rsidR="009C1A77" w:rsidRPr="008B43D1" w:rsidRDefault="009C1A77" w:rsidP="009C1A77">
      <w:pPr>
        <w:pStyle w:val="FootnoteText"/>
        <w:rPr>
          <w:lang w:val="en-AU"/>
        </w:rPr>
      </w:pPr>
      <w:r w:rsidRPr="00B50EDE">
        <w:rPr>
          <w:rStyle w:val="FootnoteReference"/>
          <w:rFonts w:ascii="Aptos" w:hAnsi="Aptos"/>
        </w:rPr>
        <w:footnoteRef/>
      </w:r>
      <w:r w:rsidRPr="00B50EDE">
        <w:rPr>
          <w:rFonts w:ascii="Aptos" w:hAnsi="Aptos"/>
        </w:rPr>
        <w:t xml:space="preserve"> </w:t>
      </w:r>
      <w:r w:rsidRPr="00B50EDE">
        <w:rPr>
          <w:rFonts w:ascii="Aptos" w:hAnsi="Aptos"/>
          <w:lang w:val="en-AU"/>
        </w:rPr>
        <w:t>ABS, 2025 General Social Survey, which measures overall life satisfaction for people aged 15 years and over on a scale from 0 to 10 - where 0 means ‘not at all satisfied’ and 10 means ‘completely satisfied.</w:t>
      </w:r>
    </w:p>
  </w:footnote>
  <w:footnote w:id="10">
    <w:p w14:paraId="66C4039E" w14:textId="370DE647" w:rsidR="009C373F" w:rsidRPr="0067055E" w:rsidRDefault="009C373F" w:rsidP="003953C5">
      <w:pPr>
        <w:pStyle w:val="FootnoteText"/>
        <w:rPr>
          <w:lang w:val="en-AU"/>
        </w:rPr>
      </w:pPr>
      <w:r w:rsidRPr="003953C5">
        <w:rPr>
          <w:rStyle w:val="FootnoteReference"/>
          <w:vertAlign w:val="baseline"/>
        </w:rPr>
        <w:footnoteRef/>
      </w:r>
      <w:r w:rsidRPr="003953C5">
        <w:t xml:space="preserve"> In the National Health Survey, a person is identified as having a mental or behavioural condition if they report the condition was current at the time of interview and had lasted, or was expected to last, 6 months or more. Whereas in the National Study of Mental Health and Wellbeing, the survey instrument assesses whether the person meets diagnostic criteria for a range of affective disorders, anxiety disorders and substance use disorders.</w:t>
      </w:r>
    </w:p>
  </w:footnote>
  <w:footnote w:id="11">
    <w:p w14:paraId="08CBC0DC" w14:textId="77777777" w:rsidR="009C373F" w:rsidRPr="00B50EDE" w:rsidRDefault="009C373F" w:rsidP="00A37A8C">
      <w:pPr>
        <w:pStyle w:val="FootnoteText"/>
        <w:rPr>
          <w:lang w:val="en-AU"/>
        </w:rPr>
      </w:pPr>
      <w:r w:rsidRPr="00B50EDE">
        <w:rPr>
          <w:rStyle w:val="FootnoteReference"/>
          <w:rFonts w:ascii="Aptos" w:hAnsi="Aptos"/>
        </w:rPr>
        <w:footnoteRef/>
      </w:r>
      <w:r w:rsidRPr="00B50EDE">
        <w:t xml:space="preserve"> The ABS uses SEIFA (Socio-Economic Indexes for Areas) to measure and rank areas in Australia based on relative socio-economic advantage and disadvantage. SEIFA data is presented using quintiles, dividing the areas into 5 groups based on their scores, with Quintile 1 representing the lowest 20% (i.e., the most disadvantaged) and Quintile 5 the highest 20% (i.e., the most advantaged). </w:t>
      </w:r>
    </w:p>
  </w:footnote>
  <w:footnote w:id="12">
    <w:p w14:paraId="4F9FB5F9" w14:textId="77777777" w:rsidR="009C373F" w:rsidRPr="00AC1FCE" w:rsidRDefault="009C373F" w:rsidP="00AC1FCE">
      <w:pPr>
        <w:pStyle w:val="FootnoteText"/>
      </w:pPr>
      <w:r w:rsidRPr="00AC1FCE">
        <w:rPr>
          <w:rStyle w:val="FootnoteReference"/>
          <w:vertAlign w:val="baseline"/>
        </w:rPr>
        <w:footnoteRef/>
      </w:r>
      <w:r w:rsidRPr="00AC1FCE">
        <w:t xml:space="preserve"> In the HILDA Survey, people with a long-term mental health condition refers to those respondents who indicated they had a nervous or emotional condition which requires treatment or/and any mental illness which requires help or supervision.</w:t>
      </w:r>
    </w:p>
  </w:footnote>
  <w:footnote w:id="13">
    <w:p w14:paraId="3D14FE41" w14:textId="77777777" w:rsidR="009C373F" w:rsidRPr="009626B7" w:rsidRDefault="009C373F" w:rsidP="00AC1FCE">
      <w:pPr>
        <w:pStyle w:val="FootnoteText"/>
        <w:rPr>
          <w:lang w:val="en-AU"/>
        </w:rPr>
      </w:pPr>
      <w:r w:rsidRPr="00AC1FCE">
        <w:rPr>
          <w:rStyle w:val="FootnoteReference"/>
          <w:vertAlign w:val="baseline"/>
        </w:rPr>
        <w:footnoteRef/>
      </w:r>
      <w:r w:rsidRPr="00AC1FCE">
        <w:t xml:space="preserve"> In the HILDA survey, the term ‘long-term health condition’ is used to describe where a respondent records any long-term health condition, impairment or disability that restricts them in their everyday activities, and which has lasted or is likely to last for six months or more</w:t>
      </w:r>
    </w:p>
  </w:footnote>
  <w:footnote w:id="14">
    <w:p w14:paraId="1409A9C0" w14:textId="77777777" w:rsidR="009C373F" w:rsidRPr="00FC1CFE" w:rsidRDefault="009C373F" w:rsidP="00FC1CFE">
      <w:pPr>
        <w:pStyle w:val="FootnoteText"/>
      </w:pPr>
      <w:r w:rsidRPr="00FC1CFE">
        <w:rPr>
          <w:rStyle w:val="FootnoteReference"/>
          <w:vertAlign w:val="baseline"/>
        </w:rPr>
        <w:footnoteRef/>
      </w:r>
      <w:r w:rsidRPr="00FC1CFE">
        <w:t xml:space="preserve"> This data refers to a survey question in the ABS 2025 General Social Survey, which reports on the proportion of people aged 15 years and over in Australia living in households that are unable to raise $2,000 within a week for something important.</w:t>
      </w:r>
    </w:p>
  </w:footnote>
  <w:footnote w:id="15">
    <w:p w14:paraId="51C1D42F" w14:textId="77777777" w:rsidR="009C373F" w:rsidRPr="008B43D1" w:rsidRDefault="009C373F" w:rsidP="00FC1CFE">
      <w:pPr>
        <w:pStyle w:val="FootnoteText"/>
        <w:rPr>
          <w:lang w:val="en-AU"/>
        </w:rPr>
      </w:pPr>
      <w:r w:rsidRPr="00FC1CFE">
        <w:rPr>
          <w:rStyle w:val="FootnoteReference"/>
          <w:vertAlign w:val="baseline"/>
        </w:rPr>
        <w:footnoteRef/>
      </w:r>
      <w:r w:rsidRPr="00FC1CFE">
        <w:t xml:space="preserve"> AIHW analysis of survey data from the </w:t>
      </w:r>
      <w:r w:rsidRPr="00E015A0">
        <w:rPr>
          <w:i/>
          <w:iCs/>
        </w:rPr>
        <w:t>Household, Income and Labour Dynamics in Australia Survey (HILDA)</w:t>
      </w:r>
      <w:r w:rsidRPr="00FC1CFE">
        <w:t>. The data presented here are classified according to the SEIFA Index of Relative Socio-economic Advantage and Disadvantage (IRSAD).</w:t>
      </w:r>
    </w:p>
  </w:footnote>
  <w:footnote w:id="16">
    <w:p w14:paraId="0C6FE791" w14:textId="77777777" w:rsidR="009C373F" w:rsidRPr="00FC1CFE" w:rsidRDefault="009C373F" w:rsidP="00FC1CFE">
      <w:pPr>
        <w:pStyle w:val="FootnoteText"/>
      </w:pPr>
      <w:r w:rsidRPr="00FC1CFE">
        <w:rPr>
          <w:rStyle w:val="FootnoteReference"/>
          <w:vertAlign w:val="baseline"/>
        </w:rPr>
        <w:footnoteRef/>
      </w:r>
      <w:r w:rsidRPr="00FC1CFE">
        <w:t xml:space="preserve"> “Risky alcohol consumption” is defined by the Australian Alcohol Guidelines as consumption of more than 10 standard drinks per week, and/or more than 4 standard drinks in a single day.</w:t>
      </w:r>
    </w:p>
  </w:footnote>
  <w:footnote w:id="17">
    <w:p w14:paraId="3C13569B" w14:textId="77777777" w:rsidR="009C373F" w:rsidRPr="002A1A73" w:rsidRDefault="009C373F" w:rsidP="002A1A73">
      <w:pPr>
        <w:pStyle w:val="FootnoteText"/>
      </w:pPr>
      <w:r w:rsidRPr="002A1A73">
        <w:rPr>
          <w:rStyle w:val="FootnoteReference"/>
          <w:vertAlign w:val="baseline"/>
        </w:rPr>
        <w:footnoteRef/>
      </w:r>
      <w:r w:rsidRPr="002A1A73">
        <w:t xml:space="preserve"> # To note, this proportion has a margin of error greater than 10% and should be used with caution.</w:t>
      </w:r>
    </w:p>
  </w:footnote>
  <w:footnote w:id="18">
    <w:p w14:paraId="6C6207D8" w14:textId="77777777" w:rsidR="00E94BB2" w:rsidRPr="002E5CEE" w:rsidRDefault="00E94BB2" w:rsidP="00E94BB2">
      <w:pPr>
        <w:pStyle w:val="FootnoteText"/>
      </w:pPr>
      <w:r w:rsidRPr="002E5CEE">
        <w:rPr>
          <w:rStyle w:val="FootnoteReference"/>
          <w:vertAlign w:val="baseline"/>
        </w:rPr>
        <w:footnoteRef/>
      </w:r>
      <w:r w:rsidRPr="002E5CEE">
        <w:t xml:space="preserve"> The NMHSPF is a needs-based planning tool, managed by the AIHW, that quantifies the total mental health need in the Australian community and estimates the resources required to meet mental health service demand.</w:t>
      </w:r>
    </w:p>
  </w:footnote>
  <w:footnote w:id="19">
    <w:p w14:paraId="6B964736" w14:textId="612E95A0" w:rsidR="009C373F" w:rsidRPr="00BA7739" w:rsidRDefault="009C373F" w:rsidP="00BA7739">
      <w:pPr>
        <w:pStyle w:val="FootnoteText"/>
      </w:pPr>
      <w:r w:rsidRPr="00BA7739">
        <w:rPr>
          <w:rStyle w:val="FootnoteReference"/>
          <w:vertAlign w:val="baseline"/>
        </w:rPr>
        <w:footnoteRef/>
      </w:r>
      <w:r w:rsidRPr="00BA7739">
        <w:t xml:space="preserve"> </w:t>
      </w:r>
      <w:r w:rsidRPr="00BA7739">
        <w:rPr>
          <w:rStyle w:val="normaltextrun"/>
        </w:rPr>
        <w:t>An experience of care score is calculated by determining the average response of questions 1–22 in the YES survey multiplied by 20. The resulting overall score converts the individual question responses into a score out of 100. A threshold score of 80 and above is used to indicate a positive experience of service. </w:t>
      </w:r>
    </w:p>
    <w:p w14:paraId="7F36CA77" w14:textId="77777777" w:rsidR="009C373F" w:rsidRPr="00BA7739" w:rsidRDefault="009C373F" w:rsidP="00BA7739">
      <w:pPr>
        <w:pStyle w:val="FootnoteText"/>
      </w:pPr>
    </w:p>
  </w:footnote>
  <w:footnote w:id="20">
    <w:p w14:paraId="189099A7" w14:textId="77777777" w:rsidR="00406C56" w:rsidRPr="00DC7955" w:rsidRDefault="00406C56" w:rsidP="00406C56">
      <w:pPr>
        <w:pStyle w:val="FootnoteText"/>
        <w:rPr>
          <w:lang w:val="en-AU"/>
        </w:rPr>
      </w:pPr>
      <w:r w:rsidRPr="00BA7739">
        <w:rPr>
          <w:rStyle w:val="FootnoteReference"/>
          <w:vertAlign w:val="baseline"/>
        </w:rPr>
        <w:footnoteRef/>
      </w:r>
      <w:r w:rsidRPr="00BA7739">
        <w:t xml:space="preserve"> </w:t>
      </w:r>
      <w:r w:rsidRPr="00BA7739">
        <w:rPr>
          <w:rStyle w:val="normaltextrun"/>
        </w:rPr>
        <w:t>Clinician-rated outcomes are recorded in public specialised mental health services using the Health of the National Outcome Scales (</w:t>
      </w:r>
      <w:r w:rsidRPr="00BA7739">
        <w:rPr>
          <w:rStyle w:val="normaltextrun"/>
        </w:rPr>
        <w:t>HoNOS) instrument which is reported as part of the National Outcomes and Casemix Collection by the Australian Institute of Health and Welfare.</w:t>
      </w:r>
    </w:p>
  </w:footnote>
  <w:footnote w:id="21">
    <w:p w14:paraId="7E6350DD" w14:textId="77777777" w:rsidR="00406C56" w:rsidRPr="00BA7739" w:rsidRDefault="00406C56" w:rsidP="00406C56">
      <w:pPr>
        <w:pStyle w:val="FootnoteText"/>
        <w:rPr>
          <w:lang w:val="en-AU"/>
        </w:rPr>
      </w:pPr>
      <w:r w:rsidRPr="00BA7739">
        <w:footnoteRef/>
      </w:r>
      <w:r w:rsidRPr="00BA7739">
        <w:t xml:space="preserve"> </w:t>
      </w:r>
      <w:r w:rsidRPr="00BA7739">
        <w:rPr>
          <w:lang w:val="en-AU"/>
        </w:rPr>
        <w:t>Defined as a mental-health related principal diagnosis.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64C8C3" w14:textId="780A6E82" w:rsidR="00822A92" w:rsidRDefault="00360361">
    <w:pPr>
      <w:pStyle w:val="Header"/>
    </w:pPr>
    <w:r>
      <w:rPr>
        <w:noProof/>
      </w:rPr>
      <mc:AlternateContent>
        <mc:Choice Requires="wps">
          <w:drawing>
            <wp:anchor distT="0" distB="0" distL="0" distR="0" simplePos="0" relativeHeight="251660321" behindDoc="0" locked="0" layoutInCell="1" allowOverlap="1" wp14:anchorId="433E7A1F" wp14:editId="2026C66A">
              <wp:simplePos x="635" y="635"/>
              <wp:positionH relativeFrom="page">
                <wp:align>center</wp:align>
              </wp:positionH>
              <wp:positionV relativeFrom="page">
                <wp:align>top</wp:align>
              </wp:positionV>
              <wp:extent cx="622300" cy="376555"/>
              <wp:effectExtent l="0" t="0" r="6350" b="4445"/>
              <wp:wrapNone/>
              <wp:docPr id="1762552829" name="Text Box 18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A96AD6D" w14:textId="0188242A"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3E7A1F" id="_x0000_t202" coordsize="21600,21600" o:spt="202" path="m,l,21600r21600,l21600,xe">
              <v:stroke joinstyle="miter"/>
              <v:path gradientshapeok="t" o:connecttype="rect"/>
            </v:shapetype>
            <v:shape id="Text Box 183" o:spid="_x0000_s1026" type="#_x0000_t202" alt="OFFICIAL" style="position:absolute;margin-left:0;margin-top:0;width:49pt;height:29.65pt;z-index:25166032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" filled="f" stroked="f">
              <v:textbox style="mso-fit-shape-to-text:t" inset="0,15pt,0,0">
                <w:txbxContent>
                  <w:p w14:paraId="7A96AD6D" w14:textId="0188242A"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5EC6ED" w14:textId="123DCE98" w:rsidR="009C373F" w:rsidRDefault="00360361">
    <w:pPr>
      <w:pStyle w:val="Header"/>
    </w:pPr>
    <w:r>
      <w:rPr>
        <w:noProof/>
      </w:rPr>
      <mc:AlternateContent>
        <mc:Choice Requires="wps">
          <w:drawing>
            <wp:anchor distT="0" distB="0" distL="0" distR="0" simplePos="0" relativeHeight="251669537" behindDoc="0" locked="0" layoutInCell="1" allowOverlap="1" wp14:anchorId="682B4873" wp14:editId="79E84F08">
              <wp:simplePos x="635" y="635"/>
              <wp:positionH relativeFrom="page">
                <wp:align>center</wp:align>
              </wp:positionH>
              <wp:positionV relativeFrom="page">
                <wp:align>top</wp:align>
              </wp:positionV>
              <wp:extent cx="622300" cy="376555"/>
              <wp:effectExtent l="0" t="0" r="6350" b="4445"/>
              <wp:wrapNone/>
              <wp:docPr id="1735865018" name="Text Box 19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F6D2A8" w14:textId="25FC68C6"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2B4873" id="_x0000_t202" coordsize="21600,21600" o:spt="202" path="m,l,21600r21600,l21600,xe">
              <v:stroke joinstyle="miter"/>
              <v:path gradientshapeok="t" o:connecttype="rect"/>
            </v:shapetype>
            <v:shape id="Text Box 192" o:spid="_x0000_s1038" type="#_x0000_t202" alt="OFFICIAL" style="position:absolute;margin-left:0;margin-top:0;width:49pt;height:29.65pt;z-index:2516695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" filled="f" stroked="f">
              <v:textbox style="mso-fit-shape-to-text:t" inset="0,15pt,0,0">
                <w:txbxContent>
                  <w:p w14:paraId="66F6D2A8" w14:textId="25FC68C6"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B258AB" w14:textId="36D7C2A9" w:rsidR="009C373F" w:rsidRPr="00536030" w:rsidRDefault="00360361">
    <w:pPr>
      <w:pStyle w:val="Header"/>
      <w:rPr>
        <w:b/>
        <w:bCs/>
        <w:i/>
        <w:iCs/>
        <w:color w:val="FF0000"/>
      </w:rPr>
    </w:pPr>
    <w:r>
      <w:rPr>
        <w:b/>
        <w:bCs/>
        <w:i/>
        <w:iCs/>
        <w:noProof/>
        <w:color w:val="FF0000"/>
      </w:rPr>
      <mc:AlternateContent>
        <mc:Choice Requires="wps">
          <w:drawing>
            <wp:anchor distT="0" distB="0" distL="0" distR="0" simplePos="0" relativeHeight="251670561" behindDoc="0" locked="0" layoutInCell="1" allowOverlap="1" wp14:anchorId="0E5393D5" wp14:editId="0CC30E0C">
              <wp:simplePos x="635" y="635"/>
              <wp:positionH relativeFrom="page">
                <wp:align>center</wp:align>
              </wp:positionH>
              <wp:positionV relativeFrom="page">
                <wp:align>top</wp:align>
              </wp:positionV>
              <wp:extent cx="622300" cy="376555"/>
              <wp:effectExtent l="0" t="0" r="6350" b="4445"/>
              <wp:wrapNone/>
              <wp:docPr id="1395218620" name="Text Box 19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881054D" w14:textId="48B53B41"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5393D5" id="_x0000_t202" coordsize="21600,21600" o:spt="202" path="m,l,21600r21600,l21600,xe">
              <v:stroke joinstyle="miter"/>
              <v:path gradientshapeok="t" o:connecttype="rect"/>
            </v:shapetype>
            <v:shape id="Text Box 193" o:spid="_x0000_s1039" type="#_x0000_t202" alt="OFFICIAL" style="position:absolute;margin-left:0;margin-top:0;width:49pt;height:29.65pt;z-index:2516705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" filled="f" stroked="f">
              <v:textbox style="mso-fit-shape-to-text:t" inset="0,15pt,0,0">
                <w:txbxContent>
                  <w:p w14:paraId="3881054D" w14:textId="48B53B41"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9B7CEF" w14:textId="5683993D" w:rsidR="009C373F" w:rsidRDefault="00360361">
    <w:pPr>
      <w:pStyle w:val="Header"/>
    </w:pPr>
    <w:r>
      <w:rPr>
        <w:noProof/>
      </w:rPr>
      <mc:AlternateContent>
        <mc:Choice Requires="wps">
          <w:drawing>
            <wp:anchor distT="0" distB="0" distL="0" distR="0" simplePos="0" relativeHeight="251668513" behindDoc="0" locked="0" layoutInCell="1" allowOverlap="1" wp14:anchorId="119A9B65" wp14:editId="4D6AA147">
              <wp:simplePos x="635" y="635"/>
              <wp:positionH relativeFrom="page">
                <wp:align>center</wp:align>
              </wp:positionH>
              <wp:positionV relativeFrom="page">
                <wp:align>top</wp:align>
              </wp:positionV>
              <wp:extent cx="622300" cy="376555"/>
              <wp:effectExtent l="0" t="0" r="6350" b="4445"/>
              <wp:wrapNone/>
              <wp:docPr id="477919874" name="Text Box 19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874BA1" w14:textId="0B6D3163"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9A9B65" id="_x0000_t202" coordsize="21600,21600" o:spt="202" path="m,l,21600r21600,l21600,xe">
              <v:stroke joinstyle="miter"/>
              <v:path gradientshapeok="t" o:connecttype="rect"/>
            </v:shapetype>
            <v:shape id="Text Box 191" o:spid="_x0000_s1040" type="#_x0000_t202" alt="OFFICIAL" style="position:absolute;margin-left:0;margin-top:0;width:49pt;height:29.65pt;z-index:2516685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" filled="f" stroked="f">
              <v:textbox style="mso-fit-shape-to-text:t" inset="0,15pt,0,0">
                <w:txbxContent>
                  <w:p w14:paraId="32874BA1" w14:textId="0B6D3163"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r w:rsidR="009C373F">
      <w:rPr>
        <w:noProof/>
      </w:rPr>
      <w:drawing>
        <wp:anchor distT="0" distB="0" distL="114300" distR="114300" simplePos="0" relativeHeight="251658240" behindDoc="1" locked="0" layoutInCell="1" allowOverlap="1" wp14:anchorId="74F3EA9B" wp14:editId="4C7C27D3">
          <wp:simplePos x="0" y="0"/>
          <wp:positionH relativeFrom="page">
            <wp:align>left</wp:align>
          </wp:positionH>
          <wp:positionV relativeFrom="page">
            <wp:align>top</wp:align>
          </wp:positionV>
          <wp:extent cx="7556400" cy="10692000"/>
          <wp:effectExtent l="0" t="0" r="635" b="1905"/>
          <wp:wrapNone/>
          <wp:docPr id="682934568" name="Graphic 682934568" descr="National Mental Health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89923" name="Graphic 1" descr="National Mental Health Commission"/>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296117" w14:textId="579820C4" w:rsidR="00671DE0" w:rsidRDefault="00360361">
    <w:pPr>
      <w:pStyle w:val="Header"/>
    </w:pPr>
    <w:r>
      <w:rPr>
        <w:noProof/>
      </w:rPr>
      <mc:AlternateContent>
        <mc:Choice Requires="wps">
          <w:drawing>
            <wp:anchor distT="0" distB="0" distL="0" distR="0" simplePos="0" relativeHeight="251675681" behindDoc="0" locked="0" layoutInCell="1" allowOverlap="1" wp14:anchorId="022DF55E" wp14:editId="15F9AA78">
              <wp:simplePos x="635" y="635"/>
              <wp:positionH relativeFrom="page">
                <wp:align>center</wp:align>
              </wp:positionH>
              <wp:positionV relativeFrom="page">
                <wp:align>top</wp:align>
              </wp:positionV>
              <wp:extent cx="622300" cy="376555"/>
              <wp:effectExtent l="0" t="0" r="6350" b="4445"/>
              <wp:wrapNone/>
              <wp:docPr id="1250465470" name="Text Box 19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F3E702F" w14:textId="79629476"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2DF55E" id="_x0000_t202" coordsize="21600,21600" o:spt="202" path="m,l,21600r21600,l21600,xe">
              <v:stroke joinstyle="miter"/>
              <v:path gradientshapeok="t" o:connecttype="rect"/>
            </v:shapetype>
            <v:shape id="Text Box 198" o:spid="_x0000_s1041" type="#_x0000_t202" alt="OFFICIAL" style="position:absolute;margin-left:0;margin-top:0;width:49pt;height:29.65pt;z-index:25167568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" filled="f" stroked="f">
              <v:textbox style="mso-fit-shape-to-text:t" inset="0,15pt,0,0">
                <w:txbxContent>
                  <w:p w14:paraId="5F3E702F" w14:textId="79629476"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7085F9" w14:textId="6A7B83B7" w:rsidR="00671DE0" w:rsidRPr="003F1802" w:rsidRDefault="00671DE0">
    <w:pPr>
      <w:pStyle w:val="Header"/>
      <w:rPr>
        <w:b/>
        <w:i/>
        <w:color w:val="5D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DF523D" w14:textId="0E653D7A" w:rsidR="00671DE0" w:rsidRDefault="00360361">
    <w:pPr>
      <w:pStyle w:val="Header"/>
    </w:pPr>
    <w:r>
      <w:rPr>
        <w:noProof/>
      </w:rPr>
      <mc:AlternateContent>
        <mc:Choice Requires="wps">
          <w:drawing>
            <wp:anchor distT="0" distB="0" distL="0" distR="0" simplePos="0" relativeHeight="251674657" behindDoc="0" locked="0" layoutInCell="1" allowOverlap="1" wp14:anchorId="5CF41AE7" wp14:editId="2A349DF0">
              <wp:simplePos x="635" y="635"/>
              <wp:positionH relativeFrom="page">
                <wp:align>center</wp:align>
              </wp:positionH>
              <wp:positionV relativeFrom="page">
                <wp:align>top</wp:align>
              </wp:positionV>
              <wp:extent cx="622300" cy="376555"/>
              <wp:effectExtent l="0" t="0" r="6350" b="4445"/>
              <wp:wrapNone/>
              <wp:docPr id="821892583" name="Text Box 19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95737B" w14:textId="147BF8D3"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F41AE7" id="_x0000_t202" coordsize="21600,21600" o:spt="202" path="m,l,21600r21600,l21600,xe">
              <v:stroke joinstyle="miter"/>
              <v:path gradientshapeok="t" o:connecttype="rect"/>
            </v:shapetype>
            <v:shape id="Text Box 197" o:spid="_x0000_s1042" type="#_x0000_t202" alt="OFFICIAL" style="position:absolute;margin-left:0;margin-top:0;width:49pt;height:29.65pt;z-index:2516746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" filled="f" stroked="f">
              <v:textbox style="mso-fit-shape-to-text:t" inset="0,15pt,0,0">
                <w:txbxContent>
                  <w:p w14:paraId="2495737B" w14:textId="147BF8D3"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048D51" w14:textId="77777777" w:rsidR="00F86D41" w:rsidRDefault="00F86D41">
    <w:pPr>
      <w:pStyle w:val="Header"/>
    </w:pPr>
    <w:r>
      <w:rPr>
        <w:noProof/>
      </w:rPr>
      <mc:AlternateContent>
        <mc:Choice Requires="wps">
          <w:drawing>
            <wp:anchor distT="0" distB="0" distL="0" distR="0" simplePos="0" relativeHeight="251704353" behindDoc="0" locked="0" layoutInCell="1" allowOverlap="1" wp14:anchorId="0768115B" wp14:editId="3E6E942B">
              <wp:simplePos x="635" y="635"/>
              <wp:positionH relativeFrom="page">
                <wp:align>center</wp:align>
              </wp:positionH>
              <wp:positionV relativeFrom="page">
                <wp:align>top</wp:align>
              </wp:positionV>
              <wp:extent cx="622300" cy="376555"/>
              <wp:effectExtent l="0" t="0" r="6350" b="4445"/>
              <wp:wrapNone/>
              <wp:docPr id="491675829" name="Text Box 20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5827C8" w14:textId="77777777" w:rsidR="00F86D41" w:rsidRPr="00360361" w:rsidRDefault="00F86D4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68115B" id="_x0000_t202" coordsize="21600,21600" o:spt="202" path="m,l,21600r21600,l21600,xe">
              <v:stroke joinstyle="miter"/>
              <v:path gradientshapeok="t" o:connecttype="rect"/>
            </v:shapetype>
            <v:shape id="Text Box 201" o:spid="_x0000_s1043" type="#_x0000_t202" alt="OFFICIAL" style="position:absolute;margin-left:0;margin-top:0;width:49pt;height:29.65pt;z-index:2517043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" filled="f" stroked="f">
              <v:textbox style="mso-fit-shape-to-text:t" inset="0,15pt,0,0">
                <w:txbxContent>
                  <w:p w14:paraId="185827C8" w14:textId="77777777" w:rsidR="00F86D41" w:rsidRPr="00360361" w:rsidRDefault="00F86D4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r>
      <w:rPr>
        <w:noProof/>
      </w:rPr>
      <mc:AlternateContent>
        <mc:Choice Requires="wps">
          <w:drawing>
            <wp:anchor distT="0" distB="0" distL="114300" distR="114300" simplePos="0" relativeHeight="251701281" behindDoc="1" locked="0" layoutInCell="0" allowOverlap="1" wp14:anchorId="333713BB" wp14:editId="62FCCC2A">
              <wp:simplePos x="0" y="0"/>
              <wp:positionH relativeFrom="margin">
                <wp:align>center</wp:align>
              </wp:positionH>
              <wp:positionV relativeFrom="margin">
                <wp:align>center</wp:align>
              </wp:positionV>
              <wp:extent cx="8201660" cy="420370"/>
              <wp:effectExtent l="0" t="0" r="0" b="0"/>
              <wp:wrapNone/>
              <wp:docPr id="62096493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8201660" cy="420370"/>
                      </a:xfrm>
                      <a:prstGeom prst="rect">
                        <a:avLst/>
                      </a:prstGeom>
                    </wps:spPr>
                    <wps:txbx>
                      <w:txbxContent>
                        <w:p w14:paraId="08FAE7FF" w14:textId="77777777" w:rsidR="00F86D41" w:rsidRDefault="00F86D41" w:rsidP="009C5D35">
                          <w:pPr>
                            <w:jc w:val="center"/>
                            <w:rPr>
                              <w:rFonts w:eastAsia="Roboto-Light"/>
                              <w:color w:val="C0C0C0"/>
                              <w:sz w:val="16"/>
                              <w:szCs w:val="16"/>
                              <w14:textFill>
                                <w14:solidFill>
                                  <w14:srgbClr w14:val="C0C0C0">
                                    <w14:alpha w14:val="50000"/>
                                  </w14:srgbClr>
                                </w14:solidFill>
                              </w14:textFill>
                            </w:rPr>
                          </w:pPr>
                          <w:r>
                            <w:rPr>
                              <w:rFonts w:eastAsia="Roboto-Light"/>
                              <w:color w:val="C0C0C0"/>
                              <w:sz w:val="16"/>
                              <w:szCs w:val="16"/>
                              <w14:textFill>
                                <w14:solidFill>
                                  <w14:srgbClr w14:val="C0C0C0">
                                    <w14:alpha w14:val="50000"/>
                                  </w14:srgbClr>
                                </w14:solidFill>
                              </w14:textFill>
                            </w:rPr>
                            <w:t>DRAFT - NOT FOR FURTHER DISTRIBUTION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33713BB" id="Text Box 90" o:spid="_x0000_s1044" type="#_x0000_t202" style="position:absolute;margin-left:0;margin-top:0;width:645.8pt;height:33.1pt;rotation:-45;z-index:-25161519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" o:allowincell="f" filled="f" stroked="f">
              <v:textbox>
                <w:txbxContent>
                  <w:p w14:paraId="08FAE7FF" w14:textId="77777777" w:rsidR="00F86D41" w:rsidRDefault="00F86D41" w:rsidP="009C5D35">
                    <w:pPr>
                      <w:jc w:val="center"/>
                      <w:rPr>
                        <w:rFonts w:eastAsia="Roboto-Light"/>
                        <w:color w:val="C0C0C0"/>
                        <w:sz w:val="16"/>
                        <w:szCs w:val="16"/>
                        <w14:textFill>
                          <w14:solidFill>
                            <w14:srgbClr w14:val="C0C0C0">
                              <w14:alpha w14:val="50000"/>
                            </w14:srgbClr>
                          </w14:solidFill>
                        </w14:textFill>
                      </w:rPr>
                    </w:pPr>
                    <w:r>
                      <w:rPr>
                        <w:rFonts w:eastAsia="Roboto-Light"/>
                        <w:color w:val="C0C0C0"/>
                        <w:sz w:val="16"/>
                        <w:szCs w:val="16"/>
                        <w14:textFill>
                          <w14:solidFill>
                            <w14:srgbClr w14:val="C0C0C0">
                              <w14:alpha w14:val="50000"/>
                            </w14:srgbClr>
                          </w14:solidFill>
                        </w14:textFill>
                      </w:rPr>
                      <w:t>DRAFT - NOT FOR FURTHER DISTRIBUTION</w:t>
                    </w:r>
                  </w:p>
                </w:txbxContent>
              </v:textbox>
              <w10:wrap anchorx="margin" anchory="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C8B952" w14:textId="7E2E8924" w:rsidR="00F86D41" w:rsidRDefault="00F86D4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D968C9" w14:textId="4E6D752E" w:rsidR="00F86D41" w:rsidRPr="00A53C06" w:rsidRDefault="00F86D41">
    <w:pPr>
      <w:pStyle w:val="Header"/>
      <w:rPr>
        <w:lang w:val="en-A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A539BA" w14:textId="4DA81152" w:rsidR="00822A92" w:rsidRDefault="00360361">
    <w:pPr>
      <w:pStyle w:val="Header"/>
    </w:pPr>
    <w:r>
      <w:rPr>
        <w:noProof/>
      </w:rPr>
      <mc:AlternateContent>
        <mc:Choice Requires="wps">
          <w:drawing>
            <wp:anchor distT="0" distB="0" distL="0" distR="0" simplePos="0" relativeHeight="251661345" behindDoc="0" locked="0" layoutInCell="1" allowOverlap="1" wp14:anchorId="43AD42FE" wp14:editId="6F78650F">
              <wp:simplePos x="635" y="635"/>
              <wp:positionH relativeFrom="page">
                <wp:align>center</wp:align>
              </wp:positionH>
              <wp:positionV relativeFrom="page">
                <wp:align>top</wp:align>
              </wp:positionV>
              <wp:extent cx="622300" cy="376555"/>
              <wp:effectExtent l="0" t="0" r="6350" b="4445"/>
              <wp:wrapNone/>
              <wp:docPr id="321532828" name="Text Box 18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47F702F" w14:textId="37FF91D8"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AD42FE" id="_x0000_t202" coordsize="21600,21600" o:spt="202" path="m,l,21600r21600,l21600,xe">
              <v:stroke joinstyle="miter"/>
              <v:path gradientshapeok="t" o:connecttype="rect"/>
            </v:shapetype>
            <v:shape id="Text Box 184" o:spid="_x0000_s1027" type="#_x0000_t202" alt="OFFICIAL" style="position:absolute;margin-left:0;margin-top:0;width:49pt;height:29.65pt;z-index:2516613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" filled="f" stroked="f">
              <v:textbox style="mso-fit-shape-to-text:t" inset="0,15pt,0,0">
                <w:txbxContent>
                  <w:p w14:paraId="547F702F" w14:textId="37FF91D8"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5CCF9A" w14:textId="34992A2E" w:rsidR="00000B8A" w:rsidRDefault="00360361">
    <w:pPr>
      <w:pStyle w:val="Header"/>
    </w:pPr>
    <w:r>
      <w:rPr>
        <w:noProof/>
      </w:rPr>
      <mc:AlternateContent>
        <mc:Choice Requires="wps">
          <w:drawing>
            <wp:anchor distT="0" distB="0" distL="0" distR="0" simplePos="0" relativeHeight="251659297" behindDoc="0" locked="0" layoutInCell="1" allowOverlap="1" wp14:anchorId="72F40292" wp14:editId="17A38F49">
              <wp:simplePos x="635" y="635"/>
              <wp:positionH relativeFrom="page">
                <wp:align>center</wp:align>
              </wp:positionH>
              <wp:positionV relativeFrom="page">
                <wp:align>top</wp:align>
              </wp:positionV>
              <wp:extent cx="622300" cy="376555"/>
              <wp:effectExtent l="0" t="0" r="6350" b="4445"/>
              <wp:wrapNone/>
              <wp:docPr id="1712157570" name="Text Box 18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713FB5" w14:textId="1EA5BBB4"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F40292" id="_x0000_t202" coordsize="21600,21600" o:spt="202" path="m,l,21600r21600,l21600,xe">
              <v:stroke joinstyle="miter"/>
              <v:path gradientshapeok="t" o:connecttype="rect"/>
            </v:shapetype>
            <v:shape id="Text Box 182" o:spid="_x0000_s1029" type="#_x0000_t202" alt="OFFICIAL" style="position:absolute;margin-left:0;margin-top:0;width:49pt;height:29.65pt;z-index:25165929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" filled="f" stroked="f">
              <v:textbox style="mso-fit-shape-to-text:t" inset="0,15pt,0,0">
                <w:txbxContent>
                  <w:p w14:paraId="07713FB5" w14:textId="1EA5BBB4"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p w14:paraId="10954BF2" w14:textId="77777777" w:rsidR="003E2D9C" w:rsidRDefault="003E2D9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87D094" w14:textId="057746C0" w:rsidR="00FA5674" w:rsidRDefault="00360361">
    <w:pPr>
      <w:pStyle w:val="Header"/>
    </w:pPr>
    <w:r>
      <w:rPr>
        <w:noProof/>
      </w:rPr>
      <mc:AlternateContent>
        <mc:Choice Requires="wps">
          <w:drawing>
            <wp:anchor distT="0" distB="0" distL="0" distR="0" simplePos="0" relativeHeight="251663393" behindDoc="0" locked="0" layoutInCell="1" allowOverlap="1" wp14:anchorId="4BE1EF3E" wp14:editId="6D9A3D24">
              <wp:simplePos x="635" y="635"/>
              <wp:positionH relativeFrom="page">
                <wp:align>center</wp:align>
              </wp:positionH>
              <wp:positionV relativeFrom="page">
                <wp:align>top</wp:align>
              </wp:positionV>
              <wp:extent cx="622300" cy="376555"/>
              <wp:effectExtent l="0" t="0" r="6350" b="4445"/>
              <wp:wrapNone/>
              <wp:docPr id="1654771024" name="Text Box 18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F9D2DB6" w14:textId="7BEF956D"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E1EF3E" id="_x0000_t202" coordsize="21600,21600" o:spt="202" path="m,l,21600r21600,l21600,xe">
              <v:stroke joinstyle="miter"/>
              <v:path gradientshapeok="t" o:connecttype="rect"/>
            </v:shapetype>
            <v:shape id="Text Box 186" o:spid="_x0000_s1031" type="#_x0000_t202" alt="OFFICIAL" style="position:absolute;margin-left:0;margin-top:0;width:49pt;height:29.65pt;z-index:2516633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" filled="f" stroked="f">
              <v:textbox style="mso-fit-shape-to-text:t" inset="0,15pt,0,0">
                <w:txbxContent>
                  <w:p w14:paraId="6F9D2DB6" w14:textId="7BEF956D"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15D69D" w14:textId="195D8F22" w:rsidR="00FA5674" w:rsidRDefault="00360361">
    <w:pPr>
      <w:pStyle w:val="Header"/>
    </w:pPr>
    <w:r>
      <w:rPr>
        <w:noProof/>
      </w:rPr>
      <mc:AlternateContent>
        <mc:Choice Requires="wps">
          <w:drawing>
            <wp:anchor distT="0" distB="0" distL="0" distR="0" simplePos="0" relativeHeight="251664417" behindDoc="0" locked="0" layoutInCell="1" allowOverlap="1" wp14:anchorId="3548CFFD" wp14:editId="00F79B44">
              <wp:simplePos x="635" y="635"/>
              <wp:positionH relativeFrom="page">
                <wp:align>center</wp:align>
              </wp:positionH>
              <wp:positionV relativeFrom="page">
                <wp:align>top</wp:align>
              </wp:positionV>
              <wp:extent cx="622300" cy="376555"/>
              <wp:effectExtent l="0" t="0" r="6350" b="4445"/>
              <wp:wrapNone/>
              <wp:docPr id="511166918" name="Text Box 18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FD9E4B" w14:textId="61AE542C"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48CFFD" id="_x0000_t202" coordsize="21600,21600" o:spt="202" path="m,l,21600r21600,l21600,xe">
              <v:stroke joinstyle="miter"/>
              <v:path gradientshapeok="t" o:connecttype="rect"/>
            </v:shapetype>
            <v:shape id="Text Box 187" o:spid="_x0000_s1032" type="#_x0000_t202" alt="OFFICIAL" style="position:absolute;margin-left:0;margin-top:0;width:49pt;height:29.65pt;z-index:2516644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" filled="f" stroked="f">
              <v:textbox style="mso-fit-shape-to-text:t" inset="0,15pt,0,0">
                <w:txbxContent>
                  <w:p w14:paraId="09FD9E4B" w14:textId="61AE542C"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D37195" w14:textId="746D1C12" w:rsidR="00254862" w:rsidRDefault="00360361">
    <w:pPr>
      <w:pStyle w:val="Header"/>
    </w:pPr>
    <w:r>
      <w:rPr>
        <w:noProof/>
      </w:rPr>
      <mc:AlternateContent>
        <mc:Choice Requires="wps">
          <w:drawing>
            <wp:anchor distT="0" distB="0" distL="0" distR="0" simplePos="0" relativeHeight="251662369" behindDoc="0" locked="0" layoutInCell="1" allowOverlap="1" wp14:anchorId="18DACB90" wp14:editId="7078538A">
              <wp:simplePos x="635" y="635"/>
              <wp:positionH relativeFrom="page">
                <wp:align>center</wp:align>
              </wp:positionH>
              <wp:positionV relativeFrom="page">
                <wp:align>top</wp:align>
              </wp:positionV>
              <wp:extent cx="622300" cy="376555"/>
              <wp:effectExtent l="0" t="0" r="6350" b="4445"/>
              <wp:wrapNone/>
              <wp:docPr id="720857584" name="Text Box 18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7AB1EB" w14:textId="71083B4A"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DACB90" id="_x0000_t202" coordsize="21600,21600" o:spt="202" path="m,l,21600r21600,l21600,xe">
              <v:stroke joinstyle="miter"/>
              <v:path gradientshapeok="t" o:connecttype="rect"/>
            </v:shapetype>
            <v:shape id="Text Box 185" o:spid="_x0000_s1033" type="#_x0000_t202" alt="OFFICIAL" style="position:absolute;margin-left:0;margin-top:0;width:49pt;height:29.65pt;z-index:2516623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" filled="f" stroked="f">
              <v:textbox style="mso-fit-shape-to-text:t" inset="0,15pt,0,0">
                <w:txbxContent>
                  <w:p w14:paraId="0F7AB1EB" w14:textId="71083B4A"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CDC0B2" w14:textId="4C309F37" w:rsidR="009C373F" w:rsidRDefault="00360361">
    <w:pPr>
      <w:pStyle w:val="Header"/>
    </w:pPr>
    <w:r>
      <w:rPr>
        <w:noProof/>
      </w:rPr>
      <mc:AlternateContent>
        <mc:Choice Requires="wps">
          <w:drawing>
            <wp:anchor distT="0" distB="0" distL="0" distR="0" simplePos="0" relativeHeight="251666465" behindDoc="0" locked="0" layoutInCell="1" allowOverlap="1" wp14:anchorId="0058F187" wp14:editId="25F74F20">
              <wp:simplePos x="635" y="635"/>
              <wp:positionH relativeFrom="page">
                <wp:align>center</wp:align>
              </wp:positionH>
              <wp:positionV relativeFrom="page">
                <wp:align>top</wp:align>
              </wp:positionV>
              <wp:extent cx="622300" cy="376555"/>
              <wp:effectExtent l="0" t="0" r="6350" b="4445"/>
              <wp:wrapNone/>
              <wp:docPr id="1348032693" name="Text Box 18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72ABAA2" w14:textId="5D468D86"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58F187" id="_x0000_t202" coordsize="21600,21600" o:spt="202" path="m,l,21600r21600,l21600,xe">
              <v:stroke joinstyle="miter"/>
              <v:path gradientshapeok="t" o:connecttype="rect"/>
            </v:shapetype>
            <v:shape id="Text Box 189" o:spid="_x0000_s1034" type="#_x0000_t202" alt="OFFICIAL" style="position:absolute;margin-left:0;margin-top:0;width:49pt;height:29.65pt;z-index:2516664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" filled="f" stroked="f">
              <v:textbox style="mso-fit-shape-to-text:t" inset="0,15pt,0,0">
                <w:txbxContent>
                  <w:p w14:paraId="172ABAA2" w14:textId="5D468D86"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p w14:paraId="0F66477B" w14:textId="77777777" w:rsidR="009C373F" w:rsidRDefault="009C373F">
    <w:pPr>
      <w:rPr>
        <w:color w:val="auto"/>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0185BD" w14:textId="613884EC" w:rsidR="009C373F" w:rsidRPr="00536030" w:rsidRDefault="00360361">
    <w:pPr>
      <w:pStyle w:val="Header"/>
      <w:rPr>
        <w:b/>
        <w:bCs/>
        <w:i/>
        <w:iCs/>
        <w:color w:val="FF0000"/>
      </w:rPr>
    </w:pPr>
    <w:r>
      <w:rPr>
        <w:b/>
        <w:bCs/>
        <w:i/>
        <w:iCs/>
        <w:noProof/>
        <w:color w:val="FF0000"/>
      </w:rPr>
      <mc:AlternateContent>
        <mc:Choice Requires="wps">
          <w:drawing>
            <wp:anchor distT="0" distB="0" distL="0" distR="0" simplePos="0" relativeHeight="251667489" behindDoc="0" locked="0" layoutInCell="1" allowOverlap="1" wp14:anchorId="50504174" wp14:editId="2E691E46">
              <wp:simplePos x="635" y="635"/>
              <wp:positionH relativeFrom="page">
                <wp:align>center</wp:align>
              </wp:positionH>
              <wp:positionV relativeFrom="page">
                <wp:align>top</wp:align>
              </wp:positionV>
              <wp:extent cx="622300" cy="376555"/>
              <wp:effectExtent l="0" t="0" r="6350" b="4445"/>
              <wp:wrapNone/>
              <wp:docPr id="1934647782" name="Text Box 19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EF0125E" w14:textId="1AFD68AE"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504174" id="_x0000_t202" coordsize="21600,21600" o:spt="202" path="m,l,21600r21600,l21600,xe">
              <v:stroke joinstyle="miter"/>
              <v:path gradientshapeok="t" o:connecttype="rect"/>
            </v:shapetype>
            <v:shape id="Text Box 190" o:spid="_x0000_s1035" type="#_x0000_t202" alt="OFFICIAL" style="position:absolute;margin-left:0;margin-top:0;width:49pt;height:29.65pt;z-index:25166748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" filled="f" stroked="f">
              <v:textbox style="mso-fit-shape-to-text:t" inset="0,15pt,0,0">
                <w:txbxContent>
                  <w:p w14:paraId="3EF0125E" w14:textId="1AFD68AE"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FC97B8" w14:textId="0F3C248F" w:rsidR="009C373F" w:rsidRDefault="00360361">
    <w:pPr>
      <w:pStyle w:val="Header"/>
    </w:pPr>
    <w:r>
      <w:rPr>
        <w:noProof/>
      </w:rPr>
      <mc:AlternateContent>
        <mc:Choice Requires="wps">
          <w:drawing>
            <wp:anchor distT="0" distB="0" distL="0" distR="0" simplePos="0" relativeHeight="251665441" behindDoc="0" locked="0" layoutInCell="1" allowOverlap="1" wp14:anchorId="11532877" wp14:editId="725DF4A6">
              <wp:simplePos x="635" y="635"/>
              <wp:positionH relativeFrom="page">
                <wp:align>center</wp:align>
              </wp:positionH>
              <wp:positionV relativeFrom="page">
                <wp:align>top</wp:align>
              </wp:positionV>
              <wp:extent cx="622300" cy="376555"/>
              <wp:effectExtent l="0" t="0" r="6350" b="4445"/>
              <wp:wrapNone/>
              <wp:docPr id="62121895" name="Text Box 18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658695F" w14:textId="18CF3BA7"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532877" id="_x0000_t202" coordsize="21600,21600" o:spt="202" path="m,l,21600r21600,l21600,xe">
              <v:stroke joinstyle="miter"/>
              <v:path gradientshapeok="t" o:connecttype="rect"/>
            </v:shapetype>
            <v:shape id="Text Box 188" o:spid="_x0000_s1037" type="#_x0000_t202" alt="OFFICIAL" style="position:absolute;margin-left:0;margin-top:0;width:49pt;height:29.65pt;z-index:2516654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" filled="f" stroked="f">
              <v:textbox style="mso-fit-shape-to-text:t" inset="0,15pt,0,0">
                <w:txbxContent>
                  <w:p w14:paraId="5658695F" w14:textId="18CF3BA7" w:rsidR="00360361" w:rsidRPr="00360361" w:rsidRDefault="00360361" w:rsidP="00360361">
                    <w:pPr>
                      <w:spacing w:after="0"/>
                      <w:rPr>
                        <w:rFonts w:ascii="Aptos" w:eastAsia="Aptos" w:hAnsi="Aptos" w:cs="Aptos"/>
                        <w:noProof/>
                        <w:color w:val="FF0000"/>
                        <w:sz w:val="24"/>
                        <w:szCs w:val="24"/>
                      </w:rPr>
                    </w:pPr>
                    <w:r w:rsidRPr="00360361">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8B42D452"/>
    <w:lvl w:ilvl="0">
      <w:start w:val="1"/>
      <w:numFmt w:val="bullet"/>
      <w:pStyle w:val="ListBullet2"/>
      <w:lvlText w:val="—"/>
      <w:lvlJc w:val="left"/>
      <w:pPr>
        <w:tabs>
          <w:tab w:val="num" w:pos="3261"/>
        </w:tabs>
        <w:ind w:left="3261" w:hanging="284"/>
      </w:pPr>
      <w:rPr>
        <w:rFonts w:ascii="Roboto-Bold" w:hAnsi="Roboto-Bold" w:hint="default"/>
        <w:color w:val="545A60" w:themeColor="accent3"/>
      </w:rPr>
    </w:lvl>
  </w:abstractNum>
  <w:abstractNum w:abstractNumId="1" w15:restartNumberingAfterBreak="0">
    <w:nsid w:val="FFFFFF88"/>
    <w:multiLevelType w:val="singleLevel"/>
    <w:tmpl w:val="04127DC6"/>
    <w:lvl w:ilvl="0">
      <w:start w:val="1"/>
      <w:numFmt w:val="decimal"/>
      <w:pStyle w:val="ListNumber"/>
      <w:lvlText w:val="%1."/>
      <w:lvlJc w:val="left"/>
      <w:pPr>
        <w:tabs>
          <w:tab w:val="num" w:pos="360"/>
        </w:tabs>
        <w:ind w:left="360" w:hanging="360"/>
      </w:pPr>
    </w:lvl>
  </w:abstractNum>
  <w:abstractNum w:abstractNumId="2" w15:restartNumberingAfterBreak="0">
    <w:nsid w:val="01A53577"/>
    <w:multiLevelType w:val="hybridMultilevel"/>
    <w:tmpl w:val="B09246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85473D"/>
    <w:multiLevelType w:val="hybridMultilevel"/>
    <w:tmpl w:val="00286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D423E4"/>
    <w:multiLevelType w:val="hybridMultilevel"/>
    <w:tmpl w:val="49665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28401A"/>
    <w:multiLevelType w:val="hybridMultilevel"/>
    <w:tmpl w:val="12D0F664"/>
    <w:styleLink w:val="CurrentList5"/>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B44947"/>
    <w:multiLevelType w:val="hybridMultilevel"/>
    <w:tmpl w:val="5F0CC056"/>
    <w:lvl w:ilvl="0" w:tplc="2C08BD62">
      <w:start w:val="1"/>
      <w:numFmt w:val="bullet"/>
      <w:pStyle w:val="ListBullet"/>
      <w:lvlText w:val="•"/>
      <w:lvlJc w:val="left"/>
      <w:pPr>
        <w:ind w:left="170" w:hanging="170"/>
      </w:pPr>
      <w:rPr>
        <w:rFonts w:ascii="Roboto-Bold" w:hAnsi="Roboto-Bold" w:hint="default"/>
        <w:color w:val="545A60" w:themeColor="accent3"/>
        <w:sz w:val="18"/>
        <w:szCs w:val="18"/>
      </w:rPr>
    </w:lvl>
    <w:lvl w:ilvl="1" w:tplc="FFFFFFFF">
      <w:start w:val="1"/>
      <w:numFmt w:val="bullet"/>
      <w:lvlText w:val="o"/>
      <w:lvlJc w:val="left"/>
      <w:pPr>
        <w:ind w:left="624" w:firstLine="0"/>
      </w:pPr>
      <w:rPr>
        <w:rFonts w:ascii="Roboto-Light" w:hAnsi="Roboto-Light" w:hint="default"/>
        <w:b w:val="0"/>
        <w:i w:val="0"/>
        <w:color w:val="008142" w:themeColor="accent5"/>
        <w:sz w:val="18"/>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9C864A3"/>
    <w:multiLevelType w:val="hybridMultilevel"/>
    <w:tmpl w:val="3D24E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3377CB"/>
    <w:multiLevelType w:val="hybridMultilevel"/>
    <w:tmpl w:val="16E0D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377F71"/>
    <w:multiLevelType w:val="hybridMultilevel"/>
    <w:tmpl w:val="2586F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3B77F5"/>
    <w:multiLevelType w:val="hybridMultilevel"/>
    <w:tmpl w:val="1BBA1B24"/>
    <w:lvl w:ilvl="0" w:tplc="93A81CBC">
      <w:start w:val="202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717952"/>
    <w:multiLevelType w:val="multilevel"/>
    <w:tmpl w:val="018E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8F5639"/>
    <w:multiLevelType w:val="hybridMultilevel"/>
    <w:tmpl w:val="137A86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E131E3C"/>
    <w:multiLevelType w:val="hybridMultilevel"/>
    <w:tmpl w:val="3DD8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E835A37"/>
    <w:multiLevelType w:val="hybridMultilevel"/>
    <w:tmpl w:val="82383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E27365"/>
    <w:multiLevelType w:val="hybridMultilevel"/>
    <w:tmpl w:val="87A8A0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06B1E3D"/>
    <w:multiLevelType w:val="hybridMultilevel"/>
    <w:tmpl w:val="A1B41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0885232"/>
    <w:multiLevelType w:val="hybridMultilevel"/>
    <w:tmpl w:val="6F6CF60C"/>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1AF0A9D"/>
    <w:multiLevelType w:val="multilevel"/>
    <w:tmpl w:val="D10A19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6DE7772"/>
    <w:multiLevelType w:val="hybridMultilevel"/>
    <w:tmpl w:val="DA70A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9F6183D"/>
    <w:multiLevelType w:val="hybridMultilevel"/>
    <w:tmpl w:val="06486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A795ABF"/>
    <w:multiLevelType w:val="hybridMultilevel"/>
    <w:tmpl w:val="4626A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2E5972"/>
    <w:multiLevelType w:val="hybridMultilevel"/>
    <w:tmpl w:val="1D0231A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86E46CF"/>
    <w:multiLevelType w:val="hybridMultilevel"/>
    <w:tmpl w:val="5D4A566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4" w15:restartNumberingAfterBreak="0">
    <w:nsid w:val="2A610649"/>
    <w:multiLevelType w:val="hybridMultilevel"/>
    <w:tmpl w:val="F6EA2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DBD5D69"/>
    <w:multiLevelType w:val="hybridMultilevel"/>
    <w:tmpl w:val="C040F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DE11ED6"/>
    <w:multiLevelType w:val="hybridMultilevel"/>
    <w:tmpl w:val="56A4425E"/>
    <w:lvl w:ilvl="0" w:tplc="724C68FC">
      <w:start w:val="1"/>
      <w:numFmt w:val="bullet"/>
      <w:lvlText w:val="·"/>
      <w:lvlJc w:val="left"/>
      <w:pPr>
        <w:ind w:left="720" w:hanging="360"/>
      </w:pPr>
      <w:rPr>
        <w:rFonts w:ascii="Symbol" w:hAnsi="Symbol" w:hint="default"/>
      </w:rPr>
    </w:lvl>
    <w:lvl w:ilvl="1" w:tplc="F546278A">
      <w:start w:val="1"/>
      <w:numFmt w:val="bullet"/>
      <w:lvlText w:val="o"/>
      <w:lvlJc w:val="left"/>
      <w:pPr>
        <w:ind w:left="1440" w:hanging="360"/>
      </w:pPr>
      <w:rPr>
        <w:rFonts w:ascii="Courier New" w:hAnsi="Courier New" w:hint="default"/>
      </w:rPr>
    </w:lvl>
    <w:lvl w:ilvl="2" w:tplc="542C7D0A">
      <w:start w:val="1"/>
      <w:numFmt w:val="bullet"/>
      <w:lvlText w:val=""/>
      <w:lvlJc w:val="left"/>
      <w:pPr>
        <w:ind w:left="2160" w:hanging="360"/>
      </w:pPr>
      <w:rPr>
        <w:rFonts w:ascii="Wingdings" w:hAnsi="Wingdings" w:hint="default"/>
      </w:rPr>
    </w:lvl>
    <w:lvl w:ilvl="3" w:tplc="8F08B740">
      <w:start w:val="1"/>
      <w:numFmt w:val="bullet"/>
      <w:lvlText w:val=""/>
      <w:lvlJc w:val="left"/>
      <w:pPr>
        <w:ind w:left="2880" w:hanging="360"/>
      </w:pPr>
      <w:rPr>
        <w:rFonts w:ascii="Symbol" w:hAnsi="Symbol" w:hint="default"/>
      </w:rPr>
    </w:lvl>
    <w:lvl w:ilvl="4" w:tplc="89D63C0E">
      <w:start w:val="1"/>
      <w:numFmt w:val="bullet"/>
      <w:lvlText w:val="o"/>
      <w:lvlJc w:val="left"/>
      <w:pPr>
        <w:ind w:left="3600" w:hanging="360"/>
      </w:pPr>
      <w:rPr>
        <w:rFonts w:ascii="Courier New" w:hAnsi="Courier New" w:hint="default"/>
      </w:rPr>
    </w:lvl>
    <w:lvl w:ilvl="5" w:tplc="55565978">
      <w:start w:val="1"/>
      <w:numFmt w:val="bullet"/>
      <w:lvlText w:val=""/>
      <w:lvlJc w:val="left"/>
      <w:pPr>
        <w:ind w:left="4320" w:hanging="360"/>
      </w:pPr>
      <w:rPr>
        <w:rFonts w:ascii="Wingdings" w:hAnsi="Wingdings" w:hint="default"/>
      </w:rPr>
    </w:lvl>
    <w:lvl w:ilvl="6" w:tplc="DE2031F8">
      <w:start w:val="1"/>
      <w:numFmt w:val="bullet"/>
      <w:lvlText w:val=""/>
      <w:lvlJc w:val="left"/>
      <w:pPr>
        <w:ind w:left="5040" w:hanging="360"/>
      </w:pPr>
      <w:rPr>
        <w:rFonts w:ascii="Symbol" w:hAnsi="Symbol" w:hint="default"/>
      </w:rPr>
    </w:lvl>
    <w:lvl w:ilvl="7" w:tplc="716CCFA8">
      <w:start w:val="1"/>
      <w:numFmt w:val="bullet"/>
      <w:lvlText w:val="o"/>
      <w:lvlJc w:val="left"/>
      <w:pPr>
        <w:ind w:left="5760" w:hanging="360"/>
      </w:pPr>
      <w:rPr>
        <w:rFonts w:ascii="Courier New" w:hAnsi="Courier New" w:hint="default"/>
      </w:rPr>
    </w:lvl>
    <w:lvl w:ilvl="8" w:tplc="DAE639F0">
      <w:start w:val="1"/>
      <w:numFmt w:val="bullet"/>
      <w:lvlText w:val=""/>
      <w:lvlJc w:val="left"/>
      <w:pPr>
        <w:ind w:left="6480" w:hanging="360"/>
      </w:pPr>
      <w:rPr>
        <w:rFonts w:ascii="Wingdings" w:hAnsi="Wingdings" w:hint="default"/>
      </w:rPr>
    </w:lvl>
  </w:abstractNum>
  <w:abstractNum w:abstractNumId="27" w15:restartNumberingAfterBreak="0">
    <w:nsid w:val="2E3E4232"/>
    <w:multiLevelType w:val="multilevel"/>
    <w:tmpl w:val="732AB586"/>
    <w:styleLink w:val="CurrentList2"/>
    <w:lvl w:ilvl="0">
      <w:start w:val="1"/>
      <w:numFmt w:val="decimal"/>
      <w:lvlText w:val="%1."/>
      <w:lvlJc w:val="left"/>
      <w:pPr>
        <w:ind w:left="360" w:hanging="360"/>
      </w:pPr>
      <w:rPr>
        <w:rFonts w:hint="default"/>
        <w:color w:val="00B0DE"/>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cs="Courier New" w:hint="default"/>
      </w:rPr>
    </w:lvl>
    <w:lvl w:ilvl="8">
      <w:start w:val="1"/>
      <w:numFmt w:val="bullet"/>
      <w:lvlText w:val=""/>
      <w:lvlJc w:val="left"/>
      <w:pPr>
        <w:ind w:left="5400" w:hanging="360"/>
      </w:pPr>
      <w:rPr>
        <w:rFonts w:ascii="Wingdings" w:hAnsi="Wingdings" w:hint="default"/>
      </w:rPr>
    </w:lvl>
  </w:abstractNum>
  <w:abstractNum w:abstractNumId="28" w15:restartNumberingAfterBreak="0">
    <w:nsid w:val="2F244530"/>
    <w:multiLevelType w:val="hybridMultilevel"/>
    <w:tmpl w:val="1E4816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2F8B1F03"/>
    <w:multiLevelType w:val="hybridMultilevel"/>
    <w:tmpl w:val="B686E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1EF6062"/>
    <w:multiLevelType w:val="hybridMultilevel"/>
    <w:tmpl w:val="A2121C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326C1712"/>
    <w:multiLevelType w:val="hybridMultilevel"/>
    <w:tmpl w:val="0756D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4316A14"/>
    <w:multiLevelType w:val="hybridMultilevel"/>
    <w:tmpl w:val="0EECC088"/>
    <w:lvl w:ilvl="0" w:tplc="D8A4C772">
      <w:start w:val="1"/>
      <w:numFmt w:val="bullet"/>
      <w:lvlText w:val="•"/>
      <w:lvlJc w:val="left"/>
      <w:pPr>
        <w:ind w:left="170" w:hanging="170"/>
      </w:pPr>
      <w:rPr>
        <w:rFonts w:ascii="Roboto-Bold" w:hAnsi="Roboto-Bold" w:hint="default"/>
        <w:color w:val="008142" w:themeColor="accent5"/>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381C427B"/>
    <w:multiLevelType w:val="hybridMultilevel"/>
    <w:tmpl w:val="29C4B3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8BF467E"/>
    <w:multiLevelType w:val="multilevel"/>
    <w:tmpl w:val="28A808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399B1F2B"/>
    <w:multiLevelType w:val="hybridMultilevel"/>
    <w:tmpl w:val="C422D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9DB4966"/>
    <w:multiLevelType w:val="hybridMultilevel"/>
    <w:tmpl w:val="05780A18"/>
    <w:styleLink w:val="CurrentList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A9A6F8F"/>
    <w:multiLevelType w:val="hybridMultilevel"/>
    <w:tmpl w:val="1E8C3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B031DC0"/>
    <w:multiLevelType w:val="hybridMultilevel"/>
    <w:tmpl w:val="20B66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BA30E01"/>
    <w:multiLevelType w:val="hybridMultilevel"/>
    <w:tmpl w:val="C9F8CD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3D4A0DD5"/>
    <w:multiLevelType w:val="multilevel"/>
    <w:tmpl w:val="D50E3C94"/>
    <w:styleLink w:val="CurrentList7"/>
    <w:lvl w:ilvl="0">
      <w:start w:val="1"/>
      <w:numFmt w:val="bullet"/>
      <w:lvlText w:val="•"/>
      <w:lvlJc w:val="left"/>
      <w:pPr>
        <w:ind w:left="170" w:hanging="170"/>
      </w:pPr>
      <w:rPr>
        <w:rFonts w:ascii="Roboto-Bold" w:hAnsi="Roboto-Bold" w:hint="default"/>
        <w:color w:val="008142" w:themeColor="accent5"/>
        <w:sz w:val="18"/>
        <w:szCs w:val="18"/>
      </w:rPr>
    </w:lvl>
    <w:lvl w:ilvl="1">
      <w:start w:val="1"/>
      <w:numFmt w:val="bullet"/>
      <w:lvlText w:val="o"/>
      <w:lvlJc w:val="left"/>
      <w:pPr>
        <w:ind w:left="624" w:firstLine="0"/>
      </w:pPr>
      <w:rPr>
        <w:rFonts w:ascii="Roboto-Light" w:hAnsi="Roboto-Light" w:hint="default"/>
        <w:b w:val="0"/>
        <w:i w:val="0"/>
        <w:color w:val="008142" w:themeColor="accent5"/>
        <w:sz w:val="18"/>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450E5F5C"/>
    <w:multiLevelType w:val="hybridMultilevel"/>
    <w:tmpl w:val="0C30E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56D3C19"/>
    <w:multiLevelType w:val="multilevel"/>
    <w:tmpl w:val="EE3AE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CD1E44"/>
    <w:multiLevelType w:val="hybridMultilevel"/>
    <w:tmpl w:val="38C2DC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5F33138"/>
    <w:multiLevelType w:val="hybridMultilevel"/>
    <w:tmpl w:val="F7400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64C07A0"/>
    <w:multiLevelType w:val="hybridMultilevel"/>
    <w:tmpl w:val="53A087D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6" w15:restartNumberingAfterBreak="0">
    <w:nsid w:val="467075AD"/>
    <w:multiLevelType w:val="multilevel"/>
    <w:tmpl w:val="9AE0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78618FE"/>
    <w:multiLevelType w:val="hybridMultilevel"/>
    <w:tmpl w:val="0B5C1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8" w15:restartNumberingAfterBreak="0">
    <w:nsid w:val="47CC2BE1"/>
    <w:multiLevelType w:val="hybridMultilevel"/>
    <w:tmpl w:val="07B61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A6B3B99"/>
    <w:multiLevelType w:val="hybridMultilevel"/>
    <w:tmpl w:val="17E4F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BF06CE1"/>
    <w:multiLevelType w:val="hybridMultilevel"/>
    <w:tmpl w:val="7A826D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DED55CE"/>
    <w:multiLevelType w:val="hybridMultilevel"/>
    <w:tmpl w:val="B074CC20"/>
    <w:lvl w:ilvl="0" w:tplc="0C0445DE">
      <w:start w:val="2025"/>
      <w:numFmt w:val="bullet"/>
      <w:lvlText w:val="-"/>
      <w:lvlJc w:val="left"/>
      <w:pPr>
        <w:ind w:left="720" w:hanging="360"/>
      </w:pPr>
      <w:rPr>
        <w:rFonts w:ascii="Arial" w:eastAsia="Times New Roman" w:hAnsi="Arial" w:cs="Aria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EB11B8A"/>
    <w:multiLevelType w:val="hybridMultilevel"/>
    <w:tmpl w:val="9326C0E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2373D2D"/>
    <w:multiLevelType w:val="hybridMultilevel"/>
    <w:tmpl w:val="50E28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2943AD4"/>
    <w:multiLevelType w:val="hybridMultilevel"/>
    <w:tmpl w:val="43601E0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5" w15:restartNumberingAfterBreak="0">
    <w:nsid w:val="52E43B69"/>
    <w:multiLevelType w:val="hybridMultilevel"/>
    <w:tmpl w:val="3EB87DB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53C168D4"/>
    <w:multiLevelType w:val="hybridMultilevel"/>
    <w:tmpl w:val="931CF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3D14751"/>
    <w:multiLevelType w:val="hybridMultilevel"/>
    <w:tmpl w:val="F9EA4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4033DE0"/>
    <w:multiLevelType w:val="hybridMultilevel"/>
    <w:tmpl w:val="EF7E76E4"/>
    <w:styleLink w:val="CurrentList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6A00CC6"/>
    <w:multiLevelType w:val="hybridMultilevel"/>
    <w:tmpl w:val="544666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0" w15:restartNumberingAfterBreak="0">
    <w:nsid w:val="5785424C"/>
    <w:multiLevelType w:val="hybridMultilevel"/>
    <w:tmpl w:val="EE329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7E94A47"/>
    <w:multiLevelType w:val="hybridMultilevel"/>
    <w:tmpl w:val="760661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A536B9C"/>
    <w:multiLevelType w:val="hybridMultilevel"/>
    <w:tmpl w:val="5E9290C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2EF27ED4">
      <w:numFmt w:val="bullet"/>
      <w:lvlText w:val="•"/>
      <w:lvlJc w:val="left"/>
      <w:pPr>
        <w:ind w:left="2160" w:hanging="720"/>
      </w:pPr>
      <w:rPr>
        <w:rFonts w:ascii="Aptos" w:eastAsiaTheme="minorHAnsi" w:hAnsi="Aptos" w:cs="Roboto-Light"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5BF33359"/>
    <w:multiLevelType w:val="hybridMultilevel"/>
    <w:tmpl w:val="02B2A2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D59731E"/>
    <w:multiLevelType w:val="hybridMultilevel"/>
    <w:tmpl w:val="29340E8A"/>
    <w:lvl w:ilvl="0" w:tplc="AF025AD8">
      <w:start w:val="1"/>
      <w:numFmt w:val="bullet"/>
      <w:lvlText w:val="•"/>
      <w:lvlJc w:val="left"/>
      <w:pPr>
        <w:ind w:left="170" w:hanging="170"/>
      </w:pPr>
      <w:rPr>
        <w:rFonts w:ascii="Roboto-Bold" w:hAnsi="Roboto-Bold" w:hint="default"/>
        <w:color w:val="008142" w:themeColor="accent5"/>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5D8F0EFC"/>
    <w:multiLevelType w:val="hybridMultilevel"/>
    <w:tmpl w:val="F4DC60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6" w15:restartNumberingAfterBreak="0">
    <w:nsid w:val="5F352E52"/>
    <w:multiLevelType w:val="multilevel"/>
    <w:tmpl w:val="57E6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FA517FE"/>
    <w:multiLevelType w:val="hybridMultilevel"/>
    <w:tmpl w:val="21DC38B6"/>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68" w15:restartNumberingAfterBreak="0">
    <w:nsid w:val="60572CBA"/>
    <w:multiLevelType w:val="hybridMultilevel"/>
    <w:tmpl w:val="24320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68C59FB"/>
    <w:multiLevelType w:val="hybridMultilevel"/>
    <w:tmpl w:val="9B56A0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0" w15:restartNumberingAfterBreak="0">
    <w:nsid w:val="6B2E0426"/>
    <w:multiLevelType w:val="hybridMultilevel"/>
    <w:tmpl w:val="B49655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6BE6383A"/>
    <w:multiLevelType w:val="hybridMultilevel"/>
    <w:tmpl w:val="F6302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F5D1964"/>
    <w:multiLevelType w:val="hybridMultilevel"/>
    <w:tmpl w:val="A364C2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3" w15:restartNumberingAfterBreak="0">
    <w:nsid w:val="7001235C"/>
    <w:multiLevelType w:val="hybridMultilevel"/>
    <w:tmpl w:val="6DE4221E"/>
    <w:lvl w:ilvl="0" w:tplc="FFFFFFFF">
      <w:start w:val="2025"/>
      <w:numFmt w:val="bullet"/>
      <w:lvlText w:val="-"/>
      <w:lvlJc w:val="left"/>
      <w:pPr>
        <w:ind w:left="720" w:hanging="360"/>
      </w:pPr>
      <w:rPr>
        <w:rFonts w:ascii="Aptos" w:eastAsiaTheme="majorEastAsia" w:hAnsi="Aptos" w:cstheme="majorBidi"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701E9357"/>
    <w:multiLevelType w:val="hybridMultilevel"/>
    <w:tmpl w:val="FFFFFFFF"/>
    <w:lvl w:ilvl="0" w:tplc="DA546A9C">
      <w:start w:val="1"/>
      <w:numFmt w:val="bullet"/>
      <w:lvlText w:val=""/>
      <w:lvlJc w:val="left"/>
      <w:pPr>
        <w:ind w:left="720" w:hanging="360"/>
      </w:pPr>
      <w:rPr>
        <w:rFonts w:ascii="Symbol" w:hAnsi="Symbol" w:hint="default"/>
      </w:rPr>
    </w:lvl>
    <w:lvl w:ilvl="1" w:tplc="3C063F7E">
      <w:start w:val="1"/>
      <w:numFmt w:val="bullet"/>
      <w:lvlText w:val="o"/>
      <w:lvlJc w:val="left"/>
      <w:pPr>
        <w:ind w:left="1440" w:hanging="360"/>
      </w:pPr>
      <w:rPr>
        <w:rFonts w:ascii="Courier New" w:hAnsi="Courier New" w:hint="default"/>
      </w:rPr>
    </w:lvl>
    <w:lvl w:ilvl="2" w:tplc="57B41FF2">
      <w:start w:val="1"/>
      <w:numFmt w:val="bullet"/>
      <w:lvlText w:val=""/>
      <w:lvlJc w:val="left"/>
      <w:pPr>
        <w:ind w:left="2160" w:hanging="360"/>
      </w:pPr>
      <w:rPr>
        <w:rFonts w:ascii="Wingdings" w:hAnsi="Wingdings" w:hint="default"/>
      </w:rPr>
    </w:lvl>
    <w:lvl w:ilvl="3" w:tplc="DCC89476">
      <w:start w:val="1"/>
      <w:numFmt w:val="bullet"/>
      <w:lvlText w:val=""/>
      <w:lvlJc w:val="left"/>
      <w:pPr>
        <w:ind w:left="2880" w:hanging="360"/>
      </w:pPr>
      <w:rPr>
        <w:rFonts w:ascii="Symbol" w:hAnsi="Symbol" w:hint="default"/>
      </w:rPr>
    </w:lvl>
    <w:lvl w:ilvl="4" w:tplc="E0D268A2">
      <w:start w:val="1"/>
      <w:numFmt w:val="bullet"/>
      <w:lvlText w:val="o"/>
      <w:lvlJc w:val="left"/>
      <w:pPr>
        <w:ind w:left="3600" w:hanging="360"/>
      </w:pPr>
      <w:rPr>
        <w:rFonts w:ascii="Courier New" w:hAnsi="Courier New" w:hint="default"/>
      </w:rPr>
    </w:lvl>
    <w:lvl w:ilvl="5" w:tplc="8D3CC462">
      <w:start w:val="1"/>
      <w:numFmt w:val="bullet"/>
      <w:lvlText w:val=""/>
      <w:lvlJc w:val="left"/>
      <w:pPr>
        <w:ind w:left="4320" w:hanging="360"/>
      </w:pPr>
      <w:rPr>
        <w:rFonts w:ascii="Wingdings" w:hAnsi="Wingdings" w:hint="default"/>
      </w:rPr>
    </w:lvl>
    <w:lvl w:ilvl="6" w:tplc="9EE2F0D2">
      <w:start w:val="1"/>
      <w:numFmt w:val="bullet"/>
      <w:lvlText w:val=""/>
      <w:lvlJc w:val="left"/>
      <w:pPr>
        <w:ind w:left="5040" w:hanging="360"/>
      </w:pPr>
      <w:rPr>
        <w:rFonts w:ascii="Symbol" w:hAnsi="Symbol" w:hint="default"/>
      </w:rPr>
    </w:lvl>
    <w:lvl w:ilvl="7" w:tplc="5D24CBB6">
      <w:start w:val="1"/>
      <w:numFmt w:val="bullet"/>
      <w:lvlText w:val="o"/>
      <w:lvlJc w:val="left"/>
      <w:pPr>
        <w:ind w:left="5760" w:hanging="360"/>
      </w:pPr>
      <w:rPr>
        <w:rFonts w:ascii="Courier New" w:hAnsi="Courier New" w:hint="default"/>
      </w:rPr>
    </w:lvl>
    <w:lvl w:ilvl="8" w:tplc="9A0A21B2">
      <w:start w:val="1"/>
      <w:numFmt w:val="bullet"/>
      <w:lvlText w:val=""/>
      <w:lvlJc w:val="left"/>
      <w:pPr>
        <w:ind w:left="6480" w:hanging="360"/>
      </w:pPr>
      <w:rPr>
        <w:rFonts w:ascii="Wingdings" w:hAnsi="Wingdings" w:hint="default"/>
      </w:rPr>
    </w:lvl>
  </w:abstractNum>
  <w:abstractNum w:abstractNumId="75" w15:restartNumberingAfterBreak="0">
    <w:nsid w:val="71517355"/>
    <w:multiLevelType w:val="hybridMultilevel"/>
    <w:tmpl w:val="B2AA91F0"/>
    <w:lvl w:ilvl="0" w:tplc="F2E4AE3A">
      <w:start w:val="1"/>
      <w:numFmt w:val="bullet"/>
      <w:lvlText w:val="–"/>
      <w:lvlJc w:val="left"/>
      <w:pPr>
        <w:ind w:left="615" w:hanging="360"/>
      </w:pPr>
      <w:rPr>
        <w:rFonts w:ascii="Roboto-Regular" w:hAnsi="Roboto-Regular" w:hint="default"/>
        <w:b w:val="0"/>
        <w:i w:val="0"/>
        <w:color w:val="008142" w:themeColor="accent5"/>
        <w:sz w:val="18"/>
        <w:szCs w:val="18"/>
      </w:rPr>
    </w:lvl>
    <w:lvl w:ilvl="1" w:tplc="FFFFFFFF">
      <w:start w:val="1"/>
      <w:numFmt w:val="bullet"/>
      <w:lvlText w:val="–"/>
      <w:lvlJc w:val="left"/>
      <w:pPr>
        <w:ind w:left="822" w:hanging="283"/>
      </w:pPr>
      <w:rPr>
        <w:rFonts w:ascii="Roboto-Regular" w:hAnsi="Roboto-Regular" w:hint="default"/>
        <w:b w:val="0"/>
        <w:i w:val="0"/>
        <w:color w:val="008142" w:themeColor="accent5"/>
        <w:sz w:val="18"/>
      </w:rPr>
    </w:lvl>
    <w:lvl w:ilvl="2" w:tplc="FFFFFFFF">
      <w:start w:val="1"/>
      <w:numFmt w:val="bullet"/>
      <w:lvlText w:val=""/>
      <w:lvlJc w:val="left"/>
      <w:pPr>
        <w:ind w:left="2055" w:hanging="360"/>
      </w:pPr>
      <w:rPr>
        <w:rFonts w:ascii="Wingdings" w:hAnsi="Wingdings" w:hint="default"/>
      </w:rPr>
    </w:lvl>
    <w:lvl w:ilvl="3" w:tplc="FFFFFFFF" w:tentative="1">
      <w:start w:val="1"/>
      <w:numFmt w:val="bullet"/>
      <w:lvlText w:val=""/>
      <w:lvlJc w:val="left"/>
      <w:pPr>
        <w:ind w:left="2775" w:hanging="360"/>
      </w:pPr>
      <w:rPr>
        <w:rFonts w:ascii="Symbol" w:hAnsi="Symbol" w:hint="default"/>
      </w:rPr>
    </w:lvl>
    <w:lvl w:ilvl="4" w:tplc="FFFFFFFF" w:tentative="1">
      <w:start w:val="1"/>
      <w:numFmt w:val="bullet"/>
      <w:lvlText w:val="o"/>
      <w:lvlJc w:val="left"/>
      <w:pPr>
        <w:ind w:left="3495" w:hanging="360"/>
      </w:pPr>
      <w:rPr>
        <w:rFonts w:ascii="Courier New" w:hAnsi="Courier New" w:cs="Courier New" w:hint="default"/>
      </w:rPr>
    </w:lvl>
    <w:lvl w:ilvl="5" w:tplc="FFFFFFFF" w:tentative="1">
      <w:start w:val="1"/>
      <w:numFmt w:val="bullet"/>
      <w:lvlText w:val=""/>
      <w:lvlJc w:val="left"/>
      <w:pPr>
        <w:ind w:left="4215" w:hanging="360"/>
      </w:pPr>
      <w:rPr>
        <w:rFonts w:ascii="Wingdings" w:hAnsi="Wingdings" w:hint="default"/>
      </w:rPr>
    </w:lvl>
    <w:lvl w:ilvl="6" w:tplc="FFFFFFFF" w:tentative="1">
      <w:start w:val="1"/>
      <w:numFmt w:val="bullet"/>
      <w:lvlText w:val=""/>
      <w:lvlJc w:val="left"/>
      <w:pPr>
        <w:ind w:left="4935" w:hanging="360"/>
      </w:pPr>
      <w:rPr>
        <w:rFonts w:ascii="Symbol" w:hAnsi="Symbol" w:hint="default"/>
      </w:rPr>
    </w:lvl>
    <w:lvl w:ilvl="7" w:tplc="FFFFFFFF" w:tentative="1">
      <w:start w:val="1"/>
      <w:numFmt w:val="bullet"/>
      <w:lvlText w:val="o"/>
      <w:lvlJc w:val="left"/>
      <w:pPr>
        <w:ind w:left="5655" w:hanging="360"/>
      </w:pPr>
      <w:rPr>
        <w:rFonts w:ascii="Courier New" w:hAnsi="Courier New" w:cs="Courier New" w:hint="default"/>
      </w:rPr>
    </w:lvl>
    <w:lvl w:ilvl="8" w:tplc="FFFFFFFF" w:tentative="1">
      <w:start w:val="1"/>
      <w:numFmt w:val="bullet"/>
      <w:lvlText w:val=""/>
      <w:lvlJc w:val="left"/>
      <w:pPr>
        <w:ind w:left="6375" w:hanging="360"/>
      </w:pPr>
      <w:rPr>
        <w:rFonts w:ascii="Wingdings" w:hAnsi="Wingdings" w:hint="default"/>
      </w:rPr>
    </w:lvl>
  </w:abstractNum>
  <w:abstractNum w:abstractNumId="76" w15:restartNumberingAfterBreak="0">
    <w:nsid w:val="737343AA"/>
    <w:multiLevelType w:val="multilevel"/>
    <w:tmpl w:val="2292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65E4EFF"/>
    <w:multiLevelType w:val="hybridMultilevel"/>
    <w:tmpl w:val="85FC9A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8" w15:restartNumberingAfterBreak="0">
    <w:nsid w:val="774A19BB"/>
    <w:multiLevelType w:val="hybridMultilevel"/>
    <w:tmpl w:val="BF5CD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78B5F08"/>
    <w:multiLevelType w:val="multilevel"/>
    <w:tmpl w:val="EE3AE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8FF257C"/>
    <w:multiLevelType w:val="hybridMultilevel"/>
    <w:tmpl w:val="9D4041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1" w15:restartNumberingAfterBreak="0">
    <w:nsid w:val="796A3433"/>
    <w:multiLevelType w:val="multilevel"/>
    <w:tmpl w:val="81B4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A08574B"/>
    <w:multiLevelType w:val="hybridMultilevel"/>
    <w:tmpl w:val="24203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F3D1419"/>
    <w:multiLevelType w:val="hybridMultilevel"/>
    <w:tmpl w:val="69B49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34332959">
    <w:abstractNumId w:val="1"/>
  </w:num>
  <w:num w:numId="2" w16cid:durableId="1433403431">
    <w:abstractNumId w:val="0"/>
  </w:num>
  <w:num w:numId="3" w16cid:durableId="863591431">
    <w:abstractNumId w:val="27"/>
  </w:num>
  <w:num w:numId="4" w16cid:durableId="187645265">
    <w:abstractNumId w:val="5"/>
  </w:num>
  <w:num w:numId="5" w16cid:durableId="565728667">
    <w:abstractNumId w:val="36"/>
  </w:num>
  <w:num w:numId="6" w16cid:durableId="1621450663">
    <w:abstractNumId w:val="58"/>
  </w:num>
  <w:num w:numId="7" w16cid:durableId="1931813199">
    <w:abstractNumId w:val="64"/>
  </w:num>
  <w:num w:numId="8" w16cid:durableId="81881108">
    <w:abstractNumId w:val="64"/>
  </w:num>
  <w:num w:numId="9" w16cid:durableId="1431656696">
    <w:abstractNumId w:val="75"/>
  </w:num>
  <w:num w:numId="10" w16cid:durableId="1383679425">
    <w:abstractNumId w:val="33"/>
  </w:num>
  <w:num w:numId="11" w16cid:durableId="1292053854">
    <w:abstractNumId w:val="23"/>
  </w:num>
  <w:num w:numId="12" w16cid:durableId="517621694">
    <w:abstractNumId w:val="14"/>
  </w:num>
  <w:num w:numId="13" w16cid:durableId="1787192181">
    <w:abstractNumId w:val="50"/>
  </w:num>
  <w:num w:numId="14" w16cid:durableId="169373132">
    <w:abstractNumId w:val="17"/>
  </w:num>
  <w:num w:numId="15" w16cid:durableId="1654798422">
    <w:abstractNumId w:val="79"/>
  </w:num>
  <w:num w:numId="16" w16cid:durableId="1252351337">
    <w:abstractNumId w:val="42"/>
  </w:num>
  <w:num w:numId="17" w16cid:durableId="1740708827">
    <w:abstractNumId w:val="26"/>
  </w:num>
  <w:num w:numId="18" w16cid:durableId="814495407">
    <w:abstractNumId w:val="15"/>
  </w:num>
  <w:num w:numId="19" w16cid:durableId="1637682242">
    <w:abstractNumId w:val="2"/>
  </w:num>
  <w:num w:numId="20" w16cid:durableId="1054235530">
    <w:abstractNumId w:val="3"/>
  </w:num>
  <w:num w:numId="21" w16cid:durableId="1695227513">
    <w:abstractNumId w:val="72"/>
  </w:num>
  <w:num w:numId="22" w16cid:durableId="934942169">
    <w:abstractNumId w:val="63"/>
  </w:num>
  <w:num w:numId="23" w16cid:durableId="419525992">
    <w:abstractNumId w:val="82"/>
  </w:num>
  <w:num w:numId="24" w16cid:durableId="1011490944">
    <w:abstractNumId w:val="22"/>
  </w:num>
  <w:num w:numId="25" w16cid:durableId="1389301884">
    <w:abstractNumId w:val="20"/>
  </w:num>
  <w:num w:numId="26" w16cid:durableId="1094277837">
    <w:abstractNumId w:val="11"/>
  </w:num>
  <w:num w:numId="27" w16cid:durableId="825363241">
    <w:abstractNumId w:val="76"/>
  </w:num>
  <w:num w:numId="28" w16cid:durableId="1355764116">
    <w:abstractNumId w:val="46"/>
  </w:num>
  <w:num w:numId="29" w16cid:durableId="834804195">
    <w:abstractNumId w:val="66"/>
  </w:num>
  <w:num w:numId="30" w16cid:durableId="1110978942">
    <w:abstractNumId w:val="81"/>
  </w:num>
  <w:num w:numId="31" w16cid:durableId="2025397758">
    <w:abstractNumId w:val="74"/>
  </w:num>
  <w:num w:numId="32" w16cid:durableId="2043630786">
    <w:abstractNumId w:val="57"/>
  </w:num>
  <w:num w:numId="33" w16cid:durableId="570970453">
    <w:abstractNumId w:val="67"/>
  </w:num>
  <w:num w:numId="34" w16cid:durableId="714354979">
    <w:abstractNumId w:val="60"/>
  </w:num>
  <w:num w:numId="35" w16cid:durableId="1816487123">
    <w:abstractNumId w:val="41"/>
  </w:num>
  <w:num w:numId="36" w16cid:durableId="98716687">
    <w:abstractNumId w:val="25"/>
  </w:num>
  <w:num w:numId="37" w16cid:durableId="226111480">
    <w:abstractNumId w:val="7"/>
  </w:num>
  <w:num w:numId="38" w16cid:durableId="142354209">
    <w:abstractNumId w:val="68"/>
  </w:num>
  <w:num w:numId="39" w16cid:durableId="1510439617">
    <w:abstractNumId w:val="83"/>
  </w:num>
  <w:num w:numId="40" w16cid:durableId="444471999">
    <w:abstractNumId w:val="43"/>
  </w:num>
  <w:num w:numId="41" w16cid:durableId="2023586562">
    <w:abstractNumId w:val="28"/>
  </w:num>
  <w:num w:numId="42" w16cid:durableId="1186404477">
    <w:abstractNumId w:val="21"/>
  </w:num>
  <w:num w:numId="43" w16cid:durableId="2065248321">
    <w:abstractNumId w:val="61"/>
  </w:num>
  <w:num w:numId="44" w16cid:durableId="906263365">
    <w:abstractNumId w:val="45"/>
  </w:num>
  <w:num w:numId="45" w16cid:durableId="1410032366">
    <w:abstractNumId w:val="13"/>
  </w:num>
  <w:num w:numId="46" w16cid:durableId="1307660561">
    <w:abstractNumId w:val="53"/>
  </w:num>
  <w:num w:numId="47" w16cid:durableId="1672903584">
    <w:abstractNumId w:val="71"/>
  </w:num>
  <w:num w:numId="48" w16cid:durableId="654070408">
    <w:abstractNumId w:val="4"/>
  </w:num>
  <w:num w:numId="49" w16cid:durableId="1053504739">
    <w:abstractNumId w:val="29"/>
  </w:num>
  <w:num w:numId="50" w16cid:durableId="868566125">
    <w:abstractNumId w:val="52"/>
  </w:num>
  <w:num w:numId="51" w16cid:durableId="1832138720">
    <w:abstractNumId w:val="38"/>
  </w:num>
  <w:num w:numId="52" w16cid:durableId="1858538858">
    <w:abstractNumId w:val="44"/>
  </w:num>
  <w:num w:numId="53" w16cid:durableId="977148466">
    <w:abstractNumId w:val="73"/>
  </w:num>
  <w:num w:numId="54" w16cid:durableId="1567255298">
    <w:abstractNumId w:val="78"/>
  </w:num>
  <w:num w:numId="55" w16cid:durableId="1411658202">
    <w:abstractNumId w:val="48"/>
  </w:num>
  <w:num w:numId="56" w16cid:durableId="707292035">
    <w:abstractNumId w:val="49"/>
  </w:num>
  <w:num w:numId="57" w16cid:durableId="1003626459">
    <w:abstractNumId w:val="35"/>
  </w:num>
  <w:num w:numId="58" w16cid:durableId="783428698">
    <w:abstractNumId w:val="80"/>
  </w:num>
  <w:num w:numId="59" w16cid:durableId="976423159">
    <w:abstractNumId w:val="39"/>
  </w:num>
  <w:num w:numId="60" w16cid:durableId="1291009859">
    <w:abstractNumId w:val="69"/>
  </w:num>
  <w:num w:numId="61" w16cid:durableId="414783033">
    <w:abstractNumId w:val="30"/>
  </w:num>
  <w:num w:numId="62" w16cid:durableId="1112479176">
    <w:abstractNumId w:val="59"/>
  </w:num>
  <w:num w:numId="63" w16cid:durableId="206141446">
    <w:abstractNumId w:val="47"/>
  </w:num>
  <w:num w:numId="64" w16cid:durableId="389425427">
    <w:abstractNumId w:val="12"/>
  </w:num>
  <w:num w:numId="65" w16cid:durableId="1393043135">
    <w:abstractNumId w:val="77"/>
  </w:num>
  <w:num w:numId="66" w16cid:durableId="283856135">
    <w:abstractNumId w:val="10"/>
  </w:num>
  <w:num w:numId="67" w16cid:durableId="949630335">
    <w:abstractNumId w:val="51"/>
  </w:num>
  <w:num w:numId="68" w16cid:durableId="351348460">
    <w:abstractNumId w:val="55"/>
  </w:num>
  <w:num w:numId="69" w16cid:durableId="2018575322">
    <w:abstractNumId w:val="34"/>
  </w:num>
  <w:num w:numId="70" w16cid:durableId="52048906">
    <w:abstractNumId w:val="18"/>
  </w:num>
  <w:num w:numId="71" w16cid:durableId="1355229959">
    <w:abstractNumId w:val="62"/>
  </w:num>
  <w:num w:numId="72" w16cid:durableId="1386952076">
    <w:abstractNumId w:val="8"/>
  </w:num>
  <w:num w:numId="73" w16cid:durableId="520171912">
    <w:abstractNumId w:val="70"/>
  </w:num>
  <w:num w:numId="74" w16cid:durableId="1271662417">
    <w:abstractNumId w:val="65"/>
  </w:num>
  <w:num w:numId="75" w16cid:durableId="953753014">
    <w:abstractNumId w:val="16"/>
  </w:num>
  <w:num w:numId="76" w16cid:durableId="722752468">
    <w:abstractNumId w:val="37"/>
  </w:num>
  <w:num w:numId="77" w16cid:durableId="1854877987">
    <w:abstractNumId w:val="9"/>
  </w:num>
  <w:num w:numId="78" w16cid:durableId="160896416">
    <w:abstractNumId w:val="31"/>
  </w:num>
  <w:num w:numId="79" w16cid:durableId="1601791221">
    <w:abstractNumId w:val="19"/>
  </w:num>
  <w:num w:numId="80" w16cid:durableId="1623488448">
    <w:abstractNumId w:val="40"/>
  </w:num>
  <w:num w:numId="81" w16cid:durableId="2019454940">
    <w:abstractNumId w:val="6"/>
  </w:num>
  <w:num w:numId="82" w16cid:durableId="1327198948">
    <w:abstractNumId w:val="32"/>
  </w:num>
  <w:num w:numId="83" w16cid:durableId="1706056177">
    <w:abstractNumId w:val="24"/>
  </w:num>
  <w:num w:numId="84" w16cid:durableId="334722254">
    <w:abstractNumId w:val="56"/>
  </w:num>
  <w:num w:numId="85" w16cid:durableId="2144693760">
    <w:abstractNumId w:val="54"/>
  </w:num>
  <w:num w:numId="86" w16cid:durableId="145897192">
    <w:abstractNumId w:val="6"/>
  </w:num>
  <w:num w:numId="87" w16cid:durableId="1035469483">
    <w:abstractNumId w:val="6"/>
  </w:num>
  <w:numIdMacAtCleanup w:val="8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onsecutiveHyphenLimit w:val="1"/>
  <w:doNotHyphenateCaps/>
  <w:characterSpacingControl w:val="doNotCompress"/>
  <w:hdrShapeDefaults>
    <o:shapedefaults v:ext="edit" spidmax="2050"/>
  </w:hdrShapeDefaults>
  <w:footnotePr>
    <w:numFmt w:val="lowerRoman"/>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2A2"/>
    <w:rsid w:val="000001CA"/>
    <w:rsid w:val="00000219"/>
    <w:rsid w:val="00000295"/>
    <w:rsid w:val="000005C5"/>
    <w:rsid w:val="0000070C"/>
    <w:rsid w:val="00000725"/>
    <w:rsid w:val="0000082E"/>
    <w:rsid w:val="0000084A"/>
    <w:rsid w:val="00000B8A"/>
    <w:rsid w:val="00000C2F"/>
    <w:rsid w:val="00000C85"/>
    <w:rsid w:val="00000CB0"/>
    <w:rsid w:val="00000EE3"/>
    <w:rsid w:val="00000F52"/>
    <w:rsid w:val="00000F92"/>
    <w:rsid w:val="00001137"/>
    <w:rsid w:val="0000113F"/>
    <w:rsid w:val="00001145"/>
    <w:rsid w:val="00001189"/>
    <w:rsid w:val="000012A4"/>
    <w:rsid w:val="000012BF"/>
    <w:rsid w:val="000013F5"/>
    <w:rsid w:val="00001429"/>
    <w:rsid w:val="00001547"/>
    <w:rsid w:val="00001587"/>
    <w:rsid w:val="00001591"/>
    <w:rsid w:val="00001786"/>
    <w:rsid w:val="00001893"/>
    <w:rsid w:val="00001993"/>
    <w:rsid w:val="00001A82"/>
    <w:rsid w:val="00001D34"/>
    <w:rsid w:val="00001E4D"/>
    <w:rsid w:val="00001EB4"/>
    <w:rsid w:val="00001F4A"/>
    <w:rsid w:val="000020E3"/>
    <w:rsid w:val="0000226B"/>
    <w:rsid w:val="000022B5"/>
    <w:rsid w:val="000029C5"/>
    <w:rsid w:val="00002AE7"/>
    <w:rsid w:val="00002E52"/>
    <w:rsid w:val="00002E5E"/>
    <w:rsid w:val="00002E9C"/>
    <w:rsid w:val="00002F1F"/>
    <w:rsid w:val="00002F24"/>
    <w:rsid w:val="0000311B"/>
    <w:rsid w:val="0000316C"/>
    <w:rsid w:val="0000318A"/>
    <w:rsid w:val="0000323F"/>
    <w:rsid w:val="00003468"/>
    <w:rsid w:val="000034A1"/>
    <w:rsid w:val="00003538"/>
    <w:rsid w:val="00003601"/>
    <w:rsid w:val="00003719"/>
    <w:rsid w:val="0000396E"/>
    <w:rsid w:val="000039BE"/>
    <w:rsid w:val="00003A44"/>
    <w:rsid w:val="00003A48"/>
    <w:rsid w:val="00003AB2"/>
    <w:rsid w:val="00003B8B"/>
    <w:rsid w:val="00003D9D"/>
    <w:rsid w:val="00003DE5"/>
    <w:rsid w:val="00003E81"/>
    <w:rsid w:val="00003F53"/>
    <w:rsid w:val="000040A5"/>
    <w:rsid w:val="0000419C"/>
    <w:rsid w:val="0000419E"/>
    <w:rsid w:val="0000422F"/>
    <w:rsid w:val="00004379"/>
    <w:rsid w:val="0000443F"/>
    <w:rsid w:val="0000458C"/>
    <w:rsid w:val="000045B1"/>
    <w:rsid w:val="00004660"/>
    <w:rsid w:val="000046D4"/>
    <w:rsid w:val="000046DA"/>
    <w:rsid w:val="000047DF"/>
    <w:rsid w:val="00004870"/>
    <w:rsid w:val="0000488E"/>
    <w:rsid w:val="000048C1"/>
    <w:rsid w:val="00004936"/>
    <w:rsid w:val="0000498E"/>
    <w:rsid w:val="00004B70"/>
    <w:rsid w:val="00004BD5"/>
    <w:rsid w:val="00004CC6"/>
    <w:rsid w:val="00004CF9"/>
    <w:rsid w:val="00004D9D"/>
    <w:rsid w:val="00004E1C"/>
    <w:rsid w:val="00004EFF"/>
    <w:rsid w:val="00004FFE"/>
    <w:rsid w:val="0000500C"/>
    <w:rsid w:val="00005307"/>
    <w:rsid w:val="0000533B"/>
    <w:rsid w:val="00005390"/>
    <w:rsid w:val="0000546E"/>
    <w:rsid w:val="000054B0"/>
    <w:rsid w:val="000055AF"/>
    <w:rsid w:val="000055D0"/>
    <w:rsid w:val="00005616"/>
    <w:rsid w:val="0000568B"/>
    <w:rsid w:val="000056B1"/>
    <w:rsid w:val="000056E4"/>
    <w:rsid w:val="00005800"/>
    <w:rsid w:val="00005862"/>
    <w:rsid w:val="00005A42"/>
    <w:rsid w:val="00005AB1"/>
    <w:rsid w:val="00005AB8"/>
    <w:rsid w:val="00005BF6"/>
    <w:rsid w:val="00005C27"/>
    <w:rsid w:val="00005DF3"/>
    <w:rsid w:val="00005EDB"/>
    <w:rsid w:val="00005F40"/>
    <w:rsid w:val="00006030"/>
    <w:rsid w:val="00006049"/>
    <w:rsid w:val="00006079"/>
    <w:rsid w:val="0000609C"/>
    <w:rsid w:val="000060DD"/>
    <w:rsid w:val="000061B2"/>
    <w:rsid w:val="0000625D"/>
    <w:rsid w:val="00006315"/>
    <w:rsid w:val="00006409"/>
    <w:rsid w:val="000064FD"/>
    <w:rsid w:val="0000665E"/>
    <w:rsid w:val="00006674"/>
    <w:rsid w:val="00006855"/>
    <w:rsid w:val="0000685A"/>
    <w:rsid w:val="000069BC"/>
    <w:rsid w:val="00006A36"/>
    <w:rsid w:val="00006A82"/>
    <w:rsid w:val="00006BA0"/>
    <w:rsid w:val="00006BCB"/>
    <w:rsid w:val="00006CBA"/>
    <w:rsid w:val="00006D34"/>
    <w:rsid w:val="00006D6D"/>
    <w:rsid w:val="00006D88"/>
    <w:rsid w:val="00006F4B"/>
    <w:rsid w:val="00007030"/>
    <w:rsid w:val="0000704C"/>
    <w:rsid w:val="0000707B"/>
    <w:rsid w:val="00007248"/>
    <w:rsid w:val="00007293"/>
    <w:rsid w:val="00007379"/>
    <w:rsid w:val="0000749A"/>
    <w:rsid w:val="0000754D"/>
    <w:rsid w:val="0000781E"/>
    <w:rsid w:val="0000788A"/>
    <w:rsid w:val="000078E7"/>
    <w:rsid w:val="000078F0"/>
    <w:rsid w:val="00007915"/>
    <w:rsid w:val="00007A15"/>
    <w:rsid w:val="00007AB0"/>
    <w:rsid w:val="00007B6C"/>
    <w:rsid w:val="00007BF0"/>
    <w:rsid w:val="00007CD8"/>
    <w:rsid w:val="00007D3D"/>
    <w:rsid w:val="00007EC6"/>
    <w:rsid w:val="00007F36"/>
    <w:rsid w:val="000100C9"/>
    <w:rsid w:val="00010102"/>
    <w:rsid w:val="0001019A"/>
    <w:rsid w:val="000101D4"/>
    <w:rsid w:val="00010350"/>
    <w:rsid w:val="00010364"/>
    <w:rsid w:val="000103B8"/>
    <w:rsid w:val="00010401"/>
    <w:rsid w:val="00010416"/>
    <w:rsid w:val="0001048A"/>
    <w:rsid w:val="00010570"/>
    <w:rsid w:val="00010638"/>
    <w:rsid w:val="000106EB"/>
    <w:rsid w:val="00010745"/>
    <w:rsid w:val="000107D8"/>
    <w:rsid w:val="000107F0"/>
    <w:rsid w:val="000107FC"/>
    <w:rsid w:val="0001082C"/>
    <w:rsid w:val="00010A6F"/>
    <w:rsid w:val="00010D26"/>
    <w:rsid w:val="00010F54"/>
    <w:rsid w:val="0001106C"/>
    <w:rsid w:val="000111A3"/>
    <w:rsid w:val="00011362"/>
    <w:rsid w:val="00011374"/>
    <w:rsid w:val="00011386"/>
    <w:rsid w:val="0001158D"/>
    <w:rsid w:val="00011703"/>
    <w:rsid w:val="0001171E"/>
    <w:rsid w:val="00011779"/>
    <w:rsid w:val="000117CB"/>
    <w:rsid w:val="0001191A"/>
    <w:rsid w:val="0001193B"/>
    <w:rsid w:val="00011A85"/>
    <w:rsid w:val="00011A90"/>
    <w:rsid w:val="00011BD0"/>
    <w:rsid w:val="00011BE3"/>
    <w:rsid w:val="00011C42"/>
    <w:rsid w:val="00011DAF"/>
    <w:rsid w:val="00011EFC"/>
    <w:rsid w:val="00011FC3"/>
    <w:rsid w:val="00011FC6"/>
    <w:rsid w:val="00011FCD"/>
    <w:rsid w:val="00012065"/>
    <w:rsid w:val="000120D4"/>
    <w:rsid w:val="00012179"/>
    <w:rsid w:val="0001226C"/>
    <w:rsid w:val="0001234B"/>
    <w:rsid w:val="00012571"/>
    <w:rsid w:val="0001294F"/>
    <w:rsid w:val="00012A73"/>
    <w:rsid w:val="00012ABB"/>
    <w:rsid w:val="00012AD1"/>
    <w:rsid w:val="00012E43"/>
    <w:rsid w:val="00012E9D"/>
    <w:rsid w:val="00012F5D"/>
    <w:rsid w:val="00012F6A"/>
    <w:rsid w:val="00012FEF"/>
    <w:rsid w:val="000130CE"/>
    <w:rsid w:val="0001319B"/>
    <w:rsid w:val="000131EC"/>
    <w:rsid w:val="000132EB"/>
    <w:rsid w:val="0001336B"/>
    <w:rsid w:val="000133A6"/>
    <w:rsid w:val="000133C1"/>
    <w:rsid w:val="000133C5"/>
    <w:rsid w:val="000133CE"/>
    <w:rsid w:val="000133D8"/>
    <w:rsid w:val="000133E9"/>
    <w:rsid w:val="00013715"/>
    <w:rsid w:val="00013730"/>
    <w:rsid w:val="00013953"/>
    <w:rsid w:val="00013957"/>
    <w:rsid w:val="000139F4"/>
    <w:rsid w:val="00013A09"/>
    <w:rsid w:val="00013A4D"/>
    <w:rsid w:val="00013B16"/>
    <w:rsid w:val="00013BD8"/>
    <w:rsid w:val="00013E9F"/>
    <w:rsid w:val="00013EC1"/>
    <w:rsid w:val="00013FE2"/>
    <w:rsid w:val="0001407C"/>
    <w:rsid w:val="00014081"/>
    <w:rsid w:val="000140A3"/>
    <w:rsid w:val="000141BC"/>
    <w:rsid w:val="00014279"/>
    <w:rsid w:val="00014397"/>
    <w:rsid w:val="0001452A"/>
    <w:rsid w:val="0001469D"/>
    <w:rsid w:val="000146DB"/>
    <w:rsid w:val="00014725"/>
    <w:rsid w:val="0001476E"/>
    <w:rsid w:val="00014788"/>
    <w:rsid w:val="000148C7"/>
    <w:rsid w:val="000148F2"/>
    <w:rsid w:val="00014950"/>
    <w:rsid w:val="00014A62"/>
    <w:rsid w:val="00014AA9"/>
    <w:rsid w:val="00014B39"/>
    <w:rsid w:val="00014CF0"/>
    <w:rsid w:val="00014E64"/>
    <w:rsid w:val="00014EC5"/>
    <w:rsid w:val="00014F74"/>
    <w:rsid w:val="000150E7"/>
    <w:rsid w:val="000150F4"/>
    <w:rsid w:val="000151FB"/>
    <w:rsid w:val="0001527C"/>
    <w:rsid w:val="0001536F"/>
    <w:rsid w:val="00015490"/>
    <w:rsid w:val="000155D4"/>
    <w:rsid w:val="00015687"/>
    <w:rsid w:val="0001573E"/>
    <w:rsid w:val="00015A0B"/>
    <w:rsid w:val="00015A18"/>
    <w:rsid w:val="00015A8D"/>
    <w:rsid w:val="00015B11"/>
    <w:rsid w:val="00015B7F"/>
    <w:rsid w:val="00015BD1"/>
    <w:rsid w:val="00015C79"/>
    <w:rsid w:val="00015D8B"/>
    <w:rsid w:val="00015E78"/>
    <w:rsid w:val="00015ECB"/>
    <w:rsid w:val="00015EF8"/>
    <w:rsid w:val="00015FF3"/>
    <w:rsid w:val="00016002"/>
    <w:rsid w:val="00016073"/>
    <w:rsid w:val="000161CB"/>
    <w:rsid w:val="000161DA"/>
    <w:rsid w:val="0001659A"/>
    <w:rsid w:val="00016633"/>
    <w:rsid w:val="0001669D"/>
    <w:rsid w:val="000166F5"/>
    <w:rsid w:val="000167A7"/>
    <w:rsid w:val="000167B6"/>
    <w:rsid w:val="000167D8"/>
    <w:rsid w:val="000168A6"/>
    <w:rsid w:val="00016AB1"/>
    <w:rsid w:val="00016ACA"/>
    <w:rsid w:val="00016B30"/>
    <w:rsid w:val="00016BE0"/>
    <w:rsid w:val="00016C95"/>
    <w:rsid w:val="00016D11"/>
    <w:rsid w:val="00016D87"/>
    <w:rsid w:val="00016E29"/>
    <w:rsid w:val="00016E72"/>
    <w:rsid w:val="00016EA8"/>
    <w:rsid w:val="00016F32"/>
    <w:rsid w:val="00017003"/>
    <w:rsid w:val="00017219"/>
    <w:rsid w:val="0001725C"/>
    <w:rsid w:val="00017471"/>
    <w:rsid w:val="0001751F"/>
    <w:rsid w:val="0001757A"/>
    <w:rsid w:val="00017593"/>
    <w:rsid w:val="0001778B"/>
    <w:rsid w:val="00017863"/>
    <w:rsid w:val="000178DD"/>
    <w:rsid w:val="0001791F"/>
    <w:rsid w:val="0001794E"/>
    <w:rsid w:val="00017A63"/>
    <w:rsid w:val="00017A6C"/>
    <w:rsid w:val="00017AE8"/>
    <w:rsid w:val="00017BE5"/>
    <w:rsid w:val="00017C0F"/>
    <w:rsid w:val="00017C15"/>
    <w:rsid w:val="00017C85"/>
    <w:rsid w:val="00017CCA"/>
    <w:rsid w:val="00017D37"/>
    <w:rsid w:val="0002001D"/>
    <w:rsid w:val="00020140"/>
    <w:rsid w:val="000201CB"/>
    <w:rsid w:val="0002050C"/>
    <w:rsid w:val="000205E3"/>
    <w:rsid w:val="00020623"/>
    <w:rsid w:val="00020662"/>
    <w:rsid w:val="00020765"/>
    <w:rsid w:val="000207DE"/>
    <w:rsid w:val="00020834"/>
    <w:rsid w:val="000208ED"/>
    <w:rsid w:val="000209B2"/>
    <w:rsid w:val="00020A07"/>
    <w:rsid w:val="00020A8A"/>
    <w:rsid w:val="00020B03"/>
    <w:rsid w:val="00020C75"/>
    <w:rsid w:val="00020CB1"/>
    <w:rsid w:val="00020E27"/>
    <w:rsid w:val="00020E7A"/>
    <w:rsid w:val="00020EC8"/>
    <w:rsid w:val="00020F38"/>
    <w:rsid w:val="00020F40"/>
    <w:rsid w:val="000211B9"/>
    <w:rsid w:val="000211C3"/>
    <w:rsid w:val="00021234"/>
    <w:rsid w:val="0002128F"/>
    <w:rsid w:val="000212D9"/>
    <w:rsid w:val="000213DD"/>
    <w:rsid w:val="000213E6"/>
    <w:rsid w:val="00021503"/>
    <w:rsid w:val="00021644"/>
    <w:rsid w:val="000216E6"/>
    <w:rsid w:val="00021702"/>
    <w:rsid w:val="000217BF"/>
    <w:rsid w:val="000217FC"/>
    <w:rsid w:val="00021824"/>
    <w:rsid w:val="00021A10"/>
    <w:rsid w:val="00021B0B"/>
    <w:rsid w:val="00021BA1"/>
    <w:rsid w:val="00021F77"/>
    <w:rsid w:val="00022002"/>
    <w:rsid w:val="000220B9"/>
    <w:rsid w:val="000221A6"/>
    <w:rsid w:val="0002220C"/>
    <w:rsid w:val="0002230A"/>
    <w:rsid w:val="00022612"/>
    <w:rsid w:val="00022653"/>
    <w:rsid w:val="0002275A"/>
    <w:rsid w:val="0002276F"/>
    <w:rsid w:val="00022954"/>
    <w:rsid w:val="00022981"/>
    <w:rsid w:val="000229C6"/>
    <w:rsid w:val="00022A05"/>
    <w:rsid w:val="00022BCB"/>
    <w:rsid w:val="00022D79"/>
    <w:rsid w:val="00022F65"/>
    <w:rsid w:val="000230D2"/>
    <w:rsid w:val="000231E6"/>
    <w:rsid w:val="000231E9"/>
    <w:rsid w:val="000231F1"/>
    <w:rsid w:val="0002324B"/>
    <w:rsid w:val="000232E4"/>
    <w:rsid w:val="000233A9"/>
    <w:rsid w:val="000234BC"/>
    <w:rsid w:val="00023577"/>
    <w:rsid w:val="000235FE"/>
    <w:rsid w:val="0002372C"/>
    <w:rsid w:val="00023772"/>
    <w:rsid w:val="00023868"/>
    <w:rsid w:val="000238A7"/>
    <w:rsid w:val="000238E4"/>
    <w:rsid w:val="00023999"/>
    <w:rsid w:val="00023AC7"/>
    <w:rsid w:val="00023B5C"/>
    <w:rsid w:val="00023BAD"/>
    <w:rsid w:val="00023BD2"/>
    <w:rsid w:val="00023CD1"/>
    <w:rsid w:val="0002400B"/>
    <w:rsid w:val="0002417C"/>
    <w:rsid w:val="000241BB"/>
    <w:rsid w:val="0002425D"/>
    <w:rsid w:val="00024268"/>
    <w:rsid w:val="000242C5"/>
    <w:rsid w:val="00024358"/>
    <w:rsid w:val="000243C4"/>
    <w:rsid w:val="000246D9"/>
    <w:rsid w:val="000246FB"/>
    <w:rsid w:val="00024712"/>
    <w:rsid w:val="000248F8"/>
    <w:rsid w:val="0002493B"/>
    <w:rsid w:val="00024A77"/>
    <w:rsid w:val="00024A83"/>
    <w:rsid w:val="00024AF1"/>
    <w:rsid w:val="00024B62"/>
    <w:rsid w:val="00024BF7"/>
    <w:rsid w:val="00024CC8"/>
    <w:rsid w:val="00024D0F"/>
    <w:rsid w:val="00024D4C"/>
    <w:rsid w:val="00024D75"/>
    <w:rsid w:val="00024DC7"/>
    <w:rsid w:val="00024E11"/>
    <w:rsid w:val="00024E6F"/>
    <w:rsid w:val="00024FBB"/>
    <w:rsid w:val="0002518D"/>
    <w:rsid w:val="0002519B"/>
    <w:rsid w:val="000251CE"/>
    <w:rsid w:val="00025434"/>
    <w:rsid w:val="00025760"/>
    <w:rsid w:val="00025A55"/>
    <w:rsid w:val="00025AB6"/>
    <w:rsid w:val="00025AE5"/>
    <w:rsid w:val="00025BDF"/>
    <w:rsid w:val="00025CB6"/>
    <w:rsid w:val="00025E19"/>
    <w:rsid w:val="00025E23"/>
    <w:rsid w:val="00025F7C"/>
    <w:rsid w:val="00025FFB"/>
    <w:rsid w:val="000260AB"/>
    <w:rsid w:val="00026164"/>
    <w:rsid w:val="000261A6"/>
    <w:rsid w:val="00026232"/>
    <w:rsid w:val="000263FB"/>
    <w:rsid w:val="0002646E"/>
    <w:rsid w:val="0002651C"/>
    <w:rsid w:val="00026719"/>
    <w:rsid w:val="000267E5"/>
    <w:rsid w:val="00026A2B"/>
    <w:rsid w:val="00026AC8"/>
    <w:rsid w:val="00026AD0"/>
    <w:rsid w:val="00026C26"/>
    <w:rsid w:val="00026F20"/>
    <w:rsid w:val="00026FEB"/>
    <w:rsid w:val="0002711A"/>
    <w:rsid w:val="0002715C"/>
    <w:rsid w:val="0002715D"/>
    <w:rsid w:val="00027194"/>
    <w:rsid w:val="00027200"/>
    <w:rsid w:val="00027258"/>
    <w:rsid w:val="00027262"/>
    <w:rsid w:val="000272B5"/>
    <w:rsid w:val="0002730A"/>
    <w:rsid w:val="00027312"/>
    <w:rsid w:val="00027356"/>
    <w:rsid w:val="000273BE"/>
    <w:rsid w:val="000274ED"/>
    <w:rsid w:val="00027550"/>
    <w:rsid w:val="000275AA"/>
    <w:rsid w:val="00027664"/>
    <w:rsid w:val="0002767F"/>
    <w:rsid w:val="00027738"/>
    <w:rsid w:val="000279CA"/>
    <w:rsid w:val="00027A9B"/>
    <w:rsid w:val="00027AC9"/>
    <w:rsid w:val="00027E2F"/>
    <w:rsid w:val="00027E3A"/>
    <w:rsid w:val="00027E98"/>
    <w:rsid w:val="00027F7D"/>
    <w:rsid w:val="00030083"/>
    <w:rsid w:val="0003016D"/>
    <w:rsid w:val="000301C6"/>
    <w:rsid w:val="00030274"/>
    <w:rsid w:val="000302D4"/>
    <w:rsid w:val="0003039B"/>
    <w:rsid w:val="000303A8"/>
    <w:rsid w:val="0003045A"/>
    <w:rsid w:val="00030489"/>
    <w:rsid w:val="000304C5"/>
    <w:rsid w:val="000305C3"/>
    <w:rsid w:val="000306C7"/>
    <w:rsid w:val="000309A8"/>
    <w:rsid w:val="00030ACF"/>
    <w:rsid w:val="00030C3A"/>
    <w:rsid w:val="00030C93"/>
    <w:rsid w:val="00030DBC"/>
    <w:rsid w:val="00030F44"/>
    <w:rsid w:val="0003104E"/>
    <w:rsid w:val="000310C8"/>
    <w:rsid w:val="000310E0"/>
    <w:rsid w:val="000311F1"/>
    <w:rsid w:val="00031313"/>
    <w:rsid w:val="0003133A"/>
    <w:rsid w:val="000313A7"/>
    <w:rsid w:val="000313A9"/>
    <w:rsid w:val="0003142C"/>
    <w:rsid w:val="00031577"/>
    <w:rsid w:val="00031662"/>
    <w:rsid w:val="000316AF"/>
    <w:rsid w:val="000316CA"/>
    <w:rsid w:val="0003171B"/>
    <w:rsid w:val="0003186C"/>
    <w:rsid w:val="000319A6"/>
    <w:rsid w:val="000319BD"/>
    <w:rsid w:val="00031C46"/>
    <w:rsid w:val="00031C57"/>
    <w:rsid w:val="00031C8D"/>
    <w:rsid w:val="00031CE9"/>
    <w:rsid w:val="00031D85"/>
    <w:rsid w:val="00031DA8"/>
    <w:rsid w:val="00031DDF"/>
    <w:rsid w:val="00031DED"/>
    <w:rsid w:val="00031F26"/>
    <w:rsid w:val="00031FE9"/>
    <w:rsid w:val="00031FF0"/>
    <w:rsid w:val="00032602"/>
    <w:rsid w:val="00032647"/>
    <w:rsid w:val="0003266E"/>
    <w:rsid w:val="00032726"/>
    <w:rsid w:val="00032827"/>
    <w:rsid w:val="0003288E"/>
    <w:rsid w:val="000328E1"/>
    <w:rsid w:val="000329C9"/>
    <w:rsid w:val="00032A1B"/>
    <w:rsid w:val="00032A3E"/>
    <w:rsid w:val="00032BE7"/>
    <w:rsid w:val="00032D4B"/>
    <w:rsid w:val="00032D4C"/>
    <w:rsid w:val="00032D58"/>
    <w:rsid w:val="00032DB1"/>
    <w:rsid w:val="00032DCA"/>
    <w:rsid w:val="00032DCF"/>
    <w:rsid w:val="00032E97"/>
    <w:rsid w:val="00032F0E"/>
    <w:rsid w:val="000330AD"/>
    <w:rsid w:val="00033138"/>
    <w:rsid w:val="00033275"/>
    <w:rsid w:val="000332B2"/>
    <w:rsid w:val="000332E9"/>
    <w:rsid w:val="000332F2"/>
    <w:rsid w:val="00033346"/>
    <w:rsid w:val="000333E8"/>
    <w:rsid w:val="000334ED"/>
    <w:rsid w:val="000335D9"/>
    <w:rsid w:val="00033653"/>
    <w:rsid w:val="00033727"/>
    <w:rsid w:val="00033854"/>
    <w:rsid w:val="000338CB"/>
    <w:rsid w:val="00033BBB"/>
    <w:rsid w:val="00033C11"/>
    <w:rsid w:val="00033C12"/>
    <w:rsid w:val="00033E86"/>
    <w:rsid w:val="00033F56"/>
    <w:rsid w:val="000340C4"/>
    <w:rsid w:val="000341D3"/>
    <w:rsid w:val="000342EB"/>
    <w:rsid w:val="000343BE"/>
    <w:rsid w:val="000345AC"/>
    <w:rsid w:val="000346AC"/>
    <w:rsid w:val="000346BE"/>
    <w:rsid w:val="0003473A"/>
    <w:rsid w:val="0003484C"/>
    <w:rsid w:val="000349C9"/>
    <w:rsid w:val="00034A62"/>
    <w:rsid w:val="00034B62"/>
    <w:rsid w:val="00034C03"/>
    <w:rsid w:val="00034C9C"/>
    <w:rsid w:val="00034CBC"/>
    <w:rsid w:val="00034D0A"/>
    <w:rsid w:val="00034FD2"/>
    <w:rsid w:val="00035006"/>
    <w:rsid w:val="000350B3"/>
    <w:rsid w:val="000351EF"/>
    <w:rsid w:val="000352DF"/>
    <w:rsid w:val="000354D5"/>
    <w:rsid w:val="00035602"/>
    <w:rsid w:val="00035699"/>
    <w:rsid w:val="000357AF"/>
    <w:rsid w:val="00035839"/>
    <w:rsid w:val="00035994"/>
    <w:rsid w:val="000359CA"/>
    <w:rsid w:val="000359F5"/>
    <w:rsid w:val="00035A07"/>
    <w:rsid w:val="00035C36"/>
    <w:rsid w:val="00035C54"/>
    <w:rsid w:val="00035CCA"/>
    <w:rsid w:val="00035DB4"/>
    <w:rsid w:val="00035EA5"/>
    <w:rsid w:val="00035EE7"/>
    <w:rsid w:val="00035FD8"/>
    <w:rsid w:val="00035FFF"/>
    <w:rsid w:val="000360D5"/>
    <w:rsid w:val="00036131"/>
    <w:rsid w:val="000361C0"/>
    <w:rsid w:val="000361F4"/>
    <w:rsid w:val="00036251"/>
    <w:rsid w:val="00036376"/>
    <w:rsid w:val="00036407"/>
    <w:rsid w:val="00036530"/>
    <w:rsid w:val="00036596"/>
    <w:rsid w:val="00036664"/>
    <w:rsid w:val="000367D2"/>
    <w:rsid w:val="000368C0"/>
    <w:rsid w:val="0003697C"/>
    <w:rsid w:val="00036983"/>
    <w:rsid w:val="00036E22"/>
    <w:rsid w:val="00036E89"/>
    <w:rsid w:val="00036E8A"/>
    <w:rsid w:val="00036F29"/>
    <w:rsid w:val="00037049"/>
    <w:rsid w:val="0003707D"/>
    <w:rsid w:val="0003708F"/>
    <w:rsid w:val="000370A9"/>
    <w:rsid w:val="000370BF"/>
    <w:rsid w:val="000372E5"/>
    <w:rsid w:val="000373F6"/>
    <w:rsid w:val="00037419"/>
    <w:rsid w:val="0003753A"/>
    <w:rsid w:val="0003757B"/>
    <w:rsid w:val="00037628"/>
    <w:rsid w:val="0003769A"/>
    <w:rsid w:val="000379B0"/>
    <w:rsid w:val="00037B5C"/>
    <w:rsid w:val="00037CBE"/>
    <w:rsid w:val="00037CD7"/>
    <w:rsid w:val="00037DE5"/>
    <w:rsid w:val="00037EDB"/>
    <w:rsid w:val="00037F02"/>
    <w:rsid w:val="00040018"/>
    <w:rsid w:val="00040166"/>
    <w:rsid w:val="0004018E"/>
    <w:rsid w:val="00040363"/>
    <w:rsid w:val="000404E9"/>
    <w:rsid w:val="00040581"/>
    <w:rsid w:val="000406E0"/>
    <w:rsid w:val="00040870"/>
    <w:rsid w:val="00040ACB"/>
    <w:rsid w:val="00040B03"/>
    <w:rsid w:val="00040CA9"/>
    <w:rsid w:val="00040D2F"/>
    <w:rsid w:val="00040E97"/>
    <w:rsid w:val="00040EF4"/>
    <w:rsid w:val="00040F00"/>
    <w:rsid w:val="00040F24"/>
    <w:rsid w:val="00040F96"/>
    <w:rsid w:val="00040FB3"/>
    <w:rsid w:val="0004112D"/>
    <w:rsid w:val="00041157"/>
    <w:rsid w:val="00041273"/>
    <w:rsid w:val="00041327"/>
    <w:rsid w:val="00041386"/>
    <w:rsid w:val="00041463"/>
    <w:rsid w:val="00041613"/>
    <w:rsid w:val="0004162D"/>
    <w:rsid w:val="0004163E"/>
    <w:rsid w:val="00041698"/>
    <w:rsid w:val="000416E1"/>
    <w:rsid w:val="0004172F"/>
    <w:rsid w:val="000417E2"/>
    <w:rsid w:val="000418CE"/>
    <w:rsid w:val="00041A47"/>
    <w:rsid w:val="00041A70"/>
    <w:rsid w:val="00041A92"/>
    <w:rsid w:val="00041DEC"/>
    <w:rsid w:val="00041DFE"/>
    <w:rsid w:val="00041EA8"/>
    <w:rsid w:val="00041F4D"/>
    <w:rsid w:val="00042015"/>
    <w:rsid w:val="00042061"/>
    <w:rsid w:val="000422A0"/>
    <w:rsid w:val="000422E8"/>
    <w:rsid w:val="00042372"/>
    <w:rsid w:val="000423E0"/>
    <w:rsid w:val="00042466"/>
    <w:rsid w:val="0004246A"/>
    <w:rsid w:val="00042490"/>
    <w:rsid w:val="00042503"/>
    <w:rsid w:val="00042540"/>
    <w:rsid w:val="0004269A"/>
    <w:rsid w:val="00042793"/>
    <w:rsid w:val="000427D4"/>
    <w:rsid w:val="000427DE"/>
    <w:rsid w:val="00042A81"/>
    <w:rsid w:val="00042A83"/>
    <w:rsid w:val="00042BF6"/>
    <w:rsid w:val="00042D25"/>
    <w:rsid w:val="00042E6A"/>
    <w:rsid w:val="00042E71"/>
    <w:rsid w:val="00042F6E"/>
    <w:rsid w:val="00042FEB"/>
    <w:rsid w:val="000430CA"/>
    <w:rsid w:val="000430FF"/>
    <w:rsid w:val="00043199"/>
    <w:rsid w:val="00043303"/>
    <w:rsid w:val="00043356"/>
    <w:rsid w:val="000433D7"/>
    <w:rsid w:val="0004357A"/>
    <w:rsid w:val="00043603"/>
    <w:rsid w:val="00043A1A"/>
    <w:rsid w:val="00043B0F"/>
    <w:rsid w:val="00043B20"/>
    <w:rsid w:val="00043C7B"/>
    <w:rsid w:val="00043C85"/>
    <w:rsid w:val="0004405B"/>
    <w:rsid w:val="0004407A"/>
    <w:rsid w:val="000440F3"/>
    <w:rsid w:val="00044259"/>
    <w:rsid w:val="000444B4"/>
    <w:rsid w:val="00044547"/>
    <w:rsid w:val="0004475D"/>
    <w:rsid w:val="000448C4"/>
    <w:rsid w:val="000448CA"/>
    <w:rsid w:val="000448E2"/>
    <w:rsid w:val="000449D8"/>
    <w:rsid w:val="00044A0D"/>
    <w:rsid w:val="00044A2D"/>
    <w:rsid w:val="00044A9E"/>
    <w:rsid w:val="00044B0F"/>
    <w:rsid w:val="00044B1A"/>
    <w:rsid w:val="00044B5C"/>
    <w:rsid w:val="00044EFF"/>
    <w:rsid w:val="000451F4"/>
    <w:rsid w:val="000452A6"/>
    <w:rsid w:val="000453D9"/>
    <w:rsid w:val="000453E6"/>
    <w:rsid w:val="000453EB"/>
    <w:rsid w:val="0004543B"/>
    <w:rsid w:val="0004546D"/>
    <w:rsid w:val="000456D1"/>
    <w:rsid w:val="00045873"/>
    <w:rsid w:val="0004591A"/>
    <w:rsid w:val="00045ADF"/>
    <w:rsid w:val="00045C44"/>
    <w:rsid w:val="00045F0B"/>
    <w:rsid w:val="000460D2"/>
    <w:rsid w:val="000462F7"/>
    <w:rsid w:val="000463D8"/>
    <w:rsid w:val="000464D6"/>
    <w:rsid w:val="0004678A"/>
    <w:rsid w:val="000468BB"/>
    <w:rsid w:val="00046A7F"/>
    <w:rsid w:val="00046B31"/>
    <w:rsid w:val="00046B8E"/>
    <w:rsid w:val="00046BD5"/>
    <w:rsid w:val="00046BDD"/>
    <w:rsid w:val="00046C63"/>
    <w:rsid w:val="00046C65"/>
    <w:rsid w:val="00046CFB"/>
    <w:rsid w:val="00046E03"/>
    <w:rsid w:val="00046E61"/>
    <w:rsid w:val="00046EA3"/>
    <w:rsid w:val="00047034"/>
    <w:rsid w:val="000470EE"/>
    <w:rsid w:val="00047204"/>
    <w:rsid w:val="0004730F"/>
    <w:rsid w:val="00047511"/>
    <w:rsid w:val="000475A2"/>
    <w:rsid w:val="00047601"/>
    <w:rsid w:val="0004760C"/>
    <w:rsid w:val="0004772C"/>
    <w:rsid w:val="0004780D"/>
    <w:rsid w:val="00047832"/>
    <w:rsid w:val="00047853"/>
    <w:rsid w:val="000478D5"/>
    <w:rsid w:val="0004790A"/>
    <w:rsid w:val="00047915"/>
    <w:rsid w:val="00047A19"/>
    <w:rsid w:val="00047A3E"/>
    <w:rsid w:val="00047A50"/>
    <w:rsid w:val="00047A88"/>
    <w:rsid w:val="00047B1F"/>
    <w:rsid w:val="00047C52"/>
    <w:rsid w:val="00047C8F"/>
    <w:rsid w:val="00047CBF"/>
    <w:rsid w:val="00047D17"/>
    <w:rsid w:val="00047D35"/>
    <w:rsid w:val="00047D9B"/>
    <w:rsid w:val="00047DEE"/>
    <w:rsid w:val="00047E82"/>
    <w:rsid w:val="00050080"/>
    <w:rsid w:val="00050097"/>
    <w:rsid w:val="000500C1"/>
    <w:rsid w:val="0005013D"/>
    <w:rsid w:val="00050216"/>
    <w:rsid w:val="0005026F"/>
    <w:rsid w:val="000503D1"/>
    <w:rsid w:val="00050471"/>
    <w:rsid w:val="00050728"/>
    <w:rsid w:val="00050855"/>
    <w:rsid w:val="000508F5"/>
    <w:rsid w:val="00050974"/>
    <w:rsid w:val="00050987"/>
    <w:rsid w:val="00050995"/>
    <w:rsid w:val="00050B81"/>
    <w:rsid w:val="00050C61"/>
    <w:rsid w:val="00050C76"/>
    <w:rsid w:val="00050D65"/>
    <w:rsid w:val="00050E05"/>
    <w:rsid w:val="00050F4D"/>
    <w:rsid w:val="00050FB1"/>
    <w:rsid w:val="00050FD7"/>
    <w:rsid w:val="00051070"/>
    <w:rsid w:val="00051084"/>
    <w:rsid w:val="00051112"/>
    <w:rsid w:val="00051418"/>
    <w:rsid w:val="00051482"/>
    <w:rsid w:val="00051629"/>
    <w:rsid w:val="00051647"/>
    <w:rsid w:val="0005179D"/>
    <w:rsid w:val="00051937"/>
    <w:rsid w:val="00051B0E"/>
    <w:rsid w:val="00051B4D"/>
    <w:rsid w:val="00051DEF"/>
    <w:rsid w:val="00051F63"/>
    <w:rsid w:val="00052017"/>
    <w:rsid w:val="00052079"/>
    <w:rsid w:val="000520B8"/>
    <w:rsid w:val="00052158"/>
    <w:rsid w:val="000521A5"/>
    <w:rsid w:val="00052229"/>
    <w:rsid w:val="00052269"/>
    <w:rsid w:val="00052285"/>
    <w:rsid w:val="000522F2"/>
    <w:rsid w:val="000522F9"/>
    <w:rsid w:val="0005231D"/>
    <w:rsid w:val="000523C8"/>
    <w:rsid w:val="000523FD"/>
    <w:rsid w:val="00052445"/>
    <w:rsid w:val="000524B6"/>
    <w:rsid w:val="000524D3"/>
    <w:rsid w:val="000524F9"/>
    <w:rsid w:val="000524FE"/>
    <w:rsid w:val="000525D8"/>
    <w:rsid w:val="00052633"/>
    <w:rsid w:val="0005269B"/>
    <w:rsid w:val="0005293B"/>
    <w:rsid w:val="0005296C"/>
    <w:rsid w:val="00052D69"/>
    <w:rsid w:val="00052DA3"/>
    <w:rsid w:val="00052E46"/>
    <w:rsid w:val="00052F95"/>
    <w:rsid w:val="00052FAD"/>
    <w:rsid w:val="00052FE3"/>
    <w:rsid w:val="00053049"/>
    <w:rsid w:val="000533DE"/>
    <w:rsid w:val="0005344C"/>
    <w:rsid w:val="000534CC"/>
    <w:rsid w:val="000534FC"/>
    <w:rsid w:val="00053585"/>
    <w:rsid w:val="0005398D"/>
    <w:rsid w:val="000539E0"/>
    <w:rsid w:val="00053B9F"/>
    <w:rsid w:val="00053E0C"/>
    <w:rsid w:val="00053E10"/>
    <w:rsid w:val="00053E2C"/>
    <w:rsid w:val="00053E7D"/>
    <w:rsid w:val="00053EF1"/>
    <w:rsid w:val="00053FA0"/>
    <w:rsid w:val="000540AF"/>
    <w:rsid w:val="00054124"/>
    <w:rsid w:val="00054271"/>
    <w:rsid w:val="000543BA"/>
    <w:rsid w:val="000543E9"/>
    <w:rsid w:val="00054551"/>
    <w:rsid w:val="00054838"/>
    <w:rsid w:val="0005486C"/>
    <w:rsid w:val="000548F5"/>
    <w:rsid w:val="00054AD5"/>
    <w:rsid w:val="00054B49"/>
    <w:rsid w:val="00054C71"/>
    <w:rsid w:val="00054DD2"/>
    <w:rsid w:val="00055030"/>
    <w:rsid w:val="0005521A"/>
    <w:rsid w:val="00055487"/>
    <w:rsid w:val="000554E2"/>
    <w:rsid w:val="00055615"/>
    <w:rsid w:val="00055666"/>
    <w:rsid w:val="000556AE"/>
    <w:rsid w:val="000557D3"/>
    <w:rsid w:val="00055B83"/>
    <w:rsid w:val="00055C17"/>
    <w:rsid w:val="00055C71"/>
    <w:rsid w:val="00056059"/>
    <w:rsid w:val="000561F0"/>
    <w:rsid w:val="0005620D"/>
    <w:rsid w:val="0005623D"/>
    <w:rsid w:val="00056258"/>
    <w:rsid w:val="00056296"/>
    <w:rsid w:val="0005633D"/>
    <w:rsid w:val="00056423"/>
    <w:rsid w:val="000565D9"/>
    <w:rsid w:val="00056667"/>
    <w:rsid w:val="00056674"/>
    <w:rsid w:val="000566A7"/>
    <w:rsid w:val="0005674E"/>
    <w:rsid w:val="000569C2"/>
    <w:rsid w:val="00056A44"/>
    <w:rsid w:val="00056C80"/>
    <w:rsid w:val="00056D55"/>
    <w:rsid w:val="00056E2E"/>
    <w:rsid w:val="00057126"/>
    <w:rsid w:val="000572FC"/>
    <w:rsid w:val="00057520"/>
    <w:rsid w:val="00057658"/>
    <w:rsid w:val="00057684"/>
    <w:rsid w:val="000576A4"/>
    <w:rsid w:val="0005771D"/>
    <w:rsid w:val="00057809"/>
    <w:rsid w:val="00057826"/>
    <w:rsid w:val="000579DA"/>
    <w:rsid w:val="00057D14"/>
    <w:rsid w:val="00057D5A"/>
    <w:rsid w:val="00057D7C"/>
    <w:rsid w:val="00057E0E"/>
    <w:rsid w:val="00057E77"/>
    <w:rsid w:val="00060095"/>
    <w:rsid w:val="0006017C"/>
    <w:rsid w:val="000602EB"/>
    <w:rsid w:val="00060737"/>
    <w:rsid w:val="000607C0"/>
    <w:rsid w:val="000608FE"/>
    <w:rsid w:val="00060A00"/>
    <w:rsid w:val="00060A0B"/>
    <w:rsid w:val="00060A38"/>
    <w:rsid w:val="00060BE2"/>
    <w:rsid w:val="00060CC7"/>
    <w:rsid w:val="00060D0E"/>
    <w:rsid w:val="00060D3F"/>
    <w:rsid w:val="00060E46"/>
    <w:rsid w:val="00060F6B"/>
    <w:rsid w:val="00060FE1"/>
    <w:rsid w:val="00061006"/>
    <w:rsid w:val="00061020"/>
    <w:rsid w:val="000612F9"/>
    <w:rsid w:val="000615BA"/>
    <w:rsid w:val="00061641"/>
    <w:rsid w:val="00061650"/>
    <w:rsid w:val="000616CB"/>
    <w:rsid w:val="00061703"/>
    <w:rsid w:val="00061899"/>
    <w:rsid w:val="000618ED"/>
    <w:rsid w:val="00061984"/>
    <w:rsid w:val="00061BC7"/>
    <w:rsid w:val="00061C67"/>
    <w:rsid w:val="00061CC6"/>
    <w:rsid w:val="00061CD9"/>
    <w:rsid w:val="00061E70"/>
    <w:rsid w:val="0006207F"/>
    <w:rsid w:val="0006214D"/>
    <w:rsid w:val="000621C1"/>
    <w:rsid w:val="000622D4"/>
    <w:rsid w:val="00062314"/>
    <w:rsid w:val="00062461"/>
    <w:rsid w:val="000624D3"/>
    <w:rsid w:val="00062595"/>
    <w:rsid w:val="00062739"/>
    <w:rsid w:val="0006279E"/>
    <w:rsid w:val="000627B5"/>
    <w:rsid w:val="00062833"/>
    <w:rsid w:val="0006285A"/>
    <w:rsid w:val="0006293C"/>
    <w:rsid w:val="00062968"/>
    <w:rsid w:val="00062B30"/>
    <w:rsid w:val="00062B39"/>
    <w:rsid w:val="00062C8B"/>
    <w:rsid w:val="00062CA6"/>
    <w:rsid w:val="00062CFD"/>
    <w:rsid w:val="00062D93"/>
    <w:rsid w:val="00062DE3"/>
    <w:rsid w:val="00062E05"/>
    <w:rsid w:val="00062E25"/>
    <w:rsid w:val="0006301A"/>
    <w:rsid w:val="000630E6"/>
    <w:rsid w:val="00063173"/>
    <w:rsid w:val="00063184"/>
    <w:rsid w:val="00063293"/>
    <w:rsid w:val="0006336F"/>
    <w:rsid w:val="000635A6"/>
    <w:rsid w:val="000635B8"/>
    <w:rsid w:val="000636E2"/>
    <w:rsid w:val="00063809"/>
    <w:rsid w:val="00063810"/>
    <w:rsid w:val="00063864"/>
    <w:rsid w:val="00063B02"/>
    <w:rsid w:val="00063B4E"/>
    <w:rsid w:val="00063B98"/>
    <w:rsid w:val="00063C9A"/>
    <w:rsid w:val="00063D4E"/>
    <w:rsid w:val="00063DD7"/>
    <w:rsid w:val="00063E4D"/>
    <w:rsid w:val="00063EBB"/>
    <w:rsid w:val="00063F3B"/>
    <w:rsid w:val="00063FAA"/>
    <w:rsid w:val="000640A0"/>
    <w:rsid w:val="000640D8"/>
    <w:rsid w:val="0006418C"/>
    <w:rsid w:val="0006445E"/>
    <w:rsid w:val="000646EC"/>
    <w:rsid w:val="0006472B"/>
    <w:rsid w:val="0006481D"/>
    <w:rsid w:val="00064993"/>
    <w:rsid w:val="00064B2E"/>
    <w:rsid w:val="00064C2D"/>
    <w:rsid w:val="00064CAB"/>
    <w:rsid w:val="000650E9"/>
    <w:rsid w:val="00065156"/>
    <w:rsid w:val="00065162"/>
    <w:rsid w:val="00065177"/>
    <w:rsid w:val="00065191"/>
    <w:rsid w:val="0006521A"/>
    <w:rsid w:val="000652AB"/>
    <w:rsid w:val="000653BF"/>
    <w:rsid w:val="00065422"/>
    <w:rsid w:val="0006556A"/>
    <w:rsid w:val="00065673"/>
    <w:rsid w:val="00065788"/>
    <w:rsid w:val="0006585A"/>
    <w:rsid w:val="00065989"/>
    <w:rsid w:val="000659CE"/>
    <w:rsid w:val="00065ABB"/>
    <w:rsid w:val="00065AC8"/>
    <w:rsid w:val="00065B50"/>
    <w:rsid w:val="0006609A"/>
    <w:rsid w:val="000660DC"/>
    <w:rsid w:val="00066126"/>
    <w:rsid w:val="000664BC"/>
    <w:rsid w:val="00066537"/>
    <w:rsid w:val="0006655E"/>
    <w:rsid w:val="0006657F"/>
    <w:rsid w:val="00066605"/>
    <w:rsid w:val="0006662E"/>
    <w:rsid w:val="0006681F"/>
    <w:rsid w:val="000668E9"/>
    <w:rsid w:val="00066914"/>
    <w:rsid w:val="00066A68"/>
    <w:rsid w:val="00066A7D"/>
    <w:rsid w:val="00066AD9"/>
    <w:rsid w:val="00066C44"/>
    <w:rsid w:val="00066C4D"/>
    <w:rsid w:val="00066CA6"/>
    <w:rsid w:val="00066EAD"/>
    <w:rsid w:val="00066FCA"/>
    <w:rsid w:val="00066FD8"/>
    <w:rsid w:val="000670EA"/>
    <w:rsid w:val="000671B2"/>
    <w:rsid w:val="00067266"/>
    <w:rsid w:val="000672B8"/>
    <w:rsid w:val="000672F2"/>
    <w:rsid w:val="00067329"/>
    <w:rsid w:val="000673FB"/>
    <w:rsid w:val="00067539"/>
    <w:rsid w:val="00067593"/>
    <w:rsid w:val="0006767E"/>
    <w:rsid w:val="0006778A"/>
    <w:rsid w:val="000678D9"/>
    <w:rsid w:val="000678FE"/>
    <w:rsid w:val="00067C66"/>
    <w:rsid w:val="00067CBD"/>
    <w:rsid w:val="00067FD2"/>
    <w:rsid w:val="0007002E"/>
    <w:rsid w:val="00070077"/>
    <w:rsid w:val="000701E8"/>
    <w:rsid w:val="00070240"/>
    <w:rsid w:val="00070380"/>
    <w:rsid w:val="00070423"/>
    <w:rsid w:val="000704BA"/>
    <w:rsid w:val="00070609"/>
    <w:rsid w:val="0007068D"/>
    <w:rsid w:val="00070748"/>
    <w:rsid w:val="00070758"/>
    <w:rsid w:val="000707D0"/>
    <w:rsid w:val="000707FD"/>
    <w:rsid w:val="00070827"/>
    <w:rsid w:val="0007095F"/>
    <w:rsid w:val="00070A20"/>
    <w:rsid w:val="00070BB4"/>
    <w:rsid w:val="00070CD2"/>
    <w:rsid w:val="00070CF5"/>
    <w:rsid w:val="00070DBE"/>
    <w:rsid w:val="00070DF9"/>
    <w:rsid w:val="00070F39"/>
    <w:rsid w:val="00071189"/>
    <w:rsid w:val="000711E2"/>
    <w:rsid w:val="000712A1"/>
    <w:rsid w:val="0007137B"/>
    <w:rsid w:val="00071530"/>
    <w:rsid w:val="000716D8"/>
    <w:rsid w:val="000717CE"/>
    <w:rsid w:val="00071847"/>
    <w:rsid w:val="0007186B"/>
    <w:rsid w:val="00071D7A"/>
    <w:rsid w:val="00071D86"/>
    <w:rsid w:val="00071DF9"/>
    <w:rsid w:val="00071E22"/>
    <w:rsid w:val="00071E67"/>
    <w:rsid w:val="00072122"/>
    <w:rsid w:val="000722AC"/>
    <w:rsid w:val="000722E2"/>
    <w:rsid w:val="000723D6"/>
    <w:rsid w:val="00072435"/>
    <w:rsid w:val="00072505"/>
    <w:rsid w:val="0007256A"/>
    <w:rsid w:val="00072753"/>
    <w:rsid w:val="00072889"/>
    <w:rsid w:val="00072A1E"/>
    <w:rsid w:val="00072B37"/>
    <w:rsid w:val="00072B94"/>
    <w:rsid w:val="00072CC5"/>
    <w:rsid w:val="00072D1A"/>
    <w:rsid w:val="00072DD9"/>
    <w:rsid w:val="00072F11"/>
    <w:rsid w:val="00072FF5"/>
    <w:rsid w:val="00073195"/>
    <w:rsid w:val="0007329C"/>
    <w:rsid w:val="0007330E"/>
    <w:rsid w:val="000733D7"/>
    <w:rsid w:val="000733DE"/>
    <w:rsid w:val="0007341A"/>
    <w:rsid w:val="0007341C"/>
    <w:rsid w:val="0007343C"/>
    <w:rsid w:val="000734E1"/>
    <w:rsid w:val="0007355F"/>
    <w:rsid w:val="00073590"/>
    <w:rsid w:val="0007360B"/>
    <w:rsid w:val="000736DA"/>
    <w:rsid w:val="000738E3"/>
    <w:rsid w:val="00073986"/>
    <w:rsid w:val="00073A67"/>
    <w:rsid w:val="00073A7C"/>
    <w:rsid w:val="00073BAD"/>
    <w:rsid w:val="00073BB7"/>
    <w:rsid w:val="00073BF9"/>
    <w:rsid w:val="00073C23"/>
    <w:rsid w:val="00073CA7"/>
    <w:rsid w:val="00073DB2"/>
    <w:rsid w:val="00073EAA"/>
    <w:rsid w:val="00073EFC"/>
    <w:rsid w:val="00073F4B"/>
    <w:rsid w:val="00073FB6"/>
    <w:rsid w:val="00073FEA"/>
    <w:rsid w:val="000740A0"/>
    <w:rsid w:val="000741C7"/>
    <w:rsid w:val="000741FF"/>
    <w:rsid w:val="00074424"/>
    <w:rsid w:val="0007444D"/>
    <w:rsid w:val="00074540"/>
    <w:rsid w:val="00074571"/>
    <w:rsid w:val="000745F4"/>
    <w:rsid w:val="0007469A"/>
    <w:rsid w:val="000746B6"/>
    <w:rsid w:val="0007475F"/>
    <w:rsid w:val="0007499C"/>
    <w:rsid w:val="00074AB1"/>
    <w:rsid w:val="00074AB3"/>
    <w:rsid w:val="00074B1A"/>
    <w:rsid w:val="00074B81"/>
    <w:rsid w:val="00074BBE"/>
    <w:rsid w:val="00074CDB"/>
    <w:rsid w:val="00074CEE"/>
    <w:rsid w:val="0007503E"/>
    <w:rsid w:val="0007528A"/>
    <w:rsid w:val="0007539C"/>
    <w:rsid w:val="000753F0"/>
    <w:rsid w:val="00075476"/>
    <w:rsid w:val="000754A3"/>
    <w:rsid w:val="000756F2"/>
    <w:rsid w:val="00075797"/>
    <w:rsid w:val="00075812"/>
    <w:rsid w:val="00075933"/>
    <w:rsid w:val="000759F1"/>
    <w:rsid w:val="00075CE2"/>
    <w:rsid w:val="00075D09"/>
    <w:rsid w:val="00075DE4"/>
    <w:rsid w:val="00075E80"/>
    <w:rsid w:val="00075FB9"/>
    <w:rsid w:val="00075FFA"/>
    <w:rsid w:val="00076274"/>
    <w:rsid w:val="0007645B"/>
    <w:rsid w:val="0007653D"/>
    <w:rsid w:val="000767FF"/>
    <w:rsid w:val="00076834"/>
    <w:rsid w:val="0007683D"/>
    <w:rsid w:val="0007692E"/>
    <w:rsid w:val="000769DF"/>
    <w:rsid w:val="00076A85"/>
    <w:rsid w:val="00076C04"/>
    <w:rsid w:val="00076CF5"/>
    <w:rsid w:val="00076D86"/>
    <w:rsid w:val="00076DAD"/>
    <w:rsid w:val="00076EFC"/>
    <w:rsid w:val="0007702A"/>
    <w:rsid w:val="00077252"/>
    <w:rsid w:val="00077450"/>
    <w:rsid w:val="0007758B"/>
    <w:rsid w:val="000776B8"/>
    <w:rsid w:val="000776B9"/>
    <w:rsid w:val="00077722"/>
    <w:rsid w:val="0007773D"/>
    <w:rsid w:val="0007779E"/>
    <w:rsid w:val="0007786D"/>
    <w:rsid w:val="000778B0"/>
    <w:rsid w:val="000778F1"/>
    <w:rsid w:val="00077B44"/>
    <w:rsid w:val="00077B90"/>
    <w:rsid w:val="00077B99"/>
    <w:rsid w:val="00077C27"/>
    <w:rsid w:val="00077C45"/>
    <w:rsid w:val="00077D08"/>
    <w:rsid w:val="00077D3C"/>
    <w:rsid w:val="00077E82"/>
    <w:rsid w:val="00077E87"/>
    <w:rsid w:val="00077F4A"/>
    <w:rsid w:val="00077F84"/>
    <w:rsid w:val="00080187"/>
    <w:rsid w:val="0008021E"/>
    <w:rsid w:val="00080319"/>
    <w:rsid w:val="000803CA"/>
    <w:rsid w:val="000805C6"/>
    <w:rsid w:val="000809BA"/>
    <w:rsid w:val="000809C2"/>
    <w:rsid w:val="00080A46"/>
    <w:rsid w:val="00080BDF"/>
    <w:rsid w:val="00080C1E"/>
    <w:rsid w:val="00080C6D"/>
    <w:rsid w:val="00080D73"/>
    <w:rsid w:val="00080D90"/>
    <w:rsid w:val="00080DCE"/>
    <w:rsid w:val="00080E31"/>
    <w:rsid w:val="00080E41"/>
    <w:rsid w:val="00080F53"/>
    <w:rsid w:val="00081054"/>
    <w:rsid w:val="0008107C"/>
    <w:rsid w:val="000810AD"/>
    <w:rsid w:val="000810EF"/>
    <w:rsid w:val="00081245"/>
    <w:rsid w:val="0008130C"/>
    <w:rsid w:val="00081476"/>
    <w:rsid w:val="000814E6"/>
    <w:rsid w:val="000816A3"/>
    <w:rsid w:val="00081769"/>
    <w:rsid w:val="00081834"/>
    <w:rsid w:val="00081B2F"/>
    <w:rsid w:val="00081BF3"/>
    <w:rsid w:val="00081C3F"/>
    <w:rsid w:val="00081CF3"/>
    <w:rsid w:val="00081D06"/>
    <w:rsid w:val="00081E24"/>
    <w:rsid w:val="00081EBB"/>
    <w:rsid w:val="0008202F"/>
    <w:rsid w:val="00082034"/>
    <w:rsid w:val="00082061"/>
    <w:rsid w:val="000820E4"/>
    <w:rsid w:val="00082130"/>
    <w:rsid w:val="000821AC"/>
    <w:rsid w:val="000821DC"/>
    <w:rsid w:val="0008238B"/>
    <w:rsid w:val="000824BD"/>
    <w:rsid w:val="0008251D"/>
    <w:rsid w:val="0008259A"/>
    <w:rsid w:val="00082638"/>
    <w:rsid w:val="000826AA"/>
    <w:rsid w:val="0008276A"/>
    <w:rsid w:val="00082773"/>
    <w:rsid w:val="00082790"/>
    <w:rsid w:val="00082B0E"/>
    <w:rsid w:val="00082B43"/>
    <w:rsid w:val="00082BF1"/>
    <w:rsid w:val="00082DC5"/>
    <w:rsid w:val="000830B3"/>
    <w:rsid w:val="0008312F"/>
    <w:rsid w:val="00083229"/>
    <w:rsid w:val="0008353A"/>
    <w:rsid w:val="00083584"/>
    <w:rsid w:val="000836C3"/>
    <w:rsid w:val="00083808"/>
    <w:rsid w:val="0008386F"/>
    <w:rsid w:val="000839B2"/>
    <w:rsid w:val="000839C8"/>
    <w:rsid w:val="00083A48"/>
    <w:rsid w:val="00083A92"/>
    <w:rsid w:val="00083A9F"/>
    <w:rsid w:val="00083C64"/>
    <w:rsid w:val="00083D04"/>
    <w:rsid w:val="00083DFD"/>
    <w:rsid w:val="00083F8D"/>
    <w:rsid w:val="00084014"/>
    <w:rsid w:val="0008401A"/>
    <w:rsid w:val="00084088"/>
    <w:rsid w:val="000843B0"/>
    <w:rsid w:val="00084401"/>
    <w:rsid w:val="000844C8"/>
    <w:rsid w:val="000846E0"/>
    <w:rsid w:val="0008479A"/>
    <w:rsid w:val="00084873"/>
    <w:rsid w:val="000848D9"/>
    <w:rsid w:val="00084925"/>
    <w:rsid w:val="00084AF2"/>
    <w:rsid w:val="00084D2F"/>
    <w:rsid w:val="00084E87"/>
    <w:rsid w:val="00084EE1"/>
    <w:rsid w:val="00084F6E"/>
    <w:rsid w:val="00084F7A"/>
    <w:rsid w:val="00085036"/>
    <w:rsid w:val="0008513C"/>
    <w:rsid w:val="00085163"/>
    <w:rsid w:val="00085183"/>
    <w:rsid w:val="000852F5"/>
    <w:rsid w:val="0008537F"/>
    <w:rsid w:val="000854B4"/>
    <w:rsid w:val="000854ED"/>
    <w:rsid w:val="000855B1"/>
    <w:rsid w:val="000857F8"/>
    <w:rsid w:val="00085856"/>
    <w:rsid w:val="000858F6"/>
    <w:rsid w:val="00085AA8"/>
    <w:rsid w:val="00085B84"/>
    <w:rsid w:val="00085D69"/>
    <w:rsid w:val="00085F2C"/>
    <w:rsid w:val="00086018"/>
    <w:rsid w:val="000860B3"/>
    <w:rsid w:val="000860FD"/>
    <w:rsid w:val="00086116"/>
    <w:rsid w:val="0008629C"/>
    <w:rsid w:val="000862D5"/>
    <w:rsid w:val="0008633B"/>
    <w:rsid w:val="00086397"/>
    <w:rsid w:val="00086455"/>
    <w:rsid w:val="0008650D"/>
    <w:rsid w:val="000866BC"/>
    <w:rsid w:val="000866F9"/>
    <w:rsid w:val="00086712"/>
    <w:rsid w:val="00086767"/>
    <w:rsid w:val="000867B4"/>
    <w:rsid w:val="000867DB"/>
    <w:rsid w:val="00086804"/>
    <w:rsid w:val="00086897"/>
    <w:rsid w:val="00086A18"/>
    <w:rsid w:val="00086A99"/>
    <w:rsid w:val="00086B70"/>
    <w:rsid w:val="00086CF3"/>
    <w:rsid w:val="00086FB5"/>
    <w:rsid w:val="0008700E"/>
    <w:rsid w:val="00087054"/>
    <w:rsid w:val="00087176"/>
    <w:rsid w:val="00087431"/>
    <w:rsid w:val="000874D7"/>
    <w:rsid w:val="0008766D"/>
    <w:rsid w:val="0008776B"/>
    <w:rsid w:val="000878D1"/>
    <w:rsid w:val="000878FC"/>
    <w:rsid w:val="00087A7D"/>
    <w:rsid w:val="00087B75"/>
    <w:rsid w:val="00087C96"/>
    <w:rsid w:val="00087D8F"/>
    <w:rsid w:val="00087E2D"/>
    <w:rsid w:val="00087E43"/>
    <w:rsid w:val="000900DD"/>
    <w:rsid w:val="000901CB"/>
    <w:rsid w:val="00090246"/>
    <w:rsid w:val="000902C7"/>
    <w:rsid w:val="000904C8"/>
    <w:rsid w:val="000905C8"/>
    <w:rsid w:val="0009063B"/>
    <w:rsid w:val="00090739"/>
    <w:rsid w:val="000907AF"/>
    <w:rsid w:val="00090888"/>
    <w:rsid w:val="000909E6"/>
    <w:rsid w:val="00090A89"/>
    <w:rsid w:val="00090C65"/>
    <w:rsid w:val="00090EF3"/>
    <w:rsid w:val="0009104B"/>
    <w:rsid w:val="000910CC"/>
    <w:rsid w:val="000910FD"/>
    <w:rsid w:val="0009126B"/>
    <w:rsid w:val="00091359"/>
    <w:rsid w:val="00091370"/>
    <w:rsid w:val="00091690"/>
    <w:rsid w:val="00091691"/>
    <w:rsid w:val="000917CC"/>
    <w:rsid w:val="0009182F"/>
    <w:rsid w:val="00091921"/>
    <w:rsid w:val="00091994"/>
    <w:rsid w:val="000919C8"/>
    <w:rsid w:val="00091AEB"/>
    <w:rsid w:val="00091C2B"/>
    <w:rsid w:val="00091C8E"/>
    <w:rsid w:val="00091D11"/>
    <w:rsid w:val="00091D68"/>
    <w:rsid w:val="00091DE5"/>
    <w:rsid w:val="00091DFA"/>
    <w:rsid w:val="00091EA6"/>
    <w:rsid w:val="0009203E"/>
    <w:rsid w:val="00092142"/>
    <w:rsid w:val="0009217B"/>
    <w:rsid w:val="00092187"/>
    <w:rsid w:val="000921E1"/>
    <w:rsid w:val="00092307"/>
    <w:rsid w:val="00092353"/>
    <w:rsid w:val="0009265A"/>
    <w:rsid w:val="00092665"/>
    <w:rsid w:val="000926E0"/>
    <w:rsid w:val="00092706"/>
    <w:rsid w:val="0009279B"/>
    <w:rsid w:val="000928B4"/>
    <w:rsid w:val="00092A25"/>
    <w:rsid w:val="00092A43"/>
    <w:rsid w:val="00092C8D"/>
    <w:rsid w:val="00092E88"/>
    <w:rsid w:val="00092E9A"/>
    <w:rsid w:val="00092EA5"/>
    <w:rsid w:val="00092F1B"/>
    <w:rsid w:val="00093126"/>
    <w:rsid w:val="00093153"/>
    <w:rsid w:val="00093174"/>
    <w:rsid w:val="0009318F"/>
    <w:rsid w:val="000932D9"/>
    <w:rsid w:val="000933ED"/>
    <w:rsid w:val="000935DC"/>
    <w:rsid w:val="00093651"/>
    <w:rsid w:val="000936EE"/>
    <w:rsid w:val="000938B5"/>
    <w:rsid w:val="0009396D"/>
    <w:rsid w:val="00093C5A"/>
    <w:rsid w:val="00093C9D"/>
    <w:rsid w:val="00093CCE"/>
    <w:rsid w:val="00093CE1"/>
    <w:rsid w:val="00093D19"/>
    <w:rsid w:val="00093D4F"/>
    <w:rsid w:val="00093EA8"/>
    <w:rsid w:val="00093FC6"/>
    <w:rsid w:val="00093FEB"/>
    <w:rsid w:val="00094040"/>
    <w:rsid w:val="00094073"/>
    <w:rsid w:val="000941B9"/>
    <w:rsid w:val="0009426B"/>
    <w:rsid w:val="000942A2"/>
    <w:rsid w:val="000943D1"/>
    <w:rsid w:val="00094492"/>
    <w:rsid w:val="000946AB"/>
    <w:rsid w:val="00094760"/>
    <w:rsid w:val="000949C2"/>
    <w:rsid w:val="00094C22"/>
    <w:rsid w:val="00094CB4"/>
    <w:rsid w:val="00094D24"/>
    <w:rsid w:val="00094E92"/>
    <w:rsid w:val="00094E9B"/>
    <w:rsid w:val="00094F27"/>
    <w:rsid w:val="00094F2D"/>
    <w:rsid w:val="00094F43"/>
    <w:rsid w:val="0009501A"/>
    <w:rsid w:val="00095160"/>
    <w:rsid w:val="00095191"/>
    <w:rsid w:val="000951C6"/>
    <w:rsid w:val="00095247"/>
    <w:rsid w:val="00095267"/>
    <w:rsid w:val="000952A2"/>
    <w:rsid w:val="0009549E"/>
    <w:rsid w:val="000954AF"/>
    <w:rsid w:val="00095731"/>
    <w:rsid w:val="00095754"/>
    <w:rsid w:val="000957F2"/>
    <w:rsid w:val="00095868"/>
    <w:rsid w:val="000958E1"/>
    <w:rsid w:val="000958F0"/>
    <w:rsid w:val="000959EE"/>
    <w:rsid w:val="00095B62"/>
    <w:rsid w:val="00095BAD"/>
    <w:rsid w:val="00095BE7"/>
    <w:rsid w:val="00095D2F"/>
    <w:rsid w:val="00095D45"/>
    <w:rsid w:val="00096052"/>
    <w:rsid w:val="00096066"/>
    <w:rsid w:val="00096088"/>
    <w:rsid w:val="000960A8"/>
    <w:rsid w:val="000962C2"/>
    <w:rsid w:val="0009632E"/>
    <w:rsid w:val="000964DA"/>
    <w:rsid w:val="00096645"/>
    <w:rsid w:val="00096725"/>
    <w:rsid w:val="0009676D"/>
    <w:rsid w:val="00096A08"/>
    <w:rsid w:val="00096A1B"/>
    <w:rsid w:val="00096A60"/>
    <w:rsid w:val="00096AB6"/>
    <w:rsid w:val="00096B19"/>
    <w:rsid w:val="00096B3E"/>
    <w:rsid w:val="00096C37"/>
    <w:rsid w:val="00096CB9"/>
    <w:rsid w:val="00096D8A"/>
    <w:rsid w:val="00096DCB"/>
    <w:rsid w:val="00096E5E"/>
    <w:rsid w:val="00096EB9"/>
    <w:rsid w:val="00096EDA"/>
    <w:rsid w:val="00096EEC"/>
    <w:rsid w:val="00096F91"/>
    <w:rsid w:val="0009711A"/>
    <w:rsid w:val="0009721D"/>
    <w:rsid w:val="0009724E"/>
    <w:rsid w:val="000972E8"/>
    <w:rsid w:val="0009740B"/>
    <w:rsid w:val="000974FB"/>
    <w:rsid w:val="0009755F"/>
    <w:rsid w:val="00097587"/>
    <w:rsid w:val="000976FC"/>
    <w:rsid w:val="00097733"/>
    <w:rsid w:val="00097748"/>
    <w:rsid w:val="00097756"/>
    <w:rsid w:val="000977AE"/>
    <w:rsid w:val="00097B43"/>
    <w:rsid w:val="00097C0D"/>
    <w:rsid w:val="000A0344"/>
    <w:rsid w:val="000A045C"/>
    <w:rsid w:val="000A047E"/>
    <w:rsid w:val="000A048E"/>
    <w:rsid w:val="000A04A3"/>
    <w:rsid w:val="000A05E1"/>
    <w:rsid w:val="000A05EC"/>
    <w:rsid w:val="000A06AE"/>
    <w:rsid w:val="000A081B"/>
    <w:rsid w:val="000A0906"/>
    <w:rsid w:val="000A09CF"/>
    <w:rsid w:val="000A0ADB"/>
    <w:rsid w:val="000A0B5A"/>
    <w:rsid w:val="000A0D62"/>
    <w:rsid w:val="000A0E9D"/>
    <w:rsid w:val="000A0FD5"/>
    <w:rsid w:val="000A1054"/>
    <w:rsid w:val="000A1090"/>
    <w:rsid w:val="000A1159"/>
    <w:rsid w:val="000A13E1"/>
    <w:rsid w:val="000A14B7"/>
    <w:rsid w:val="000A14EC"/>
    <w:rsid w:val="000A1538"/>
    <w:rsid w:val="000A166D"/>
    <w:rsid w:val="000A17D0"/>
    <w:rsid w:val="000A18A6"/>
    <w:rsid w:val="000A1ACD"/>
    <w:rsid w:val="000A1BB9"/>
    <w:rsid w:val="000A1BD0"/>
    <w:rsid w:val="000A1C05"/>
    <w:rsid w:val="000A1E9C"/>
    <w:rsid w:val="000A1EB7"/>
    <w:rsid w:val="000A1F0A"/>
    <w:rsid w:val="000A1F7A"/>
    <w:rsid w:val="000A1FFD"/>
    <w:rsid w:val="000A20F3"/>
    <w:rsid w:val="000A21F4"/>
    <w:rsid w:val="000A22A2"/>
    <w:rsid w:val="000A22FC"/>
    <w:rsid w:val="000A2640"/>
    <w:rsid w:val="000A2641"/>
    <w:rsid w:val="000A26DC"/>
    <w:rsid w:val="000A26ED"/>
    <w:rsid w:val="000A26FA"/>
    <w:rsid w:val="000A272A"/>
    <w:rsid w:val="000A27DC"/>
    <w:rsid w:val="000A2885"/>
    <w:rsid w:val="000A2898"/>
    <w:rsid w:val="000A28E6"/>
    <w:rsid w:val="000A28EC"/>
    <w:rsid w:val="000A2904"/>
    <w:rsid w:val="000A2921"/>
    <w:rsid w:val="000A2B01"/>
    <w:rsid w:val="000A2B47"/>
    <w:rsid w:val="000A2BE6"/>
    <w:rsid w:val="000A2C02"/>
    <w:rsid w:val="000A2DB6"/>
    <w:rsid w:val="000A2DE0"/>
    <w:rsid w:val="000A2E15"/>
    <w:rsid w:val="000A2EFD"/>
    <w:rsid w:val="000A2F53"/>
    <w:rsid w:val="000A317C"/>
    <w:rsid w:val="000A3233"/>
    <w:rsid w:val="000A32C0"/>
    <w:rsid w:val="000A32F5"/>
    <w:rsid w:val="000A3340"/>
    <w:rsid w:val="000A33AC"/>
    <w:rsid w:val="000A3480"/>
    <w:rsid w:val="000A3520"/>
    <w:rsid w:val="000A35B0"/>
    <w:rsid w:val="000A36F0"/>
    <w:rsid w:val="000A3788"/>
    <w:rsid w:val="000A3799"/>
    <w:rsid w:val="000A37EB"/>
    <w:rsid w:val="000A3805"/>
    <w:rsid w:val="000A383F"/>
    <w:rsid w:val="000A3863"/>
    <w:rsid w:val="000A38E0"/>
    <w:rsid w:val="000A3A94"/>
    <w:rsid w:val="000A3B05"/>
    <w:rsid w:val="000A3B0C"/>
    <w:rsid w:val="000A3BAA"/>
    <w:rsid w:val="000A3D0A"/>
    <w:rsid w:val="000A3D3D"/>
    <w:rsid w:val="000A3D44"/>
    <w:rsid w:val="000A3F6C"/>
    <w:rsid w:val="000A3F86"/>
    <w:rsid w:val="000A4073"/>
    <w:rsid w:val="000A410F"/>
    <w:rsid w:val="000A4225"/>
    <w:rsid w:val="000A4292"/>
    <w:rsid w:val="000A42FA"/>
    <w:rsid w:val="000A4347"/>
    <w:rsid w:val="000A441C"/>
    <w:rsid w:val="000A4420"/>
    <w:rsid w:val="000A477D"/>
    <w:rsid w:val="000A48B5"/>
    <w:rsid w:val="000A4A95"/>
    <w:rsid w:val="000A4BFC"/>
    <w:rsid w:val="000A4C0B"/>
    <w:rsid w:val="000A4E1E"/>
    <w:rsid w:val="000A4E5D"/>
    <w:rsid w:val="000A4F3F"/>
    <w:rsid w:val="000A4F8B"/>
    <w:rsid w:val="000A5025"/>
    <w:rsid w:val="000A511B"/>
    <w:rsid w:val="000A5442"/>
    <w:rsid w:val="000A54BA"/>
    <w:rsid w:val="000A55CA"/>
    <w:rsid w:val="000A573A"/>
    <w:rsid w:val="000A5780"/>
    <w:rsid w:val="000A585B"/>
    <w:rsid w:val="000A58DC"/>
    <w:rsid w:val="000A5903"/>
    <w:rsid w:val="000A5970"/>
    <w:rsid w:val="000A5A2C"/>
    <w:rsid w:val="000A5A38"/>
    <w:rsid w:val="000A5ADD"/>
    <w:rsid w:val="000A5AF8"/>
    <w:rsid w:val="000A5B1D"/>
    <w:rsid w:val="000A5B5B"/>
    <w:rsid w:val="000A5BE5"/>
    <w:rsid w:val="000A5DE6"/>
    <w:rsid w:val="000A5DF7"/>
    <w:rsid w:val="000A5F47"/>
    <w:rsid w:val="000A5F9C"/>
    <w:rsid w:val="000A605C"/>
    <w:rsid w:val="000A61C0"/>
    <w:rsid w:val="000A61E6"/>
    <w:rsid w:val="000A61F0"/>
    <w:rsid w:val="000A6290"/>
    <w:rsid w:val="000A63F5"/>
    <w:rsid w:val="000A664C"/>
    <w:rsid w:val="000A66EB"/>
    <w:rsid w:val="000A6958"/>
    <w:rsid w:val="000A6AF4"/>
    <w:rsid w:val="000A6BE7"/>
    <w:rsid w:val="000A6C7F"/>
    <w:rsid w:val="000A6C9E"/>
    <w:rsid w:val="000A705C"/>
    <w:rsid w:val="000A7167"/>
    <w:rsid w:val="000A716C"/>
    <w:rsid w:val="000A71D6"/>
    <w:rsid w:val="000A723D"/>
    <w:rsid w:val="000A72DD"/>
    <w:rsid w:val="000A73DA"/>
    <w:rsid w:val="000A74CB"/>
    <w:rsid w:val="000A74FE"/>
    <w:rsid w:val="000A7630"/>
    <w:rsid w:val="000A7686"/>
    <w:rsid w:val="000A7736"/>
    <w:rsid w:val="000A7788"/>
    <w:rsid w:val="000A77EB"/>
    <w:rsid w:val="000A7842"/>
    <w:rsid w:val="000A7861"/>
    <w:rsid w:val="000A7BBE"/>
    <w:rsid w:val="000A7C46"/>
    <w:rsid w:val="000A7CE0"/>
    <w:rsid w:val="000A7D39"/>
    <w:rsid w:val="000A7D53"/>
    <w:rsid w:val="000A7E04"/>
    <w:rsid w:val="000A7FF3"/>
    <w:rsid w:val="000B00EA"/>
    <w:rsid w:val="000B01D0"/>
    <w:rsid w:val="000B01E6"/>
    <w:rsid w:val="000B033C"/>
    <w:rsid w:val="000B046F"/>
    <w:rsid w:val="000B0545"/>
    <w:rsid w:val="000B062B"/>
    <w:rsid w:val="000B066D"/>
    <w:rsid w:val="000B07F5"/>
    <w:rsid w:val="000B08C1"/>
    <w:rsid w:val="000B093D"/>
    <w:rsid w:val="000B0A00"/>
    <w:rsid w:val="000B0CD3"/>
    <w:rsid w:val="000B0D84"/>
    <w:rsid w:val="000B0E22"/>
    <w:rsid w:val="000B0ECB"/>
    <w:rsid w:val="000B1073"/>
    <w:rsid w:val="000B1174"/>
    <w:rsid w:val="000B11CE"/>
    <w:rsid w:val="000B123E"/>
    <w:rsid w:val="000B1289"/>
    <w:rsid w:val="000B13C6"/>
    <w:rsid w:val="000B13F6"/>
    <w:rsid w:val="000B1725"/>
    <w:rsid w:val="000B1780"/>
    <w:rsid w:val="000B17DD"/>
    <w:rsid w:val="000B18E1"/>
    <w:rsid w:val="000B1AFC"/>
    <w:rsid w:val="000B1B31"/>
    <w:rsid w:val="000B1D75"/>
    <w:rsid w:val="000B202C"/>
    <w:rsid w:val="000B20A1"/>
    <w:rsid w:val="000B2156"/>
    <w:rsid w:val="000B217B"/>
    <w:rsid w:val="000B21C6"/>
    <w:rsid w:val="000B2298"/>
    <w:rsid w:val="000B2347"/>
    <w:rsid w:val="000B23EF"/>
    <w:rsid w:val="000B24DD"/>
    <w:rsid w:val="000B253D"/>
    <w:rsid w:val="000B260E"/>
    <w:rsid w:val="000B26C6"/>
    <w:rsid w:val="000B26F6"/>
    <w:rsid w:val="000B273C"/>
    <w:rsid w:val="000B2793"/>
    <w:rsid w:val="000B27BA"/>
    <w:rsid w:val="000B2812"/>
    <w:rsid w:val="000B2814"/>
    <w:rsid w:val="000B2822"/>
    <w:rsid w:val="000B289B"/>
    <w:rsid w:val="000B2931"/>
    <w:rsid w:val="000B2AB9"/>
    <w:rsid w:val="000B2B66"/>
    <w:rsid w:val="000B2BF4"/>
    <w:rsid w:val="000B2C6F"/>
    <w:rsid w:val="000B2CAA"/>
    <w:rsid w:val="000B2D67"/>
    <w:rsid w:val="000B2E41"/>
    <w:rsid w:val="000B2EBF"/>
    <w:rsid w:val="000B2F7E"/>
    <w:rsid w:val="000B3039"/>
    <w:rsid w:val="000B304E"/>
    <w:rsid w:val="000B318B"/>
    <w:rsid w:val="000B331F"/>
    <w:rsid w:val="000B352F"/>
    <w:rsid w:val="000B3618"/>
    <w:rsid w:val="000B363D"/>
    <w:rsid w:val="000B36B0"/>
    <w:rsid w:val="000B36FB"/>
    <w:rsid w:val="000B374F"/>
    <w:rsid w:val="000B3791"/>
    <w:rsid w:val="000B3A33"/>
    <w:rsid w:val="000B3A4F"/>
    <w:rsid w:val="000B3BA9"/>
    <w:rsid w:val="000B3F5A"/>
    <w:rsid w:val="000B402E"/>
    <w:rsid w:val="000B4250"/>
    <w:rsid w:val="000B4262"/>
    <w:rsid w:val="000B439C"/>
    <w:rsid w:val="000B43CD"/>
    <w:rsid w:val="000B43F8"/>
    <w:rsid w:val="000B4492"/>
    <w:rsid w:val="000B44EF"/>
    <w:rsid w:val="000B4A2D"/>
    <w:rsid w:val="000B4A5C"/>
    <w:rsid w:val="000B4A9D"/>
    <w:rsid w:val="000B4B11"/>
    <w:rsid w:val="000B4BFA"/>
    <w:rsid w:val="000B4C09"/>
    <w:rsid w:val="000B4C8E"/>
    <w:rsid w:val="000B4E98"/>
    <w:rsid w:val="000B4EC1"/>
    <w:rsid w:val="000B4F11"/>
    <w:rsid w:val="000B506C"/>
    <w:rsid w:val="000B5088"/>
    <w:rsid w:val="000B51B2"/>
    <w:rsid w:val="000B51C3"/>
    <w:rsid w:val="000B551B"/>
    <w:rsid w:val="000B5538"/>
    <w:rsid w:val="000B559D"/>
    <w:rsid w:val="000B55E1"/>
    <w:rsid w:val="000B5712"/>
    <w:rsid w:val="000B5737"/>
    <w:rsid w:val="000B57A1"/>
    <w:rsid w:val="000B58C5"/>
    <w:rsid w:val="000B58FC"/>
    <w:rsid w:val="000B58FE"/>
    <w:rsid w:val="000B5959"/>
    <w:rsid w:val="000B5A14"/>
    <w:rsid w:val="000B5A80"/>
    <w:rsid w:val="000B5B71"/>
    <w:rsid w:val="000B5D48"/>
    <w:rsid w:val="000B5F78"/>
    <w:rsid w:val="000B5FAB"/>
    <w:rsid w:val="000B5FF1"/>
    <w:rsid w:val="000B6039"/>
    <w:rsid w:val="000B61C7"/>
    <w:rsid w:val="000B6250"/>
    <w:rsid w:val="000B6353"/>
    <w:rsid w:val="000B651A"/>
    <w:rsid w:val="000B6716"/>
    <w:rsid w:val="000B6896"/>
    <w:rsid w:val="000B69A0"/>
    <w:rsid w:val="000B69B2"/>
    <w:rsid w:val="000B6B1F"/>
    <w:rsid w:val="000B6B37"/>
    <w:rsid w:val="000B6BA5"/>
    <w:rsid w:val="000B6C03"/>
    <w:rsid w:val="000B6C04"/>
    <w:rsid w:val="000B6D7D"/>
    <w:rsid w:val="000B6DE3"/>
    <w:rsid w:val="000B6FB3"/>
    <w:rsid w:val="000B6FD0"/>
    <w:rsid w:val="000B6FFC"/>
    <w:rsid w:val="000B71E0"/>
    <w:rsid w:val="000B7250"/>
    <w:rsid w:val="000B726B"/>
    <w:rsid w:val="000B72EF"/>
    <w:rsid w:val="000B7311"/>
    <w:rsid w:val="000B7356"/>
    <w:rsid w:val="000B743C"/>
    <w:rsid w:val="000B7479"/>
    <w:rsid w:val="000B750C"/>
    <w:rsid w:val="000B7778"/>
    <w:rsid w:val="000B791C"/>
    <w:rsid w:val="000B7BA3"/>
    <w:rsid w:val="000B7C1A"/>
    <w:rsid w:val="000B7CE1"/>
    <w:rsid w:val="000B7D03"/>
    <w:rsid w:val="000B7D7D"/>
    <w:rsid w:val="000B7E43"/>
    <w:rsid w:val="000B7E7C"/>
    <w:rsid w:val="000B7ED4"/>
    <w:rsid w:val="000B7FD8"/>
    <w:rsid w:val="000C0082"/>
    <w:rsid w:val="000C008B"/>
    <w:rsid w:val="000C02B6"/>
    <w:rsid w:val="000C03E3"/>
    <w:rsid w:val="000C041C"/>
    <w:rsid w:val="000C0501"/>
    <w:rsid w:val="000C05DE"/>
    <w:rsid w:val="000C05E8"/>
    <w:rsid w:val="000C06E9"/>
    <w:rsid w:val="000C0727"/>
    <w:rsid w:val="000C073D"/>
    <w:rsid w:val="000C074C"/>
    <w:rsid w:val="000C077B"/>
    <w:rsid w:val="000C0A18"/>
    <w:rsid w:val="000C0A81"/>
    <w:rsid w:val="000C0C0D"/>
    <w:rsid w:val="000C0C98"/>
    <w:rsid w:val="000C0CC4"/>
    <w:rsid w:val="000C0CD7"/>
    <w:rsid w:val="000C0D41"/>
    <w:rsid w:val="000C0EEF"/>
    <w:rsid w:val="000C0FCC"/>
    <w:rsid w:val="000C102F"/>
    <w:rsid w:val="000C104B"/>
    <w:rsid w:val="000C1060"/>
    <w:rsid w:val="000C1146"/>
    <w:rsid w:val="000C121E"/>
    <w:rsid w:val="000C1312"/>
    <w:rsid w:val="000C1339"/>
    <w:rsid w:val="000C1399"/>
    <w:rsid w:val="000C14C0"/>
    <w:rsid w:val="000C17C4"/>
    <w:rsid w:val="000C17E1"/>
    <w:rsid w:val="000C17EC"/>
    <w:rsid w:val="000C1805"/>
    <w:rsid w:val="000C1809"/>
    <w:rsid w:val="000C187B"/>
    <w:rsid w:val="000C1968"/>
    <w:rsid w:val="000C1ABB"/>
    <w:rsid w:val="000C1B70"/>
    <w:rsid w:val="000C1B97"/>
    <w:rsid w:val="000C1BD9"/>
    <w:rsid w:val="000C1C39"/>
    <w:rsid w:val="000C200D"/>
    <w:rsid w:val="000C2016"/>
    <w:rsid w:val="000C217D"/>
    <w:rsid w:val="000C2217"/>
    <w:rsid w:val="000C221F"/>
    <w:rsid w:val="000C2299"/>
    <w:rsid w:val="000C234A"/>
    <w:rsid w:val="000C2569"/>
    <w:rsid w:val="000C28D2"/>
    <w:rsid w:val="000C2938"/>
    <w:rsid w:val="000C2C08"/>
    <w:rsid w:val="000C2C29"/>
    <w:rsid w:val="000C2DE1"/>
    <w:rsid w:val="000C2E5D"/>
    <w:rsid w:val="000C316C"/>
    <w:rsid w:val="000C32B0"/>
    <w:rsid w:val="000C32D4"/>
    <w:rsid w:val="000C3353"/>
    <w:rsid w:val="000C33E9"/>
    <w:rsid w:val="000C3467"/>
    <w:rsid w:val="000C347B"/>
    <w:rsid w:val="000C354B"/>
    <w:rsid w:val="000C36B4"/>
    <w:rsid w:val="000C36C1"/>
    <w:rsid w:val="000C382D"/>
    <w:rsid w:val="000C3981"/>
    <w:rsid w:val="000C39A2"/>
    <w:rsid w:val="000C3CBE"/>
    <w:rsid w:val="000C3DC2"/>
    <w:rsid w:val="000C3FC6"/>
    <w:rsid w:val="000C4039"/>
    <w:rsid w:val="000C412A"/>
    <w:rsid w:val="000C4487"/>
    <w:rsid w:val="000C44F4"/>
    <w:rsid w:val="000C4664"/>
    <w:rsid w:val="000C4678"/>
    <w:rsid w:val="000C4748"/>
    <w:rsid w:val="000C4861"/>
    <w:rsid w:val="000C4997"/>
    <w:rsid w:val="000C4BCA"/>
    <w:rsid w:val="000C4C73"/>
    <w:rsid w:val="000C4DE2"/>
    <w:rsid w:val="000C4DF9"/>
    <w:rsid w:val="000C4E35"/>
    <w:rsid w:val="000C4E47"/>
    <w:rsid w:val="000C4E4C"/>
    <w:rsid w:val="000C4E78"/>
    <w:rsid w:val="000C4EE5"/>
    <w:rsid w:val="000C4EEA"/>
    <w:rsid w:val="000C4FF5"/>
    <w:rsid w:val="000C5058"/>
    <w:rsid w:val="000C507A"/>
    <w:rsid w:val="000C51D6"/>
    <w:rsid w:val="000C520E"/>
    <w:rsid w:val="000C543C"/>
    <w:rsid w:val="000C54FA"/>
    <w:rsid w:val="000C5568"/>
    <w:rsid w:val="000C55C7"/>
    <w:rsid w:val="000C5618"/>
    <w:rsid w:val="000C5666"/>
    <w:rsid w:val="000C57F7"/>
    <w:rsid w:val="000C5823"/>
    <w:rsid w:val="000C5DCB"/>
    <w:rsid w:val="000C5DD3"/>
    <w:rsid w:val="000C5E78"/>
    <w:rsid w:val="000C5F15"/>
    <w:rsid w:val="000C6296"/>
    <w:rsid w:val="000C6600"/>
    <w:rsid w:val="000C678A"/>
    <w:rsid w:val="000C67C4"/>
    <w:rsid w:val="000C682A"/>
    <w:rsid w:val="000C6B23"/>
    <w:rsid w:val="000C6B68"/>
    <w:rsid w:val="000C6CB7"/>
    <w:rsid w:val="000C6D3B"/>
    <w:rsid w:val="000C6DFF"/>
    <w:rsid w:val="000C709E"/>
    <w:rsid w:val="000C70B6"/>
    <w:rsid w:val="000C7133"/>
    <w:rsid w:val="000C71B3"/>
    <w:rsid w:val="000C71C0"/>
    <w:rsid w:val="000C726F"/>
    <w:rsid w:val="000C746A"/>
    <w:rsid w:val="000C75FB"/>
    <w:rsid w:val="000C764F"/>
    <w:rsid w:val="000C76A0"/>
    <w:rsid w:val="000C7761"/>
    <w:rsid w:val="000C77D7"/>
    <w:rsid w:val="000C77FE"/>
    <w:rsid w:val="000C79F0"/>
    <w:rsid w:val="000C7B3E"/>
    <w:rsid w:val="000C7BDF"/>
    <w:rsid w:val="000C7C21"/>
    <w:rsid w:val="000C7D8C"/>
    <w:rsid w:val="000C7E54"/>
    <w:rsid w:val="000C7ED3"/>
    <w:rsid w:val="000C7EEE"/>
    <w:rsid w:val="000C7F81"/>
    <w:rsid w:val="000D04D5"/>
    <w:rsid w:val="000D0668"/>
    <w:rsid w:val="000D078B"/>
    <w:rsid w:val="000D08E1"/>
    <w:rsid w:val="000D0943"/>
    <w:rsid w:val="000D09FB"/>
    <w:rsid w:val="000D0A72"/>
    <w:rsid w:val="000D0D91"/>
    <w:rsid w:val="000D0E51"/>
    <w:rsid w:val="000D0F09"/>
    <w:rsid w:val="000D0F2F"/>
    <w:rsid w:val="000D1061"/>
    <w:rsid w:val="000D10EE"/>
    <w:rsid w:val="000D14F7"/>
    <w:rsid w:val="000D15E5"/>
    <w:rsid w:val="000D165A"/>
    <w:rsid w:val="000D1928"/>
    <w:rsid w:val="000D19C7"/>
    <w:rsid w:val="000D1C3D"/>
    <w:rsid w:val="000D1C3F"/>
    <w:rsid w:val="000D1C5F"/>
    <w:rsid w:val="000D1CB9"/>
    <w:rsid w:val="000D1DC3"/>
    <w:rsid w:val="000D1ED6"/>
    <w:rsid w:val="000D2010"/>
    <w:rsid w:val="000D2018"/>
    <w:rsid w:val="000D2027"/>
    <w:rsid w:val="000D209A"/>
    <w:rsid w:val="000D227F"/>
    <w:rsid w:val="000D22B8"/>
    <w:rsid w:val="000D2309"/>
    <w:rsid w:val="000D2394"/>
    <w:rsid w:val="000D241D"/>
    <w:rsid w:val="000D24D9"/>
    <w:rsid w:val="000D25DB"/>
    <w:rsid w:val="000D2708"/>
    <w:rsid w:val="000D271B"/>
    <w:rsid w:val="000D273B"/>
    <w:rsid w:val="000D2838"/>
    <w:rsid w:val="000D28E7"/>
    <w:rsid w:val="000D290E"/>
    <w:rsid w:val="000D2940"/>
    <w:rsid w:val="000D2A3C"/>
    <w:rsid w:val="000D2A48"/>
    <w:rsid w:val="000D2AD5"/>
    <w:rsid w:val="000D2AE5"/>
    <w:rsid w:val="000D2B0A"/>
    <w:rsid w:val="000D2EB8"/>
    <w:rsid w:val="000D3018"/>
    <w:rsid w:val="000D307B"/>
    <w:rsid w:val="000D308D"/>
    <w:rsid w:val="000D31A6"/>
    <w:rsid w:val="000D3232"/>
    <w:rsid w:val="000D344A"/>
    <w:rsid w:val="000D3512"/>
    <w:rsid w:val="000D3535"/>
    <w:rsid w:val="000D36FF"/>
    <w:rsid w:val="000D38BD"/>
    <w:rsid w:val="000D3908"/>
    <w:rsid w:val="000D3ACE"/>
    <w:rsid w:val="000D3B1B"/>
    <w:rsid w:val="000D3B3D"/>
    <w:rsid w:val="000D3B6E"/>
    <w:rsid w:val="000D3D0C"/>
    <w:rsid w:val="000D3E26"/>
    <w:rsid w:val="000D3FC2"/>
    <w:rsid w:val="000D4070"/>
    <w:rsid w:val="000D41FD"/>
    <w:rsid w:val="000D424F"/>
    <w:rsid w:val="000D4326"/>
    <w:rsid w:val="000D44E0"/>
    <w:rsid w:val="000D45DC"/>
    <w:rsid w:val="000D464F"/>
    <w:rsid w:val="000D468E"/>
    <w:rsid w:val="000D47FF"/>
    <w:rsid w:val="000D4835"/>
    <w:rsid w:val="000D4980"/>
    <w:rsid w:val="000D49C2"/>
    <w:rsid w:val="000D4B12"/>
    <w:rsid w:val="000D4B1C"/>
    <w:rsid w:val="000D4C4D"/>
    <w:rsid w:val="000D4CCE"/>
    <w:rsid w:val="000D4E13"/>
    <w:rsid w:val="000D4E4B"/>
    <w:rsid w:val="000D5183"/>
    <w:rsid w:val="000D52CF"/>
    <w:rsid w:val="000D5506"/>
    <w:rsid w:val="000D5520"/>
    <w:rsid w:val="000D5556"/>
    <w:rsid w:val="000D559C"/>
    <w:rsid w:val="000D55E0"/>
    <w:rsid w:val="000D5760"/>
    <w:rsid w:val="000D57C9"/>
    <w:rsid w:val="000D58DF"/>
    <w:rsid w:val="000D5900"/>
    <w:rsid w:val="000D5957"/>
    <w:rsid w:val="000D5B39"/>
    <w:rsid w:val="000D5BD4"/>
    <w:rsid w:val="000D5C92"/>
    <w:rsid w:val="000D5CD3"/>
    <w:rsid w:val="000D5DC4"/>
    <w:rsid w:val="000D606D"/>
    <w:rsid w:val="000D6166"/>
    <w:rsid w:val="000D6207"/>
    <w:rsid w:val="000D6291"/>
    <w:rsid w:val="000D629F"/>
    <w:rsid w:val="000D63C0"/>
    <w:rsid w:val="000D63F7"/>
    <w:rsid w:val="000D657F"/>
    <w:rsid w:val="000D674C"/>
    <w:rsid w:val="000D6A23"/>
    <w:rsid w:val="000D6AF6"/>
    <w:rsid w:val="000D6D25"/>
    <w:rsid w:val="000D6F15"/>
    <w:rsid w:val="000D6F17"/>
    <w:rsid w:val="000D6F1E"/>
    <w:rsid w:val="000D7087"/>
    <w:rsid w:val="000D7194"/>
    <w:rsid w:val="000D71E6"/>
    <w:rsid w:val="000D7347"/>
    <w:rsid w:val="000D7444"/>
    <w:rsid w:val="000D74CB"/>
    <w:rsid w:val="000D74F1"/>
    <w:rsid w:val="000D76BD"/>
    <w:rsid w:val="000D7798"/>
    <w:rsid w:val="000D7B01"/>
    <w:rsid w:val="000D7BFD"/>
    <w:rsid w:val="000D7D07"/>
    <w:rsid w:val="000D7D2E"/>
    <w:rsid w:val="000D7F65"/>
    <w:rsid w:val="000E00A7"/>
    <w:rsid w:val="000E00B1"/>
    <w:rsid w:val="000E00FC"/>
    <w:rsid w:val="000E0107"/>
    <w:rsid w:val="000E011B"/>
    <w:rsid w:val="000E0124"/>
    <w:rsid w:val="000E014B"/>
    <w:rsid w:val="000E017F"/>
    <w:rsid w:val="000E018E"/>
    <w:rsid w:val="000E047E"/>
    <w:rsid w:val="000E04CD"/>
    <w:rsid w:val="000E06EB"/>
    <w:rsid w:val="000E06FF"/>
    <w:rsid w:val="000E077C"/>
    <w:rsid w:val="000E0817"/>
    <w:rsid w:val="000E0853"/>
    <w:rsid w:val="000E0982"/>
    <w:rsid w:val="000E0A2C"/>
    <w:rsid w:val="000E0A2F"/>
    <w:rsid w:val="000E0A61"/>
    <w:rsid w:val="000E0D9E"/>
    <w:rsid w:val="000E0DD8"/>
    <w:rsid w:val="000E0DE9"/>
    <w:rsid w:val="000E0DEE"/>
    <w:rsid w:val="000E105B"/>
    <w:rsid w:val="000E10B8"/>
    <w:rsid w:val="000E11D5"/>
    <w:rsid w:val="000E11EF"/>
    <w:rsid w:val="000E12B7"/>
    <w:rsid w:val="000E171A"/>
    <w:rsid w:val="000E1764"/>
    <w:rsid w:val="000E17C5"/>
    <w:rsid w:val="000E1A55"/>
    <w:rsid w:val="000E1AC5"/>
    <w:rsid w:val="000E1BD5"/>
    <w:rsid w:val="000E1F52"/>
    <w:rsid w:val="000E1F88"/>
    <w:rsid w:val="000E212B"/>
    <w:rsid w:val="000E21CA"/>
    <w:rsid w:val="000E23C0"/>
    <w:rsid w:val="000E253A"/>
    <w:rsid w:val="000E25A8"/>
    <w:rsid w:val="000E2801"/>
    <w:rsid w:val="000E2832"/>
    <w:rsid w:val="000E29B5"/>
    <w:rsid w:val="000E29EC"/>
    <w:rsid w:val="000E2B46"/>
    <w:rsid w:val="000E2CF9"/>
    <w:rsid w:val="000E2D59"/>
    <w:rsid w:val="000E2DA3"/>
    <w:rsid w:val="000E2E74"/>
    <w:rsid w:val="000E2ED1"/>
    <w:rsid w:val="000E3053"/>
    <w:rsid w:val="000E30D9"/>
    <w:rsid w:val="000E3198"/>
    <w:rsid w:val="000E3204"/>
    <w:rsid w:val="000E320A"/>
    <w:rsid w:val="000E3248"/>
    <w:rsid w:val="000E33BE"/>
    <w:rsid w:val="000E3433"/>
    <w:rsid w:val="000E34B9"/>
    <w:rsid w:val="000E36F9"/>
    <w:rsid w:val="000E3742"/>
    <w:rsid w:val="000E3781"/>
    <w:rsid w:val="000E3862"/>
    <w:rsid w:val="000E3867"/>
    <w:rsid w:val="000E3AB8"/>
    <w:rsid w:val="000E3ACD"/>
    <w:rsid w:val="000E3D1D"/>
    <w:rsid w:val="000E3F0D"/>
    <w:rsid w:val="000E3F31"/>
    <w:rsid w:val="000E3F35"/>
    <w:rsid w:val="000E41CA"/>
    <w:rsid w:val="000E43B5"/>
    <w:rsid w:val="000E4447"/>
    <w:rsid w:val="000E4463"/>
    <w:rsid w:val="000E460C"/>
    <w:rsid w:val="000E46F7"/>
    <w:rsid w:val="000E4745"/>
    <w:rsid w:val="000E477B"/>
    <w:rsid w:val="000E480C"/>
    <w:rsid w:val="000E489A"/>
    <w:rsid w:val="000E48FE"/>
    <w:rsid w:val="000E4920"/>
    <w:rsid w:val="000E49D0"/>
    <w:rsid w:val="000E49F5"/>
    <w:rsid w:val="000E4A16"/>
    <w:rsid w:val="000E4A94"/>
    <w:rsid w:val="000E4AD5"/>
    <w:rsid w:val="000E4AEF"/>
    <w:rsid w:val="000E4C2B"/>
    <w:rsid w:val="000E4C6D"/>
    <w:rsid w:val="000E4D00"/>
    <w:rsid w:val="000E4DBA"/>
    <w:rsid w:val="000E5075"/>
    <w:rsid w:val="000E5225"/>
    <w:rsid w:val="000E5260"/>
    <w:rsid w:val="000E5432"/>
    <w:rsid w:val="000E54FD"/>
    <w:rsid w:val="000E576F"/>
    <w:rsid w:val="000E588B"/>
    <w:rsid w:val="000E58C2"/>
    <w:rsid w:val="000E5912"/>
    <w:rsid w:val="000E5BB9"/>
    <w:rsid w:val="000E5BD8"/>
    <w:rsid w:val="000E5C1E"/>
    <w:rsid w:val="000E5CCA"/>
    <w:rsid w:val="000E5CDA"/>
    <w:rsid w:val="000E5CF7"/>
    <w:rsid w:val="000E5E17"/>
    <w:rsid w:val="000E5F40"/>
    <w:rsid w:val="000E6057"/>
    <w:rsid w:val="000E6074"/>
    <w:rsid w:val="000E6211"/>
    <w:rsid w:val="000E63C2"/>
    <w:rsid w:val="000E64B2"/>
    <w:rsid w:val="000E64FE"/>
    <w:rsid w:val="000E65AC"/>
    <w:rsid w:val="000E6620"/>
    <w:rsid w:val="000E67C1"/>
    <w:rsid w:val="000E67FF"/>
    <w:rsid w:val="000E682C"/>
    <w:rsid w:val="000E6837"/>
    <w:rsid w:val="000E6905"/>
    <w:rsid w:val="000E69A5"/>
    <w:rsid w:val="000E6A81"/>
    <w:rsid w:val="000E6DC4"/>
    <w:rsid w:val="000E6E0C"/>
    <w:rsid w:val="000E6FA5"/>
    <w:rsid w:val="000E6FFD"/>
    <w:rsid w:val="000E7020"/>
    <w:rsid w:val="000E7031"/>
    <w:rsid w:val="000E710D"/>
    <w:rsid w:val="000E71CC"/>
    <w:rsid w:val="000E727D"/>
    <w:rsid w:val="000E7283"/>
    <w:rsid w:val="000E732B"/>
    <w:rsid w:val="000E7377"/>
    <w:rsid w:val="000E7412"/>
    <w:rsid w:val="000E744D"/>
    <w:rsid w:val="000E7477"/>
    <w:rsid w:val="000E75DD"/>
    <w:rsid w:val="000E767A"/>
    <w:rsid w:val="000E767E"/>
    <w:rsid w:val="000E7748"/>
    <w:rsid w:val="000E78E6"/>
    <w:rsid w:val="000E79BB"/>
    <w:rsid w:val="000E7A13"/>
    <w:rsid w:val="000E7A4A"/>
    <w:rsid w:val="000E7AAB"/>
    <w:rsid w:val="000E7B0F"/>
    <w:rsid w:val="000E7B76"/>
    <w:rsid w:val="000E7BB3"/>
    <w:rsid w:val="000E7D31"/>
    <w:rsid w:val="000E7DF0"/>
    <w:rsid w:val="000E7E30"/>
    <w:rsid w:val="000E7ED4"/>
    <w:rsid w:val="000E7ED6"/>
    <w:rsid w:val="000F010A"/>
    <w:rsid w:val="000F011D"/>
    <w:rsid w:val="000F01F0"/>
    <w:rsid w:val="000F0291"/>
    <w:rsid w:val="000F02BE"/>
    <w:rsid w:val="000F0308"/>
    <w:rsid w:val="000F03A1"/>
    <w:rsid w:val="000F040C"/>
    <w:rsid w:val="000F067A"/>
    <w:rsid w:val="000F06EA"/>
    <w:rsid w:val="000F09DF"/>
    <w:rsid w:val="000F09F8"/>
    <w:rsid w:val="000F0A47"/>
    <w:rsid w:val="000F0B5A"/>
    <w:rsid w:val="000F0BA1"/>
    <w:rsid w:val="000F0D6C"/>
    <w:rsid w:val="000F0DD9"/>
    <w:rsid w:val="000F0DEC"/>
    <w:rsid w:val="000F0DED"/>
    <w:rsid w:val="000F12D0"/>
    <w:rsid w:val="000F135A"/>
    <w:rsid w:val="000F142F"/>
    <w:rsid w:val="000F156C"/>
    <w:rsid w:val="000F15DC"/>
    <w:rsid w:val="000F1691"/>
    <w:rsid w:val="000F184D"/>
    <w:rsid w:val="000F18D2"/>
    <w:rsid w:val="000F1929"/>
    <w:rsid w:val="000F1941"/>
    <w:rsid w:val="000F1B0F"/>
    <w:rsid w:val="000F1C5C"/>
    <w:rsid w:val="000F1E0F"/>
    <w:rsid w:val="000F1FA2"/>
    <w:rsid w:val="000F20D3"/>
    <w:rsid w:val="000F2138"/>
    <w:rsid w:val="000F23B0"/>
    <w:rsid w:val="000F2476"/>
    <w:rsid w:val="000F2597"/>
    <w:rsid w:val="000F2737"/>
    <w:rsid w:val="000F274D"/>
    <w:rsid w:val="000F27B2"/>
    <w:rsid w:val="000F2911"/>
    <w:rsid w:val="000F2999"/>
    <w:rsid w:val="000F29BF"/>
    <w:rsid w:val="000F29CB"/>
    <w:rsid w:val="000F2A43"/>
    <w:rsid w:val="000F2BFB"/>
    <w:rsid w:val="000F2C9E"/>
    <w:rsid w:val="000F2E4F"/>
    <w:rsid w:val="000F2F47"/>
    <w:rsid w:val="000F3011"/>
    <w:rsid w:val="000F3087"/>
    <w:rsid w:val="000F333F"/>
    <w:rsid w:val="000F3388"/>
    <w:rsid w:val="000F3391"/>
    <w:rsid w:val="000F34A0"/>
    <w:rsid w:val="000F3578"/>
    <w:rsid w:val="000F365A"/>
    <w:rsid w:val="000F36A4"/>
    <w:rsid w:val="000F375B"/>
    <w:rsid w:val="000F384D"/>
    <w:rsid w:val="000F3904"/>
    <w:rsid w:val="000F3979"/>
    <w:rsid w:val="000F39B8"/>
    <w:rsid w:val="000F3A30"/>
    <w:rsid w:val="000F3A50"/>
    <w:rsid w:val="000F3B6B"/>
    <w:rsid w:val="000F3C48"/>
    <w:rsid w:val="000F3C89"/>
    <w:rsid w:val="000F3DAF"/>
    <w:rsid w:val="000F3DD7"/>
    <w:rsid w:val="000F3ED5"/>
    <w:rsid w:val="000F3FD7"/>
    <w:rsid w:val="000F411B"/>
    <w:rsid w:val="000F4349"/>
    <w:rsid w:val="000F441A"/>
    <w:rsid w:val="000F4629"/>
    <w:rsid w:val="000F4654"/>
    <w:rsid w:val="000F4759"/>
    <w:rsid w:val="000F4A82"/>
    <w:rsid w:val="000F4B84"/>
    <w:rsid w:val="000F4D81"/>
    <w:rsid w:val="000F4E44"/>
    <w:rsid w:val="000F4E9C"/>
    <w:rsid w:val="000F4F5F"/>
    <w:rsid w:val="000F5114"/>
    <w:rsid w:val="000F541E"/>
    <w:rsid w:val="000F54E6"/>
    <w:rsid w:val="000F54F5"/>
    <w:rsid w:val="000F56B7"/>
    <w:rsid w:val="000F5A0E"/>
    <w:rsid w:val="000F5A86"/>
    <w:rsid w:val="000F5AB7"/>
    <w:rsid w:val="000F5ADE"/>
    <w:rsid w:val="000F5B08"/>
    <w:rsid w:val="000F5B21"/>
    <w:rsid w:val="000F5B6F"/>
    <w:rsid w:val="000F5E21"/>
    <w:rsid w:val="000F60CA"/>
    <w:rsid w:val="000F60CB"/>
    <w:rsid w:val="000F6221"/>
    <w:rsid w:val="000F62D9"/>
    <w:rsid w:val="000F6328"/>
    <w:rsid w:val="000F6341"/>
    <w:rsid w:val="000F63C6"/>
    <w:rsid w:val="000F6572"/>
    <w:rsid w:val="000F67B2"/>
    <w:rsid w:val="000F67DC"/>
    <w:rsid w:val="000F67FC"/>
    <w:rsid w:val="000F68A6"/>
    <w:rsid w:val="000F68C7"/>
    <w:rsid w:val="000F6994"/>
    <w:rsid w:val="000F69A3"/>
    <w:rsid w:val="000F6B24"/>
    <w:rsid w:val="000F6C76"/>
    <w:rsid w:val="000F6CBD"/>
    <w:rsid w:val="000F6D2B"/>
    <w:rsid w:val="000F6D4B"/>
    <w:rsid w:val="000F6E32"/>
    <w:rsid w:val="000F7049"/>
    <w:rsid w:val="000F7151"/>
    <w:rsid w:val="000F715C"/>
    <w:rsid w:val="000F71C1"/>
    <w:rsid w:val="000F7237"/>
    <w:rsid w:val="000F732E"/>
    <w:rsid w:val="000F74F9"/>
    <w:rsid w:val="000F7552"/>
    <w:rsid w:val="000F7599"/>
    <w:rsid w:val="000F75EF"/>
    <w:rsid w:val="000F7628"/>
    <w:rsid w:val="000F7717"/>
    <w:rsid w:val="000F77BA"/>
    <w:rsid w:val="000F7856"/>
    <w:rsid w:val="000F7AEB"/>
    <w:rsid w:val="000F7B87"/>
    <w:rsid w:val="000F7C96"/>
    <w:rsid w:val="000F7DC3"/>
    <w:rsid w:val="000F7DEA"/>
    <w:rsid w:val="000F7DF0"/>
    <w:rsid w:val="001000CB"/>
    <w:rsid w:val="0010016B"/>
    <w:rsid w:val="00100336"/>
    <w:rsid w:val="00100358"/>
    <w:rsid w:val="00100440"/>
    <w:rsid w:val="00100445"/>
    <w:rsid w:val="00100648"/>
    <w:rsid w:val="00100708"/>
    <w:rsid w:val="001007ED"/>
    <w:rsid w:val="00100D47"/>
    <w:rsid w:val="00100E5D"/>
    <w:rsid w:val="001010D5"/>
    <w:rsid w:val="001011C1"/>
    <w:rsid w:val="0010125D"/>
    <w:rsid w:val="00101400"/>
    <w:rsid w:val="00101570"/>
    <w:rsid w:val="001015BA"/>
    <w:rsid w:val="00101700"/>
    <w:rsid w:val="001017D9"/>
    <w:rsid w:val="00101839"/>
    <w:rsid w:val="0010184E"/>
    <w:rsid w:val="00101855"/>
    <w:rsid w:val="001018B0"/>
    <w:rsid w:val="00101AD0"/>
    <w:rsid w:val="00101C90"/>
    <w:rsid w:val="00101CB9"/>
    <w:rsid w:val="00101E2E"/>
    <w:rsid w:val="00101E91"/>
    <w:rsid w:val="00101F0F"/>
    <w:rsid w:val="00101F4B"/>
    <w:rsid w:val="00101F4D"/>
    <w:rsid w:val="00102056"/>
    <w:rsid w:val="00102063"/>
    <w:rsid w:val="001022B9"/>
    <w:rsid w:val="001023C2"/>
    <w:rsid w:val="00102519"/>
    <w:rsid w:val="001025AC"/>
    <w:rsid w:val="001026E6"/>
    <w:rsid w:val="0010274F"/>
    <w:rsid w:val="00102855"/>
    <w:rsid w:val="0010288E"/>
    <w:rsid w:val="001029CF"/>
    <w:rsid w:val="00102B9F"/>
    <w:rsid w:val="00102BED"/>
    <w:rsid w:val="00102C34"/>
    <w:rsid w:val="00102DDC"/>
    <w:rsid w:val="00102E0B"/>
    <w:rsid w:val="00102E43"/>
    <w:rsid w:val="001030C5"/>
    <w:rsid w:val="0010315E"/>
    <w:rsid w:val="00103176"/>
    <w:rsid w:val="00103248"/>
    <w:rsid w:val="001032C5"/>
    <w:rsid w:val="001032C7"/>
    <w:rsid w:val="001032EE"/>
    <w:rsid w:val="001033D1"/>
    <w:rsid w:val="001035C4"/>
    <w:rsid w:val="00103840"/>
    <w:rsid w:val="0010385E"/>
    <w:rsid w:val="00103860"/>
    <w:rsid w:val="00103925"/>
    <w:rsid w:val="001039F7"/>
    <w:rsid w:val="00103BAC"/>
    <w:rsid w:val="00103C01"/>
    <w:rsid w:val="00103EF7"/>
    <w:rsid w:val="00104001"/>
    <w:rsid w:val="00104030"/>
    <w:rsid w:val="00104077"/>
    <w:rsid w:val="00104129"/>
    <w:rsid w:val="001042F1"/>
    <w:rsid w:val="00104306"/>
    <w:rsid w:val="0010441A"/>
    <w:rsid w:val="001044DC"/>
    <w:rsid w:val="001044DD"/>
    <w:rsid w:val="001044FB"/>
    <w:rsid w:val="00104540"/>
    <w:rsid w:val="001045B0"/>
    <w:rsid w:val="001047E6"/>
    <w:rsid w:val="001047FB"/>
    <w:rsid w:val="0010488C"/>
    <w:rsid w:val="00104BD0"/>
    <w:rsid w:val="00104C31"/>
    <w:rsid w:val="00104E95"/>
    <w:rsid w:val="00105038"/>
    <w:rsid w:val="001050C0"/>
    <w:rsid w:val="00105364"/>
    <w:rsid w:val="001053AA"/>
    <w:rsid w:val="0010559A"/>
    <w:rsid w:val="00105689"/>
    <w:rsid w:val="0010569B"/>
    <w:rsid w:val="0010585F"/>
    <w:rsid w:val="0010586F"/>
    <w:rsid w:val="00105A81"/>
    <w:rsid w:val="00105A87"/>
    <w:rsid w:val="00105AB0"/>
    <w:rsid w:val="00105B2E"/>
    <w:rsid w:val="00105B54"/>
    <w:rsid w:val="00105BFB"/>
    <w:rsid w:val="00105C14"/>
    <w:rsid w:val="00105C6D"/>
    <w:rsid w:val="00105D93"/>
    <w:rsid w:val="00105E10"/>
    <w:rsid w:val="00105EE3"/>
    <w:rsid w:val="0010605C"/>
    <w:rsid w:val="00106080"/>
    <w:rsid w:val="001061CC"/>
    <w:rsid w:val="00106214"/>
    <w:rsid w:val="001062A2"/>
    <w:rsid w:val="00106323"/>
    <w:rsid w:val="00106405"/>
    <w:rsid w:val="001064A9"/>
    <w:rsid w:val="0010666D"/>
    <w:rsid w:val="0010669D"/>
    <w:rsid w:val="00106721"/>
    <w:rsid w:val="001067BA"/>
    <w:rsid w:val="0010694C"/>
    <w:rsid w:val="00106A09"/>
    <w:rsid w:val="00106BA4"/>
    <w:rsid w:val="00106C05"/>
    <w:rsid w:val="00106CA3"/>
    <w:rsid w:val="00106D96"/>
    <w:rsid w:val="00106F45"/>
    <w:rsid w:val="00106FC9"/>
    <w:rsid w:val="0010705E"/>
    <w:rsid w:val="001070BC"/>
    <w:rsid w:val="001071A4"/>
    <w:rsid w:val="001071AA"/>
    <w:rsid w:val="00107246"/>
    <w:rsid w:val="00107290"/>
    <w:rsid w:val="001072A2"/>
    <w:rsid w:val="001073B5"/>
    <w:rsid w:val="00107427"/>
    <w:rsid w:val="001075E9"/>
    <w:rsid w:val="0010761D"/>
    <w:rsid w:val="00107670"/>
    <w:rsid w:val="001076E2"/>
    <w:rsid w:val="001076FC"/>
    <w:rsid w:val="00107755"/>
    <w:rsid w:val="001077B6"/>
    <w:rsid w:val="0010785A"/>
    <w:rsid w:val="001078CB"/>
    <w:rsid w:val="00107920"/>
    <w:rsid w:val="001079ED"/>
    <w:rsid w:val="00107BA5"/>
    <w:rsid w:val="00107BB4"/>
    <w:rsid w:val="00107C1F"/>
    <w:rsid w:val="00107C4B"/>
    <w:rsid w:val="00107C5E"/>
    <w:rsid w:val="00107DAC"/>
    <w:rsid w:val="00107F49"/>
    <w:rsid w:val="00107FA6"/>
    <w:rsid w:val="00107FA8"/>
    <w:rsid w:val="001102ED"/>
    <w:rsid w:val="001104C5"/>
    <w:rsid w:val="00110512"/>
    <w:rsid w:val="0011064E"/>
    <w:rsid w:val="001106C6"/>
    <w:rsid w:val="0011090E"/>
    <w:rsid w:val="001109BB"/>
    <w:rsid w:val="001109CB"/>
    <w:rsid w:val="001109F2"/>
    <w:rsid w:val="00110D04"/>
    <w:rsid w:val="00110D2B"/>
    <w:rsid w:val="00110DEE"/>
    <w:rsid w:val="00110E86"/>
    <w:rsid w:val="00111081"/>
    <w:rsid w:val="001110B9"/>
    <w:rsid w:val="00111352"/>
    <w:rsid w:val="001113D8"/>
    <w:rsid w:val="001113F7"/>
    <w:rsid w:val="00111457"/>
    <w:rsid w:val="00111856"/>
    <w:rsid w:val="00111859"/>
    <w:rsid w:val="001118FB"/>
    <w:rsid w:val="001119B1"/>
    <w:rsid w:val="00111A8E"/>
    <w:rsid w:val="00111EF5"/>
    <w:rsid w:val="0011208B"/>
    <w:rsid w:val="0011211E"/>
    <w:rsid w:val="00112138"/>
    <w:rsid w:val="001122B1"/>
    <w:rsid w:val="00112323"/>
    <w:rsid w:val="00112627"/>
    <w:rsid w:val="00112775"/>
    <w:rsid w:val="001127D1"/>
    <w:rsid w:val="00112874"/>
    <w:rsid w:val="001128DA"/>
    <w:rsid w:val="00112995"/>
    <w:rsid w:val="001129A1"/>
    <w:rsid w:val="00112AB1"/>
    <w:rsid w:val="00112B6F"/>
    <w:rsid w:val="00112D32"/>
    <w:rsid w:val="00112E03"/>
    <w:rsid w:val="00113098"/>
    <w:rsid w:val="0011322B"/>
    <w:rsid w:val="00113386"/>
    <w:rsid w:val="00113522"/>
    <w:rsid w:val="001137E3"/>
    <w:rsid w:val="00113894"/>
    <w:rsid w:val="00113907"/>
    <w:rsid w:val="00113925"/>
    <w:rsid w:val="001139C4"/>
    <w:rsid w:val="00113B7A"/>
    <w:rsid w:val="00113BB0"/>
    <w:rsid w:val="00113C97"/>
    <w:rsid w:val="00113D46"/>
    <w:rsid w:val="00113DA5"/>
    <w:rsid w:val="00113EE4"/>
    <w:rsid w:val="00113EE9"/>
    <w:rsid w:val="0011412B"/>
    <w:rsid w:val="0011432B"/>
    <w:rsid w:val="001143ED"/>
    <w:rsid w:val="00114421"/>
    <w:rsid w:val="001144AA"/>
    <w:rsid w:val="0011458F"/>
    <w:rsid w:val="001145E7"/>
    <w:rsid w:val="00114650"/>
    <w:rsid w:val="00114672"/>
    <w:rsid w:val="0011487E"/>
    <w:rsid w:val="00114C17"/>
    <w:rsid w:val="00114C7E"/>
    <w:rsid w:val="00114E00"/>
    <w:rsid w:val="00114E2A"/>
    <w:rsid w:val="00114E7D"/>
    <w:rsid w:val="00114F68"/>
    <w:rsid w:val="00114FBA"/>
    <w:rsid w:val="001150D5"/>
    <w:rsid w:val="001153EC"/>
    <w:rsid w:val="00115686"/>
    <w:rsid w:val="001158D4"/>
    <w:rsid w:val="001158FC"/>
    <w:rsid w:val="00115A13"/>
    <w:rsid w:val="00115A24"/>
    <w:rsid w:val="00115C62"/>
    <w:rsid w:val="00115D79"/>
    <w:rsid w:val="00115DAE"/>
    <w:rsid w:val="00115EC2"/>
    <w:rsid w:val="00115ED7"/>
    <w:rsid w:val="00115EE6"/>
    <w:rsid w:val="001160D2"/>
    <w:rsid w:val="00116104"/>
    <w:rsid w:val="001161BF"/>
    <w:rsid w:val="00116288"/>
    <w:rsid w:val="0011639B"/>
    <w:rsid w:val="001163BA"/>
    <w:rsid w:val="00116533"/>
    <w:rsid w:val="00116682"/>
    <w:rsid w:val="00116747"/>
    <w:rsid w:val="00116816"/>
    <w:rsid w:val="0011692D"/>
    <w:rsid w:val="001169BA"/>
    <w:rsid w:val="00116A89"/>
    <w:rsid w:val="00116AD8"/>
    <w:rsid w:val="00116AEF"/>
    <w:rsid w:val="00116B3F"/>
    <w:rsid w:val="00116BDD"/>
    <w:rsid w:val="00116DAE"/>
    <w:rsid w:val="00116F0E"/>
    <w:rsid w:val="00117127"/>
    <w:rsid w:val="001173C5"/>
    <w:rsid w:val="001173D2"/>
    <w:rsid w:val="00117539"/>
    <w:rsid w:val="00117548"/>
    <w:rsid w:val="00117737"/>
    <w:rsid w:val="0011777D"/>
    <w:rsid w:val="00117894"/>
    <w:rsid w:val="00117A47"/>
    <w:rsid w:val="00117B51"/>
    <w:rsid w:val="00117BA8"/>
    <w:rsid w:val="00117BB2"/>
    <w:rsid w:val="00117D12"/>
    <w:rsid w:val="00117DF3"/>
    <w:rsid w:val="00117EBC"/>
    <w:rsid w:val="0012030C"/>
    <w:rsid w:val="00120319"/>
    <w:rsid w:val="001205E3"/>
    <w:rsid w:val="001205F8"/>
    <w:rsid w:val="0012066C"/>
    <w:rsid w:val="00120762"/>
    <w:rsid w:val="001207BB"/>
    <w:rsid w:val="001208CD"/>
    <w:rsid w:val="0012095F"/>
    <w:rsid w:val="00120A13"/>
    <w:rsid w:val="00120A6D"/>
    <w:rsid w:val="00120AE4"/>
    <w:rsid w:val="00120C7D"/>
    <w:rsid w:val="00120D5F"/>
    <w:rsid w:val="00120DAC"/>
    <w:rsid w:val="00120E08"/>
    <w:rsid w:val="00120EB4"/>
    <w:rsid w:val="00120F76"/>
    <w:rsid w:val="00121107"/>
    <w:rsid w:val="00121156"/>
    <w:rsid w:val="001211B3"/>
    <w:rsid w:val="001211D8"/>
    <w:rsid w:val="0012120B"/>
    <w:rsid w:val="0012125B"/>
    <w:rsid w:val="00121284"/>
    <w:rsid w:val="0012132C"/>
    <w:rsid w:val="001214C8"/>
    <w:rsid w:val="0012151C"/>
    <w:rsid w:val="00121544"/>
    <w:rsid w:val="00121652"/>
    <w:rsid w:val="001216A7"/>
    <w:rsid w:val="001216D9"/>
    <w:rsid w:val="00121861"/>
    <w:rsid w:val="00121AB7"/>
    <w:rsid w:val="00121B7E"/>
    <w:rsid w:val="00121D29"/>
    <w:rsid w:val="00121F57"/>
    <w:rsid w:val="00121FA3"/>
    <w:rsid w:val="001220C9"/>
    <w:rsid w:val="001220E0"/>
    <w:rsid w:val="00122112"/>
    <w:rsid w:val="001222F2"/>
    <w:rsid w:val="00122321"/>
    <w:rsid w:val="001223C4"/>
    <w:rsid w:val="0012245C"/>
    <w:rsid w:val="001224BB"/>
    <w:rsid w:val="00122535"/>
    <w:rsid w:val="001225CE"/>
    <w:rsid w:val="00122641"/>
    <w:rsid w:val="00122685"/>
    <w:rsid w:val="001226BF"/>
    <w:rsid w:val="001226F8"/>
    <w:rsid w:val="0012271D"/>
    <w:rsid w:val="001227F6"/>
    <w:rsid w:val="00122814"/>
    <w:rsid w:val="001229F9"/>
    <w:rsid w:val="00122D57"/>
    <w:rsid w:val="00122DEC"/>
    <w:rsid w:val="00122EB5"/>
    <w:rsid w:val="00122EB6"/>
    <w:rsid w:val="00122F00"/>
    <w:rsid w:val="00122F2F"/>
    <w:rsid w:val="00122FD9"/>
    <w:rsid w:val="0012307C"/>
    <w:rsid w:val="0012322E"/>
    <w:rsid w:val="00123248"/>
    <w:rsid w:val="0012334C"/>
    <w:rsid w:val="00123371"/>
    <w:rsid w:val="001234D4"/>
    <w:rsid w:val="00123515"/>
    <w:rsid w:val="00123613"/>
    <w:rsid w:val="00123712"/>
    <w:rsid w:val="00123973"/>
    <w:rsid w:val="00123999"/>
    <w:rsid w:val="001239CB"/>
    <w:rsid w:val="00123A4E"/>
    <w:rsid w:val="00123AE2"/>
    <w:rsid w:val="00123BD4"/>
    <w:rsid w:val="00123D89"/>
    <w:rsid w:val="00123DA7"/>
    <w:rsid w:val="00123EA6"/>
    <w:rsid w:val="00123F6B"/>
    <w:rsid w:val="00123F7C"/>
    <w:rsid w:val="00124058"/>
    <w:rsid w:val="00124185"/>
    <w:rsid w:val="001241D2"/>
    <w:rsid w:val="001241F1"/>
    <w:rsid w:val="001244B7"/>
    <w:rsid w:val="001244DB"/>
    <w:rsid w:val="001244F8"/>
    <w:rsid w:val="00124521"/>
    <w:rsid w:val="00124561"/>
    <w:rsid w:val="0012462E"/>
    <w:rsid w:val="001246CC"/>
    <w:rsid w:val="001246FC"/>
    <w:rsid w:val="00124810"/>
    <w:rsid w:val="0012495A"/>
    <w:rsid w:val="001249AA"/>
    <w:rsid w:val="00124A35"/>
    <w:rsid w:val="00124B0B"/>
    <w:rsid w:val="00124B47"/>
    <w:rsid w:val="00124C8F"/>
    <w:rsid w:val="00124CA5"/>
    <w:rsid w:val="00124E80"/>
    <w:rsid w:val="00124EC1"/>
    <w:rsid w:val="00125024"/>
    <w:rsid w:val="001254E3"/>
    <w:rsid w:val="001255AF"/>
    <w:rsid w:val="001256FA"/>
    <w:rsid w:val="001257F6"/>
    <w:rsid w:val="001257FE"/>
    <w:rsid w:val="00125805"/>
    <w:rsid w:val="00125882"/>
    <w:rsid w:val="0012590B"/>
    <w:rsid w:val="00125A46"/>
    <w:rsid w:val="00125A55"/>
    <w:rsid w:val="00125A6E"/>
    <w:rsid w:val="00125B8A"/>
    <w:rsid w:val="00125C2A"/>
    <w:rsid w:val="00125DEA"/>
    <w:rsid w:val="00125E1D"/>
    <w:rsid w:val="00125E64"/>
    <w:rsid w:val="00125FAE"/>
    <w:rsid w:val="00126000"/>
    <w:rsid w:val="00126169"/>
    <w:rsid w:val="001261DC"/>
    <w:rsid w:val="001262AF"/>
    <w:rsid w:val="00126398"/>
    <w:rsid w:val="001263F4"/>
    <w:rsid w:val="00126495"/>
    <w:rsid w:val="001264AE"/>
    <w:rsid w:val="001266BA"/>
    <w:rsid w:val="00126825"/>
    <w:rsid w:val="0012689F"/>
    <w:rsid w:val="001268B1"/>
    <w:rsid w:val="00126B91"/>
    <w:rsid w:val="00126C02"/>
    <w:rsid w:val="00126D4C"/>
    <w:rsid w:val="00126E05"/>
    <w:rsid w:val="00126F61"/>
    <w:rsid w:val="001270AE"/>
    <w:rsid w:val="00127171"/>
    <w:rsid w:val="00127374"/>
    <w:rsid w:val="00127378"/>
    <w:rsid w:val="001275C6"/>
    <w:rsid w:val="001277FA"/>
    <w:rsid w:val="00127877"/>
    <w:rsid w:val="001278C5"/>
    <w:rsid w:val="001278C9"/>
    <w:rsid w:val="00127BF9"/>
    <w:rsid w:val="00127DCA"/>
    <w:rsid w:val="00127E0E"/>
    <w:rsid w:val="00127F47"/>
    <w:rsid w:val="001300C0"/>
    <w:rsid w:val="001301C9"/>
    <w:rsid w:val="001302B6"/>
    <w:rsid w:val="001302CE"/>
    <w:rsid w:val="00130629"/>
    <w:rsid w:val="0013076E"/>
    <w:rsid w:val="0013077E"/>
    <w:rsid w:val="001307B3"/>
    <w:rsid w:val="00130CBE"/>
    <w:rsid w:val="00130CE4"/>
    <w:rsid w:val="00130E93"/>
    <w:rsid w:val="00130F51"/>
    <w:rsid w:val="0013116C"/>
    <w:rsid w:val="00131322"/>
    <w:rsid w:val="00131361"/>
    <w:rsid w:val="00131481"/>
    <w:rsid w:val="001314A0"/>
    <w:rsid w:val="00131573"/>
    <w:rsid w:val="00131611"/>
    <w:rsid w:val="001316CF"/>
    <w:rsid w:val="00131777"/>
    <w:rsid w:val="0013184B"/>
    <w:rsid w:val="0013193B"/>
    <w:rsid w:val="00131969"/>
    <w:rsid w:val="00131CA3"/>
    <w:rsid w:val="00131CFE"/>
    <w:rsid w:val="00131E54"/>
    <w:rsid w:val="00131EB6"/>
    <w:rsid w:val="00131FDC"/>
    <w:rsid w:val="0013211B"/>
    <w:rsid w:val="00132185"/>
    <w:rsid w:val="00132374"/>
    <w:rsid w:val="001323C7"/>
    <w:rsid w:val="001324E8"/>
    <w:rsid w:val="00132519"/>
    <w:rsid w:val="001325E9"/>
    <w:rsid w:val="00132637"/>
    <w:rsid w:val="001328F4"/>
    <w:rsid w:val="001329D2"/>
    <w:rsid w:val="001329D6"/>
    <w:rsid w:val="001329F4"/>
    <w:rsid w:val="00132B3D"/>
    <w:rsid w:val="00132B5F"/>
    <w:rsid w:val="00132C9B"/>
    <w:rsid w:val="00132EDB"/>
    <w:rsid w:val="00133312"/>
    <w:rsid w:val="00133467"/>
    <w:rsid w:val="0013346C"/>
    <w:rsid w:val="001337E6"/>
    <w:rsid w:val="00133888"/>
    <w:rsid w:val="001338BA"/>
    <w:rsid w:val="001338F1"/>
    <w:rsid w:val="00133A4B"/>
    <w:rsid w:val="00133B8B"/>
    <w:rsid w:val="00133BE1"/>
    <w:rsid w:val="00133C5A"/>
    <w:rsid w:val="00133C9D"/>
    <w:rsid w:val="00133E28"/>
    <w:rsid w:val="00133EF0"/>
    <w:rsid w:val="00133F0C"/>
    <w:rsid w:val="00133F4F"/>
    <w:rsid w:val="00133F9A"/>
    <w:rsid w:val="00134036"/>
    <w:rsid w:val="0013413D"/>
    <w:rsid w:val="00134342"/>
    <w:rsid w:val="00134425"/>
    <w:rsid w:val="00134449"/>
    <w:rsid w:val="00134496"/>
    <w:rsid w:val="001344D3"/>
    <w:rsid w:val="001345D5"/>
    <w:rsid w:val="001345DD"/>
    <w:rsid w:val="00134762"/>
    <w:rsid w:val="001348AD"/>
    <w:rsid w:val="00134A62"/>
    <w:rsid w:val="00134B0D"/>
    <w:rsid w:val="00134DB1"/>
    <w:rsid w:val="001350D7"/>
    <w:rsid w:val="001350F0"/>
    <w:rsid w:val="00135130"/>
    <w:rsid w:val="001351AC"/>
    <w:rsid w:val="001351BF"/>
    <w:rsid w:val="001352BB"/>
    <w:rsid w:val="00135355"/>
    <w:rsid w:val="0013537C"/>
    <w:rsid w:val="001353FE"/>
    <w:rsid w:val="00135555"/>
    <w:rsid w:val="001355EC"/>
    <w:rsid w:val="001355F6"/>
    <w:rsid w:val="00135619"/>
    <w:rsid w:val="001356F4"/>
    <w:rsid w:val="00135731"/>
    <w:rsid w:val="00135786"/>
    <w:rsid w:val="001357E1"/>
    <w:rsid w:val="00135894"/>
    <w:rsid w:val="001358F9"/>
    <w:rsid w:val="00135968"/>
    <w:rsid w:val="00135999"/>
    <w:rsid w:val="001359EA"/>
    <w:rsid w:val="00135AD9"/>
    <w:rsid w:val="00135B77"/>
    <w:rsid w:val="00135D43"/>
    <w:rsid w:val="00135DB5"/>
    <w:rsid w:val="00135E81"/>
    <w:rsid w:val="00135EE6"/>
    <w:rsid w:val="00136086"/>
    <w:rsid w:val="001362B4"/>
    <w:rsid w:val="001362C9"/>
    <w:rsid w:val="0013657D"/>
    <w:rsid w:val="0013677A"/>
    <w:rsid w:val="0013696C"/>
    <w:rsid w:val="00136979"/>
    <w:rsid w:val="00136A36"/>
    <w:rsid w:val="00136BA2"/>
    <w:rsid w:val="00136D60"/>
    <w:rsid w:val="00136EAE"/>
    <w:rsid w:val="00136FC5"/>
    <w:rsid w:val="001370F5"/>
    <w:rsid w:val="00137139"/>
    <w:rsid w:val="0013729F"/>
    <w:rsid w:val="00137338"/>
    <w:rsid w:val="00137469"/>
    <w:rsid w:val="0013746D"/>
    <w:rsid w:val="00137500"/>
    <w:rsid w:val="00137504"/>
    <w:rsid w:val="001376F1"/>
    <w:rsid w:val="00137715"/>
    <w:rsid w:val="00137796"/>
    <w:rsid w:val="0013787E"/>
    <w:rsid w:val="001378B5"/>
    <w:rsid w:val="00137937"/>
    <w:rsid w:val="001379B2"/>
    <w:rsid w:val="00137A0C"/>
    <w:rsid w:val="00137A6B"/>
    <w:rsid w:val="00137A80"/>
    <w:rsid w:val="00137A86"/>
    <w:rsid w:val="00137B70"/>
    <w:rsid w:val="00137E7C"/>
    <w:rsid w:val="00137F07"/>
    <w:rsid w:val="00137F11"/>
    <w:rsid w:val="00137F5F"/>
    <w:rsid w:val="00140016"/>
    <w:rsid w:val="0014005A"/>
    <w:rsid w:val="00140243"/>
    <w:rsid w:val="00140277"/>
    <w:rsid w:val="00140386"/>
    <w:rsid w:val="001403AF"/>
    <w:rsid w:val="001403CE"/>
    <w:rsid w:val="0014040D"/>
    <w:rsid w:val="001404AB"/>
    <w:rsid w:val="001404AF"/>
    <w:rsid w:val="001404E6"/>
    <w:rsid w:val="001405BA"/>
    <w:rsid w:val="00140626"/>
    <w:rsid w:val="00140777"/>
    <w:rsid w:val="00140882"/>
    <w:rsid w:val="00140ADC"/>
    <w:rsid w:val="00140B2B"/>
    <w:rsid w:val="00140B5C"/>
    <w:rsid w:val="00140BC4"/>
    <w:rsid w:val="00140C13"/>
    <w:rsid w:val="00140C70"/>
    <w:rsid w:val="00140CC1"/>
    <w:rsid w:val="00140E3B"/>
    <w:rsid w:val="00140F7A"/>
    <w:rsid w:val="00140FF6"/>
    <w:rsid w:val="0014100D"/>
    <w:rsid w:val="0014109C"/>
    <w:rsid w:val="001410EF"/>
    <w:rsid w:val="00141122"/>
    <w:rsid w:val="00141216"/>
    <w:rsid w:val="001412E0"/>
    <w:rsid w:val="00141302"/>
    <w:rsid w:val="00141304"/>
    <w:rsid w:val="001414C1"/>
    <w:rsid w:val="00141502"/>
    <w:rsid w:val="00141515"/>
    <w:rsid w:val="0014191C"/>
    <w:rsid w:val="00141A3F"/>
    <w:rsid w:val="00141A62"/>
    <w:rsid w:val="00141C42"/>
    <w:rsid w:val="00141CF1"/>
    <w:rsid w:val="00141E3F"/>
    <w:rsid w:val="00141EA3"/>
    <w:rsid w:val="00141FB3"/>
    <w:rsid w:val="001420A7"/>
    <w:rsid w:val="00142143"/>
    <w:rsid w:val="00142369"/>
    <w:rsid w:val="0014268D"/>
    <w:rsid w:val="0014269C"/>
    <w:rsid w:val="001427F9"/>
    <w:rsid w:val="00142811"/>
    <w:rsid w:val="00142867"/>
    <w:rsid w:val="00142921"/>
    <w:rsid w:val="001429BC"/>
    <w:rsid w:val="00142A50"/>
    <w:rsid w:val="00142AEA"/>
    <w:rsid w:val="00142BF1"/>
    <w:rsid w:val="00142C17"/>
    <w:rsid w:val="00142E0A"/>
    <w:rsid w:val="00142E20"/>
    <w:rsid w:val="00142F23"/>
    <w:rsid w:val="0014303D"/>
    <w:rsid w:val="001431E3"/>
    <w:rsid w:val="001431F6"/>
    <w:rsid w:val="001432FD"/>
    <w:rsid w:val="00143438"/>
    <w:rsid w:val="00143447"/>
    <w:rsid w:val="001434F4"/>
    <w:rsid w:val="00143532"/>
    <w:rsid w:val="001435C4"/>
    <w:rsid w:val="001435FE"/>
    <w:rsid w:val="00143654"/>
    <w:rsid w:val="00143686"/>
    <w:rsid w:val="00143870"/>
    <w:rsid w:val="00143887"/>
    <w:rsid w:val="00143A65"/>
    <w:rsid w:val="00143AC0"/>
    <w:rsid w:val="00143CC2"/>
    <w:rsid w:val="00143D74"/>
    <w:rsid w:val="00143E68"/>
    <w:rsid w:val="00144115"/>
    <w:rsid w:val="00144182"/>
    <w:rsid w:val="00144317"/>
    <w:rsid w:val="0014434F"/>
    <w:rsid w:val="00144445"/>
    <w:rsid w:val="00144489"/>
    <w:rsid w:val="0014448D"/>
    <w:rsid w:val="001444AE"/>
    <w:rsid w:val="00144624"/>
    <w:rsid w:val="001446C0"/>
    <w:rsid w:val="00144917"/>
    <w:rsid w:val="00144B29"/>
    <w:rsid w:val="00144B5B"/>
    <w:rsid w:val="00144B7C"/>
    <w:rsid w:val="00144BEC"/>
    <w:rsid w:val="00144C14"/>
    <w:rsid w:val="00144C1C"/>
    <w:rsid w:val="00144D91"/>
    <w:rsid w:val="00144F19"/>
    <w:rsid w:val="00144F3E"/>
    <w:rsid w:val="00144F6D"/>
    <w:rsid w:val="00145077"/>
    <w:rsid w:val="00145270"/>
    <w:rsid w:val="001453D7"/>
    <w:rsid w:val="001453E3"/>
    <w:rsid w:val="001457CC"/>
    <w:rsid w:val="0014597D"/>
    <w:rsid w:val="00145D5B"/>
    <w:rsid w:val="00145FA7"/>
    <w:rsid w:val="001460C4"/>
    <w:rsid w:val="001460E7"/>
    <w:rsid w:val="0014619B"/>
    <w:rsid w:val="00146512"/>
    <w:rsid w:val="001466CF"/>
    <w:rsid w:val="0014679A"/>
    <w:rsid w:val="0014682C"/>
    <w:rsid w:val="00146852"/>
    <w:rsid w:val="00146891"/>
    <w:rsid w:val="001468BF"/>
    <w:rsid w:val="00146A7F"/>
    <w:rsid w:val="00146DBD"/>
    <w:rsid w:val="00146E4A"/>
    <w:rsid w:val="00146F0E"/>
    <w:rsid w:val="00146F18"/>
    <w:rsid w:val="001471B0"/>
    <w:rsid w:val="00147263"/>
    <w:rsid w:val="001472D9"/>
    <w:rsid w:val="00147505"/>
    <w:rsid w:val="0014754B"/>
    <w:rsid w:val="00147557"/>
    <w:rsid w:val="0014769A"/>
    <w:rsid w:val="001476AA"/>
    <w:rsid w:val="00147829"/>
    <w:rsid w:val="00147AE4"/>
    <w:rsid w:val="00147B14"/>
    <w:rsid w:val="00147B23"/>
    <w:rsid w:val="00147E4B"/>
    <w:rsid w:val="00147E8E"/>
    <w:rsid w:val="00147FDE"/>
    <w:rsid w:val="0015002C"/>
    <w:rsid w:val="00150197"/>
    <w:rsid w:val="001501CE"/>
    <w:rsid w:val="00150253"/>
    <w:rsid w:val="001502CB"/>
    <w:rsid w:val="001503B7"/>
    <w:rsid w:val="00150568"/>
    <w:rsid w:val="00150728"/>
    <w:rsid w:val="001508C5"/>
    <w:rsid w:val="00150988"/>
    <w:rsid w:val="00150A1C"/>
    <w:rsid w:val="00150D8A"/>
    <w:rsid w:val="00150E3A"/>
    <w:rsid w:val="00150F33"/>
    <w:rsid w:val="00150FE8"/>
    <w:rsid w:val="00151127"/>
    <w:rsid w:val="00151142"/>
    <w:rsid w:val="00151195"/>
    <w:rsid w:val="0015127E"/>
    <w:rsid w:val="00151296"/>
    <w:rsid w:val="00151371"/>
    <w:rsid w:val="001513A4"/>
    <w:rsid w:val="001513B8"/>
    <w:rsid w:val="001514AF"/>
    <w:rsid w:val="001515A1"/>
    <w:rsid w:val="00151758"/>
    <w:rsid w:val="001518A4"/>
    <w:rsid w:val="00151A3A"/>
    <w:rsid w:val="00151BC8"/>
    <w:rsid w:val="00151C56"/>
    <w:rsid w:val="00151DDA"/>
    <w:rsid w:val="00151F2A"/>
    <w:rsid w:val="00151F9F"/>
    <w:rsid w:val="0015202F"/>
    <w:rsid w:val="001524B2"/>
    <w:rsid w:val="0015257D"/>
    <w:rsid w:val="00152650"/>
    <w:rsid w:val="00152656"/>
    <w:rsid w:val="0015270E"/>
    <w:rsid w:val="00152821"/>
    <w:rsid w:val="00152886"/>
    <w:rsid w:val="001529A4"/>
    <w:rsid w:val="001529C7"/>
    <w:rsid w:val="0015314D"/>
    <w:rsid w:val="00153181"/>
    <w:rsid w:val="0015328C"/>
    <w:rsid w:val="001532A9"/>
    <w:rsid w:val="0015338D"/>
    <w:rsid w:val="001535F6"/>
    <w:rsid w:val="00153619"/>
    <w:rsid w:val="00153786"/>
    <w:rsid w:val="00153793"/>
    <w:rsid w:val="001539F6"/>
    <w:rsid w:val="00153B21"/>
    <w:rsid w:val="00153B2C"/>
    <w:rsid w:val="00153B93"/>
    <w:rsid w:val="00153C10"/>
    <w:rsid w:val="00153CBB"/>
    <w:rsid w:val="00153CD8"/>
    <w:rsid w:val="00153DFB"/>
    <w:rsid w:val="00153E3F"/>
    <w:rsid w:val="00153F72"/>
    <w:rsid w:val="0015407A"/>
    <w:rsid w:val="0015412D"/>
    <w:rsid w:val="00154176"/>
    <w:rsid w:val="001541AF"/>
    <w:rsid w:val="001542EE"/>
    <w:rsid w:val="00154339"/>
    <w:rsid w:val="00154378"/>
    <w:rsid w:val="0015476A"/>
    <w:rsid w:val="001547FE"/>
    <w:rsid w:val="0015481D"/>
    <w:rsid w:val="0015481F"/>
    <w:rsid w:val="00154889"/>
    <w:rsid w:val="001548BE"/>
    <w:rsid w:val="00154966"/>
    <w:rsid w:val="00154990"/>
    <w:rsid w:val="00154A36"/>
    <w:rsid w:val="00154A7A"/>
    <w:rsid w:val="00154A82"/>
    <w:rsid w:val="00154C24"/>
    <w:rsid w:val="00154C4F"/>
    <w:rsid w:val="00154EAF"/>
    <w:rsid w:val="00154F0E"/>
    <w:rsid w:val="00154F20"/>
    <w:rsid w:val="00154F43"/>
    <w:rsid w:val="0015506D"/>
    <w:rsid w:val="0015537E"/>
    <w:rsid w:val="00155386"/>
    <w:rsid w:val="00155487"/>
    <w:rsid w:val="001554F8"/>
    <w:rsid w:val="00155639"/>
    <w:rsid w:val="0015574F"/>
    <w:rsid w:val="00155804"/>
    <w:rsid w:val="00155830"/>
    <w:rsid w:val="001559F3"/>
    <w:rsid w:val="00155A99"/>
    <w:rsid w:val="00155B55"/>
    <w:rsid w:val="00155CB3"/>
    <w:rsid w:val="00155CFF"/>
    <w:rsid w:val="00155D04"/>
    <w:rsid w:val="00155DDC"/>
    <w:rsid w:val="00155EDE"/>
    <w:rsid w:val="00156060"/>
    <w:rsid w:val="00156119"/>
    <w:rsid w:val="001561EB"/>
    <w:rsid w:val="0015620B"/>
    <w:rsid w:val="001562CB"/>
    <w:rsid w:val="0015635B"/>
    <w:rsid w:val="00156659"/>
    <w:rsid w:val="00156719"/>
    <w:rsid w:val="001567FE"/>
    <w:rsid w:val="00156AD5"/>
    <w:rsid w:val="00156BB6"/>
    <w:rsid w:val="00156C19"/>
    <w:rsid w:val="0015723B"/>
    <w:rsid w:val="0015733E"/>
    <w:rsid w:val="00157346"/>
    <w:rsid w:val="00157445"/>
    <w:rsid w:val="001574FE"/>
    <w:rsid w:val="0015754C"/>
    <w:rsid w:val="001576A4"/>
    <w:rsid w:val="0015770B"/>
    <w:rsid w:val="001579EC"/>
    <w:rsid w:val="00157AD0"/>
    <w:rsid w:val="00157D9C"/>
    <w:rsid w:val="00157DA3"/>
    <w:rsid w:val="00157F66"/>
    <w:rsid w:val="00157F9E"/>
    <w:rsid w:val="00157FD1"/>
    <w:rsid w:val="00160007"/>
    <w:rsid w:val="00160014"/>
    <w:rsid w:val="001600B5"/>
    <w:rsid w:val="001601BA"/>
    <w:rsid w:val="00160289"/>
    <w:rsid w:val="001603A1"/>
    <w:rsid w:val="001608AE"/>
    <w:rsid w:val="001608C9"/>
    <w:rsid w:val="00160B42"/>
    <w:rsid w:val="00160BFE"/>
    <w:rsid w:val="00160C18"/>
    <w:rsid w:val="00160DFD"/>
    <w:rsid w:val="00160E7D"/>
    <w:rsid w:val="00160E8B"/>
    <w:rsid w:val="00160F39"/>
    <w:rsid w:val="00161091"/>
    <w:rsid w:val="00161150"/>
    <w:rsid w:val="001611AD"/>
    <w:rsid w:val="0016167B"/>
    <w:rsid w:val="00161773"/>
    <w:rsid w:val="00161799"/>
    <w:rsid w:val="001618DF"/>
    <w:rsid w:val="00161A24"/>
    <w:rsid w:val="00161A63"/>
    <w:rsid w:val="00161AF3"/>
    <w:rsid w:val="00161B60"/>
    <w:rsid w:val="00161B8F"/>
    <w:rsid w:val="00161C79"/>
    <w:rsid w:val="00161D09"/>
    <w:rsid w:val="00161D94"/>
    <w:rsid w:val="00161E48"/>
    <w:rsid w:val="00161ECE"/>
    <w:rsid w:val="00161F5D"/>
    <w:rsid w:val="00161F65"/>
    <w:rsid w:val="00162000"/>
    <w:rsid w:val="00162282"/>
    <w:rsid w:val="001623ED"/>
    <w:rsid w:val="00162423"/>
    <w:rsid w:val="0016244A"/>
    <w:rsid w:val="0016259C"/>
    <w:rsid w:val="00162720"/>
    <w:rsid w:val="001627DA"/>
    <w:rsid w:val="00162818"/>
    <w:rsid w:val="001628A4"/>
    <w:rsid w:val="001628EA"/>
    <w:rsid w:val="0016291D"/>
    <w:rsid w:val="001629AB"/>
    <w:rsid w:val="00162A71"/>
    <w:rsid w:val="00162C86"/>
    <w:rsid w:val="00162C98"/>
    <w:rsid w:val="00162CC2"/>
    <w:rsid w:val="00162D30"/>
    <w:rsid w:val="00162E0B"/>
    <w:rsid w:val="00162F4B"/>
    <w:rsid w:val="00163087"/>
    <w:rsid w:val="001630BC"/>
    <w:rsid w:val="00163273"/>
    <w:rsid w:val="0016329B"/>
    <w:rsid w:val="001634D0"/>
    <w:rsid w:val="001634DC"/>
    <w:rsid w:val="00163504"/>
    <w:rsid w:val="00163699"/>
    <w:rsid w:val="00163747"/>
    <w:rsid w:val="0016375C"/>
    <w:rsid w:val="00163C00"/>
    <w:rsid w:val="00163C63"/>
    <w:rsid w:val="00163CFA"/>
    <w:rsid w:val="00163D60"/>
    <w:rsid w:val="00163E5D"/>
    <w:rsid w:val="00163ED9"/>
    <w:rsid w:val="00163F1F"/>
    <w:rsid w:val="00163F5E"/>
    <w:rsid w:val="00163FCF"/>
    <w:rsid w:val="00164020"/>
    <w:rsid w:val="00164083"/>
    <w:rsid w:val="00164102"/>
    <w:rsid w:val="00164191"/>
    <w:rsid w:val="00164204"/>
    <w:rsid w:val="0016429F"/>
    <w:rsid w:val="001642CA"/>
    <w:rsid w:val="001643C1"/>
    <w:rsid w:val="00164437"/>
    <w:rsid w:val="001644A0"/>
    <w:rsid w:val="001644CD"/>
    <w:rsid w:val="0016470E"/>
    <w:rsid w:val="0016482C"/>
    <w:rsid w:val="0016484F"/>
    <w:rsid w:val="0016495F"/>
    <w:rsid w:val="00164980"/>
    <w:rsid w:val="001649D2"/>
    <w:rsid w:val="001649F9"/>
    <w:rsid w:val="00164A63"/>
    <w:rsid w:val="00164B4D"/>
    <w:rsid w:val="00164B4F"/>
    <w:rsid w:val="00164CEB"/>
    <w:rsid w:val="00164D25"/>
    <w:rsid w:val="00164D35"/>
    <w:rsid w:val="00164D85"/>
    <w:rsid w:val="00164EC8"/>
    <w:rsid w:val="00164F3F"/>
    <w:rsid w:val="00164F70"/>
    <w:rsid w:val="00164FDA"/>
    <w:rsid w:val="0016500F"/>
    <w:rsid w:val="001650F5"/>
    <w:rsid w:val="0016510B"/>
    <w:rsid w:val="0016515E"/>
    <w:rsid w:val="0016531A"/>
    <w:rsid w:val="001653E2"/>
    <w:rsid w:val="00165446"/>
    <w:rsid w:val="00165496"/>
    <w:rsid w:val="0016557A"/>
    <w:rsid w:val="001655BF"/>
    <w:rsid w:val="001655C1"/>
    <w:rsid w:val="00165794"/>
    <w:rsid w:val="0016586F"/>
    <w:rsid w:val="0016589F"/>
    <w:rsid w:val="001659B0"/>
    <w:rsid w:val="00165B98"/>
    <w:rsid w:val="00165C3E"/>
    <w:rsid w:val="00165D18"/>
    <w:rsid w:val="00165DA8"/>
    <w:rsid w:val="00165DF8"/>
    <w:rsid w:val="00165E00"/>
    <w:rsid w:val="00165E3E"/>
    <w:rsid w:val="00165F86"/>
    <w:rsid w:val="00165FE8"/>
    <w:rsid w:val="0016624D"/>
    <w:rsid w:val="00166331"/>
    <w:rsid w:val="00166380"/>
    <w:rsid w:val="00166444"/>
    <w:rsid w:val="00166502"/>
    <w:rsid w:val="0016650A"/>
    <w:rsid w:val="00166582"/>
    <w:rsid w:val="0016678B"/>
    <w:rsid w:val="0016687D"/>
    <w:rsid w:val="00166A53"/>
    <w:rsid w:val="00166B33"/>
    <w:rsid w:val="00166D47"/>
    <w:rsid w:val="00166DF8"/>
    <w:rsid w:val="0016710A"/>
    <w:rsid w:val="001672AA"/>
    <w:rsid w:val="001672BA"/>
    <w:rsid w:val="00167343"/>
    <w:rsid w:val="00167479"/>
    <w:rsid w:val="001674CF"/>
    <w:rsid w:val="00167552"/>
    <w:rsid w:val="00167572"/>
    <w:rsid w:val="0016771D"/>
    <w:rsid w:val="0016773F"/>
    <w:rsid w:val="0016775A"/>
    <w:rsid w:val="0016780E"/>
    <w:rsid w:val="00167945"/>
    <w:rsid w:val="00167A21"/>
    <w:rsid w:val="00167AA2"/>
    <w:rsid w:val="00167B0E"/>
    <w:rsid w:val="00167BAE"/>
    <w:rsid w:val="00167EF0"/>
    <w:rsid w:val="00167FF7"/>
    <w:rsid w:val="00170018"/>
    <w:rsid w:val="00170199"/>
    <w:rsid w:val="00170306"/>
    <w:rsid w:val="00170577"/>
    <w:rsid w:val="001705A9"/>
    <w:rsid w:val="001705B7"/>
    <w:rsid w:val="001706C6"/>
    <w:rsid w:val="001707B9"/>
    <w:rsid w:val="001708A5"/>
    <w:rsid w:val="00170958"/>
    <w:rsid w:val="001709BE"/>
    <w:rsid w:val="00170CCA"/>
    <w:rsid w:val="00170DA3"/>
    <w:rsid w:val="00170E66"/>
    <w:rsid w:val="00170ECF"/>
    <w:rsid w:val="00171077"/>
    <w:rsid w:val="00171101"/>
    <w:rsid w:val="001711C7"/>
    <w:rsid w:val="0017134D"/>
    <w:rsid w:val="001713C1"/>
    <w:rsid w:val="00171633"/>
    <w:rsid w:val="001716AB"/>
    <w:rsid w:val="001716FF"/>
    <w:rsid w:val="001717D2"/>
    <w:rsid w:val="001718D7"/>
    <w:rsid w:val="00171975"/>
    <w:rsid w:val="00171A3A"/>
    <w:rsid w:val="00171AC4"/>
    <w:rsid w:val="00171AF4"/>
    <w:rsid w:val="00171BD9"/>
    <w:rsid w:val="00171D4F"/>
    <w:rsid w:val="00171DCA"/>
    <w:rsid w:val="00171DD3"/>
    <w:rsid w:val="00171DE4"/>
    <w:rsid w:val="00172006"/>
    <w:rsid w:val="00172098"/>
    <w:rsid w:val="00172249"/>
    <w:rsid w:val="0017224C"/>
    <w:rsid w:val="0017230F"/>
    <w:rsid w:val="00172388"/>
    <w:rsid w:val="001724F8"/>
    <w:rsid w:val="00172578"/>
    <w:rsid w:val="00172734"/>
    <w:rsid w:val="00172796"/>
    <w:rsid w:val="00172799"/>
    <w:rsid w:val="001727B0"/>
    <w:rsid w:val="001727D4"/>
    <w:rsid w:val="00172822"/>
    <w:rsid w:val="0017283D"/>
    <w:rsid w:val="00172897"/>
    <w:rsid w:val="00172941"/>
    <w:rsid w:val="00172971"/>
    <w:rsid w:val="001729B5"/>
    <w:rsid w:val="00172BF0"/>
    <w:rsid w:val="00172C32"/>
    <w:rsid w:val="00172C5D"/>
    <w:rsid w:val="00172C8C"/>
    <w:rsid w:val="00172CFD"/>
    <w:rsid w:val="00172D74"/>
    <w:rsid w:val="00172DBB"/>
    <w:rsid w:val="00172FA5"/>
    <w:rsid w:val="00173057"/>
    <w:rsid w:val="0017305E"/>
    <w:rsid w:val="001730E8"/>
    <w:rsid w:val="00173167"/>
    <w:rsid w:val="00173279"/>
    <w:rsid w:val="00173281"/>
    <w:rsid w:val="0017361E"/>
    <w:rsid w:val="00173781"/>
    <w:rsid w:val="001737B1"/>
    <w:rsid w:val="00173A8F"/>
    <w:rsid w:val="00173B18"/>
    <w:rsid w:val="00173B2F"/>
    <w:rsid w:val="00173C38"/>
    <w:rsid w:val="00173DDD"/>
    <w:rsid w:val="00173E85"/>
    <w:rsid w:val="00173F72"/>
    <w:rsid w:val="001740E0"/>
    <w:rsid w:val="00174114"/>
    <w:rsid w:val="00174120"/>
    <w:rsid w:val="00174157"/>
    <w:rsid w:val="00174246"/>
    <w:rsid w:val="00174248"/>
    <w:rsid w:val="001742CC"/>
    <w:rsid w:val="001746FB"/>
    <w:rsid w:val="00174777"/>
    <w:rsid w:val="001748D5"/>
    <w:rsid w:val="0017494D"/>
    <w:rsid w:val="001749A9"/>
    <w:rsid w:val="00174A3B"/>
    <w:rsid w:val="00174CC9"/>
    <w:rsid w:val="00174D82"/>
    <w:rsid w:val="00174DA7"/>
    <w:rsid w:val="00174DF5"/>
    <w:rsid w:val="00174E21"/>
    <w:rsid w:val="00174E98"/>
    <w:rsid w:val="00175013"/>
    <w:rsid w:val="00175025"/>
    <w:rsid w:val="0017523E"/>
    <w:rsid w:val="00175304"/>
    <w:rsid w:val="00175335"/>
    <w:rsid w:val="0017559E"/>
    <w:rsid w:val="001755FD"/>
    <w:rsid w:val="00175669"/>
    <w:rsid w:val="0017578F"/>
    <w:rsid w:val="001757F9"/>
    <w:rsid w:val="0017584E"/>
    <w:rsid w:val="00175870"/>
    <w:rsid w:val="0017593F"/>
    <w:rsid w:val="00175944"/>
    <w:rsid w:val="00175A1C"/>
    <w:rsid w:val="00175AFB"/>
    <w:rsid w:val="00175B7C"/>
    <w:rsid w:val="00175B85"/>
    <w:rsid w:val="00175D06"/>
    <w:rsid w:val="00175D0F"/>
    <w:rsid w:val="00175E8D"/>
    <w:rsid w:val="00175E9A"/>
    <w:rsid w:val="00175ECE"/>
    <w:rsid w:val="00175FC2"/>
    <w:rsid w:val="0017608D"/>
    <w:rsid w:val="001760F1"/>
    <w:rsid w:val="0017614C"/>
    <w:rsid w:val="00176514"/>
    <w:rsid w:val="00176751"/>
    <w:rsid w:val="00176792"/>
    <w:rsid w:val="0017697C"/>
    <w:rsid w:val="00176AD8"/>
    <w:rsid w:val="00176B20"/>
    <w:rsid w:val="00176C04"/>
    <w:rsid w:val="00176DA2"/>
    <w:rsid w:val="00176DAB"/>
    <w:rsid w:val="00176DBF"/>
    <w:rsid w:val="00176EE1"/>
    <w:rsid w:val="00176F13"/>
    <w:rsid w:val="001770EF"/>
    <w:rsid w:val="00177208"/>
    <w:rsid w:val="00177373"/>
    <w:rsid w:val="001773DF"/>
    <w:rsid w:val="0017760F"/>
    <w:rsid w:val="0017762E"/>
    <w:rsid w:val="00177655"/>
    <w:rsid w:val="00177798"/>
    <w:rsid w:val="001778C3"/>
    <w:rsid w:val="00177900"/>
    <w:rsid w:val="00177B7D"/>
    <w:rsid w:val="00177C02"/>
    <w:rsid w:val="00177C9C"/>
    <w:rsid w:val="00177D63"/>
    <w:rsid w:val="00177D8D"/>
    <w:rsid w:val="00177DB0"/>
    <w:rsid w:val="00177F3A"/>
    <w:rsid w:val="00177F52"/>
    <w:rsid w:val="00180025"/>
    <w:rsid w:val="00180147"/>
    <w:rsid w:val="00180243"/>
    <w:rsid w:val="00180301"/>
    <w:rsid w:val="0018046D"/>
    <w:rsid w:val="00180532"/>
    <w:rsid w:val="00180576"/>
    <w:rsid w:val="0018065A"/>
    <w:rsid w:val="001807CD"/>
    <w:rsid w:val="00180956"/>
    <w:rsid w:val="00180973"/>
    <w:rsid w:val="001809B7"/>
    <w:rsid w:val="001809F6"/>
    <w:rsid w:val="00180A22"/>
    <w:rsid w:val="00180ADE"/>
    <w:rsid w:val="00180B49"/>
    <w:rsid w:val="00180BB3"/>
    <w:rsid w:val="00180F76"/>
    <w:rsid w:val="00181024"/>
    <w:rsid w:val="0018109B"/>
    <w:rsid w:val="00181102"/>
    <w:rsid w:val="00181114"/>
    <w:rsid w:val="00181284"/>
    <w:rsid w:val="001812A2"/>
    <w:rsid w:val="001813DE"/>
    <w:rsid w:val="00181505"/>
    <w:rsid w:val="00181542"/>
    <w:rsid w:val="001815EA"/>
    <w:rsid w:val="0018165A"/>
    <w:rsid w:val="001816F2"/>
    <w:rsid w:val="00181840"/>
    <w:rsid w:val="0018195E"/>
    <w:rsid w:val="001819A8"/>
    <w:rsid w:val="001819B9"/>
    <w:rsid w:val="001819FC"/>
    <w:rsid w:val="00181A3C"/>
    <w:rsid w:val="00181B9B"/>
    <w:rsid w:val="00181C22"/>
    <w:rsid w:val="00181C81"/>
    <w:rsid w:val="00181D48"/>
    <w:rsid w:val="00181EE9"/>
    <w:rsid w:val="00181FB8"/>
    <w:rsid w:val="00182031"/>
    <w:rsid w:val="001820CF"/>
    <w:rsid w:val="00182162"/>
    <w:rsid w:val="00182188"/>
    <w:rsid w:val="001821FE"/>
    <w:rsid w:val="00182242"/>
    <w:rsid w:val="0018232D"/>
    <w:rsid w:val="00182452"/>
    <w:rsid w:val="001827AD"/>
    <w:rsid w:val="001828C9"/>
    <w:rsid w:val="0018294D"/>
    <w:rsid w:val="00182A8F"/>
    <w:rsid w:val="00182B1F"/>
    <w:rsid w:val="00182E84"/>
    <w:rsid w:val="00182EF3"/>
    <w:rsid w:val="0018315F"/>
    <w:rsid w:val="00183451"/>
    <w:rsid w:val="00183546"/>
    <w:rsid w:val="001835CC"/>
    <w:rsid w:val="00183721"/>
    <w:rsid w:val="00183881"/>
    <w:rsid w:val="00183A0B"/>
    <w:rsid w:val="00183B32"/>
    <w:rsid w:val="00183B59"/>
    <w:rsid w:val="00183D1A"/>
    <w:rsid w:val="00183F3E"/>
    <w:rsid w:val="00183FD2"/>
    <w:rsid w:val="0018419E"/>
    <w:rsid w:val="001841C6"/>
    <w:rsid w:val="0018431C"/>
    <w:rsid w:val="00184332"/>
    <w:rsid w:val="0018453D"/>
    <w:rsid w:val="001845AE"/>
    <w:rsid w:val="001846F5"/>
    <w:rsid w:val="0018475B"/>
    <w:rsid w:val="001847F3"/>
    <w:rsid w:val="00184A18"/>
    <w:rsid w:val="00184A26"/>
    <w:rsid w:val="00184B05"/>
    <w:rsid w:val="00184B37"/>
    <w:rsid w:val="00184B62"/>
    <w:rsid w:val="00184D29"/>
    <w:rsid w:val="00184E52"/>
    <w:rsid w:val="00184E82"/>
    <w:rsid w:val="00185075"/>
    <w:rsid w:val="00185082"/>
    <w:rsid w:val="00185229"/>
    <w:rsid w:val="00185266"/>
    <w:rsid w:val="001852E5"/>
    <w:rsid w:val="0018534E"/>
    <w:rsid w:val="00185489"/>
    <w:rsid w:val="001856C4"/>
    <w:rsid w:val="001856E3"/>
    <w:rsid w:val="00185883"/>
    <w:rsid w:val="001859FC"/>
    <w:rsid w:val="00185BCB"/>
    <w:rsid w:val="00185C69"/>
    <w:rsid w:val="00186103"/>
    <w:rsid w:val="00186308"/>
    <w:rsid w:val="001863B5"/>
    <w:rsid w:val="0018651D"/>
    <w:rsid w:val="0018657C"/>
    <w:rsid w:val="0018658F"/>
    <w:rsid w:val="001867FC"/>
    <w:rsid w:val="001869C6"/>
    <w:rsid w:val="00186A4B"/>
    <w:rsid w:val="00186BB7"/>
    <w:rsid w:val="00186C69"/>
    <w:rsid w:val="00186F7F"/>
    <w:rsid w:val="00186FE8"/>
    <w:rsid w:val="001871FE"/>
    <w:rsid w:val="001872E3"/>
    <w:rsid w:val="001872F9"/>
    <w:rsid w:val="001874A7"/>
    <w:rsid w:val="00187831"/>
    <w:rsid w:val="001878E6"/>
    <w:rsid w:val="001879D8"/>
    <w:rsid w:val="00187A2A"/>
    <w:rsid w:val="00187A32"/>
    <w:rsid w:val="00187AAA"/>
    <w:rsid w:val="00187C55"/>
    <w:rsid w:val="00187F1C"/>
    <w:rsid w:val="00190124"/>
    <w:rsid w:val="00190218"/>
    <w:rsid w:val="0019032E"/>
    <w:rsid w:val="00190336"/>
    <w:rsid w:val="00190528"/>
    <w:rsid w:val="0019053B"/>
    <w:rsid w:val="001905C4"/>
    <w:rsid w:val="001905EC"/>
    <w:rsid w:val="00190610"/>
    <w:rsid w:val="001908E8"/>
    <w:rsid w:val="00190993"/>
    <w:rsid w:val="00190A0D"/>
    <w:rsid w:val="00190D42"/>
    <w:rsid w:val="00190FEF"/>
    <w:rsid w:val="0019104A"/>
    <w:rsid w:val="00191062"/>
    <w:rsid w:val="00191228"/>
    <w:rsid w:val="00191349"/>
    <w:rsid w:val="00191396"/>
    <w:rsid w:val="001913F6"/>
    <w:rsid w:val="00191416"/>
    <w:rsid w:val="00191424"/>
    <w:rsid w:val="001914A8"/>
    <w:rsid w:val="001915F1"/>
    <w:rsid w:val="0019166A"/>
    <w:rsid w:val="0019182E"/>
    <w:rsid w:val="0019191F"/>
    <w:rsid w:val="00191A65"/>
    <w:rsid w:val="00191D36"/>
    <w:rsid w:val="00191D54"/>
    <w:rsid w:val="00191F1D"/>
    <w:rsid w:val="00191F77"/>
    <w:rsid w:val="00191FA2"/>
    <w:rsid w:val="00192126"/>
    <w:rsid w:val="00192135"/>
    <w:rsid w:val="001921C0"/>
    <w:rsid w:val="001921FA"/>
    <w:rsid w:val="0019225B"/>
    <w:rsid w:val="00192294"/>
    <w:rsid w:val="001922A6"/>
    <w:rsid w:val="0019236B"/>
    <w:rsid w:val="001923E5"/>
    <w:rsid w:val="00192494"/>
    <w:rsid w:val="001924B4"/>
    <w:rsid w:val="001925A4"/>
    <w:rsid w:val="00192643"/>
    <w:rsid w:val="00192686"/>
    <w:rsid w:val="0019285C"/>
    <w:rsid w:val="00192897"/>
    <w:rsid w:val="00192999"/>
    <w:rsid w:val="001929E8"/>
    <w:rsid w:val="00192A0E"/>
    <w:rsid w:val="00192A77"/>
    <w:rsid w:val="00192B57"/>
    <w:rsid w:val="00192BC2"/>
    <w:rsid w:val="00192C81"/>
    <w:rsid w:val="00192DFF"/>
    <w:rsid w:val="00192EF2"/>
    <w:rsid w:val="00192F38"/>
    <w:rsid w:val="00192FF3"/>
    <w:rsid w:val="00193072"/>
    <w:rsid w:val="001930C7"/>
    <w:rsid w:val="001930C8"/>
    <w:rsid w:val="001931B4"/>
    <w:rsid w:val="00193347"/>
    <w:rsid w:val="001934DB"/>
    <w:rsid w:val="0019374B"/>
    <w:rsid w:val="001937A4"/>
    <w:rsid w:val="001937F1"/>
    <w:rsid w:val="001938CB"/>
    <w:rsid w:val="0019392A"/>
    <w:rsid w:val="00193955"/>
    <w:rsid w:val="001939CB"/>
    <w:rsid w:val="00193AFB"/>
    <w:rsid w:val="00193C81"/>
    <w:rsid w:val="00193C98"/>
    <w:rsid w:val="00193CA2"/>
    <w:rsid w:val="00194027"/>
    <w:rsid w:val="001940B9"/>
    <w:rsid w:val="001940D6"/>
    <w:rsid w:val="001941CA"/>
    <w:rsid w:val="001941D9"/>
    <w:rsid w:val="00194412"/>
    <w:rsid w:val="0019442D"/>
    <w:rsid w:val="0019445D"/>
    <w:rsid w:val="0019449B"/>
    <w:rsid w:val="00194502"/>
    <w:rsid w:val="001945B1"/>
    <w:rsid w:val="0019460D"/>
    <w:rsid w:val="00194793"/>
    <w:rsid w:val="00194878"/>
    <w:rsid w:val="001948F2"/>
    <w:rsid w:val="00194913"/>
    <w:rsid w:val="00194B43"/>
    <w:rsid w:val="00194E29"/>
    <w:rsid w:val="00194FC7"/>
    <w:rsid w:val="001950B6"/>
    <w:rsid w:val="001950DC"/>
    <w:rsid w:val="00195247"/>
    <w:rsid w:val="00195301"/>
    <w:rsid w:val="001955C0"/>
    <w:rsid w:val="001957B2"/>
    <w:rsid w:val="001957C9"/>
    <w:rsid w:val="001957F6"/>
    <w:rsid w:val="001958DF"/>
    <w:rsid w:val="00195972"/>
    <w:rsid w:val="00195AB9"/>
    <w:rsid w:val="00195AF5"/>
    <w:rsid w:val="00195C3A"/>
    <w:rsid w:val="00195D31"/>
    <w:rsid w:val="00195D4A"/>
    <w:rsid w:val="00195DD0"/>
    <w:rsid w:val="00195E0F"/>
    <w:rsid w:val="00195E23"/>
    <w:rsid w:val="0019608A"/>
    <w:rsid w:val="00196202"/>
    <w:rsid w:val="00196235"/>
    <w:rsid w:val="001965B9"/>
    <w:rsid w:val="001967AC"/>
    <w:rsid w:val="001968C0"/>
    <w:rsid w:val="0019693A"/>
    <w:rsid w:val="00196960"/>
    <w:rsid w:val="00196A1B"/>
    <w:rsid w:val="00196B06"/>
    <w:rsid w:val="00196B57"/>
    <w:rsid w:val="00196B6A"/>
    <w:rsid w:val="00196D3A"/>
    <w:rsid w:val="00196EC4"/>
    <w:rsid w:val="00196EC6"/>
    <w:rsid w:val="00196F26"/>
    <w:rsid w:val="0019703D"/>
    <w:rsid w:val="001970D3"/>
    <w:rsid w:val="001971E0"/>
    <w:rsid w:val="001972F9"/>
    <w:rsid w:val="001975E8"/>
    <w:rsid w:val="001977B4"/>
    <w:rsid w:val="001977BD"/>
    <w:rsid w:val="001979AD"/>
    <w:rsid w:val="00197A00"/>
    <w:rsid w:val="00197B44"/>
    <w:rsid w:val="00197BB4"/>
    <w:rsid w:val="00197D20"/>
    <w:rsid w:val="00197E20"/>
    <w:rsid w:val="00197EA6"/>
    <w:rsid w:val="00197EEB"/>
    <w:rsid w:val="001A00F4"/>
    <w:rsid w:val="001A01C2"/>
    <w:rsid w:val="001A01EE"/>
    <w:rsid w:val="001A0324"/>
    <w:rsid w:val="001A0402"/>
    <w:rsid w:val="001A0600"/>
    <w:rsid w:val="001A06BE"/>
    <w:rsid w:val="001A0768"/>
    <w:rsid w:val="001A0827"/>
    <w:rsid w:val="001A0942"/>
    <w:rsid w:val="001A0953"/>
    <w:rsid w:val="001A0954"/>
    <w:rsid w:val="001A0A56"/>
    <w:rsid w:val="001A0A9A"/>
    <w:rsid w:val="001A0BFF"/>
    <w:rsid w:val="001A0C84"/>
    <w:rsid w:val="001A0F47"/>
    <w:rsid w:val="001A0F68"/>
    <w:rsid w:val="001A0F7E"/>
    <w:rsid w:val="001A1110"/>
    <w:rsid w:val="001A1263"/>
    <w:rsid w:val="001A12E2"/>
    <w:rsid w:val="001A1302"/>
    <w:rsid w:val="001A13D7"/>
    <w:rsid w:val="001A1538"/>
    <w:rsid w:val="001A16EE"/>
    <w:rsid w:val="001A18DE"/>
    <w:rsid w:val="001A18E1"/>
    <w:rsid w:val="001A18E5"/>
    <w:rsid w:val="001A1992"/>
    <w:rsid w:val="001A1A8B"/>
    <w:rsid w:val="001A1AC4"/>
    <w:rsid w:val="001A1B82"/>
    <w:rsid w:val="001A1CF3"/>
    <w:rsid w:val="001A1E04"/>
    <w:rsid w:val="001A1EE2"/>
    <w:rsid w:val="001A20D2"/>
    <w:rsid w:val="001A212D"/>
    <w:rsid w:val="001A218C"/>
    <w:rsid w:val="001A2328"/>
    <w:rsid w:val="001A23B1"/>
    <w:rsid w:val="001A23C4"/>
    <w:rsid w:val="001A249A"/>
    <w:rsid w:val="001A24BA"/>
    <w:rsid w:val="001A2597"/>
    <w:rsid w:val="001A26A3"/>
    <w:rsid w:val="001A26B5"/>
    <w:rsid w:val="001A26E9"/>
    <w:rsid w:val="001A283B"/>
    <w:rsid w:val="001A2846"/>
    <w:rsid w:val="001A2A1A"/>
    <w:rsid w:val="001A2BA7"/>
    <w:rsid w:val="001A2D69"/>
    <w:rsid w:val="001A2DF6"/>
    <w:rsid w:val="001A2E07"/>
    <w:rsid w:val="001A2F44"/>
    <w:rsid w:val="001A2FD0"/>
    <w:rsid w:val="001A313C"/>
    <w:rsid w:val="001A3332"/>
    <w:rsid w:val="001A3400"/>
    <w:rsid w:val="001A3522"/>
    <w:rsid w:val="001A3545"/>
    <w:rsid w:val="001A355D"/>
    <w:rsid w:val="001A36AE"/>
    <w:rsid w:val="001A371F"/>
    <w:rsid w:val="001A378A"/>
    <w:rsid w:val="001A37C2"/>
    <w:rsid w:val="001A3836"/>
    <w:rsid w:val="001A3A39"/>
    <w:rsid w:val="001A3BED"/>
    <w:rsid w:val="001A3DB4"/>
    <w:rsid w:val="001A3E7C"/>
    <w:rsid w:val="001A4338"/>
    <w:rsid w:val="001A437F"/>
    <w:rsid w:val="001A43D7"/>
    <w:rsid w:val="001A4572"/>
    <w:rsid w:val="001A45F4"/>
    <w:rsid w:val="001A4933"/>
    <w:rsid w:val="001A4994"/>
    <w:rsid w:val="001A4A14"/>
    <w:rsid w:val="001A4A39"/>
    <w:rsid w:val="001A4A72"/>
    <w:rsid w:val="001A4B33"/>
    <w:rsid w:val="001A4B51"/>
    <w:rsid w:val="001A4BA9"/>
    <w:rsid w:val="001A4C02"/>
    <w:rsid w:val="001A4D6A"/>
    <w:rsid w:val="001A4D77"/>
    <w:rsid w:val="001A4D87"/>
    <w:rsid w:val="001A4EBB"/>
    <w:rsid w:val="001A4F76"/>
    <w:rsid w:val="001A4FB2"/>
    <w:rsid w:val="001A5034"/>
    <w:rsid w:val="001A50E0"/>
    <w:rsid w:val="001A5155"/>
    <w:rsid w:val="001A525B"/>
    <w:rsid w:val="001A5260"/>
    <w:rsid w:val="001A52FC"/>
    <w:rsid w:val="001A534C"/>
    <w:rsid w:val="001A5438"/>
    <w:rsid w:val="001A568B"/>
    <w:rsid w:val="001A56F4"/>
    <w:rsid w:val="001A57B1"/>
    <w:rsid w:val="001A5957"/>
    <w:rsid w:val="001A5B0B"/>
    <w:rsid w:val="001A5D69"/>
    <w:rsid w:val="001A5E58"/>
    <w:rsid w:val="001A60C4"/>
    <w:rsid w:val="001A613B"/>
    <w:rsid w:val="001A625A"/>
    <w:rsid w:val="001A6329"/>
    <w:rsid w:val="001A6449"/>
    <w:rsid w:val="001A653E"/>
    <w:rsid w:val="001A699C"/>
    <w:rsid w:val="001A6BD2"/>
    <w:rsid w:val="001A6C93"/>
    <w:rsid w:val="001A7069"/>
    <w:rsid w:val="001A708C"/>
    <w:rsid w:val="001A70BD"/>
    <w:rsid w:val="001A70C8"/>
    <w:rsid w:val="001A7108"/>
    <w:rsid w:val="001A7216"/>
    <w:rsid w:val="001A7240"/>
    <w:rsid w:val="001A7461"/>
    <w:rsid w:val="001A74BD"/>
    <w:rsid w:val="001A74F8"/>
    <w:rsid w:val="001A75AE"/>
    <w:rsid w:val="001A75D9"/>
    <w:rsid w:val="001A7624"/>
    <w:rsid w:val="001A76F2"/>
    <w:rsid w:val="001A7855"/>
    <w:rsid w:val="001A788C"/>
    <w:rsid w:val="001A79E5"/>
    <w:rsid w:val="001A7A8C"/>
    <w:rsid w:val="001A7B58"/>
    <w:rsid w:val="001A7B84"/>
    <w:rsid w:val="001A7BE6"/>
    <w:rsid w:val="001A7BF5"/>
    <w:rsid w:val="001A7DA7"/>
    <w:rsid w:val="001A7E9B"/>
    <w:rsid w:val="001A7F6E"/>
    <w:rsid w:val="001A7FA6"/>
    <w:rsid w:val="001A7FE3"/>
    <w:rsid w:val="001B004B"/>
    <w:rsid w:val="001B03B6"/>
    <w:rsid w:val="001B074F"/>
    <w:rsid w:val="001B0C32"/>
    <w:rsid w:val="001B0D9C"/>
    <w:rsid w:val="001B0E23"/>
    <w:rsid w:val="001B0E77"/>
    <w:rsid w:val="001B0FB5"/>
    <w:rsid w:val="001B1075"/>
    <w:rsid w:val="001B10D1"/>
    <w:rsid w:val="001B11C1"/>
    <w:rsid w:val="001B1327"/>
    <w:rsid w:val="001B143D"/>
    <w:rsid w:val="001B14D7"/>
    <w:rsid w:val="001B160D"/>
    <w:rsid w:val="001B1655"/>
    <w:rsid w:val="001B174D"/>
    <w:rsid w:val="001B1834"/>
    <w:rsid w:val="001B1A3C"/>
    <w:rsid w:val="001B1AD7"/>
    <w:rsid w:val="001B1CFD"/>
    <w:rsid w:val="001B1D36"/>
    <w:rsid w:val="001B2091"/>
    <w:rsid w:val="001B223F"/>
    <w:rsid w:val="001B2294"/>
    <w:rsid w:val="001B2357"/>
    <w:rsid w:val="001B23B2"/>
    <w:rsid w:val="001B23ED"/>
    <w:rsid w:val="001B2445"/>
    <w:rsid w:val="001B258B"/>
    <w:rsid w:val="001B25B4"/>
    <w:rsid w:val="001B2645"/>
    <w:rsid w:val="001B26E2"/>
    <w:rsid w:val="001B27A5"/>
    <w:rsid w:val="001B2823"/>
    <w:rsid w:val="001B2834"/>
    <w:rsid w:val="001B28B0"/>
    <w:rsid w:val="001B2937"/>
    <w:rsid w:val="001B29A6"/>
    <w:rsid w:val="001B2A0B"/>
    <w:rsid w:val="001B2C9B"/>
    <w:rsid w:val="001B2D12"/>
    <w:rsid w:val="001B2D8B"/>
    <w:rsid w:val="001B2DBF"/>
    <w:rsid w:val="001B2DCC"/>
    <w:rsid w:val="001B2E6A"/>
    <w:rsid w:val="001B2F03"/>
    <w:rsid w:val="001B2F52"/>
    <w:rsid w:val="001B3124"/>
    <w:rsid w:val="001B32C3"/>
    <w:rsid w:val="001B330B"/>
    <w:rsid w:val="001B338A"/>
    <w:rsid w:val="001B3478"/>
    <w:rsid w:val="001B3500"/>
    <w:rsid w:val="001B363E"/>
    <w:rsid w:val="001B3681"/>
    <w:rsid w:val="001B36FE"/>
    <w:rsid w:val="001B3808"/>
    <w:rsid w:val="001B383F"/>
    <w:rsid w:val="001B38D9"/>
    <w:rsid w:val="001B392E"/>
    <w:rsid w:val="001B3A2B"/>
    <w:rsid w:val="001B3A60"/>
    <w:rsid w:val="001B3C68"/>
    <w:rsid w:val="001B3C87"/>
    <w:rsid w:val="001B3D51"/>
    <w:rsid w:val="001B3DB8"/>
    <w:rsid w:val="001B4051"/>
    <w:rsid w:val="001B406D"/>
    <w:rsid w:val="001B4097"/>
    <w:rsid w:val="001B418F"/>
    <w:rsid w:val="001B4195"/>
    <w:rsid w:val="001B41DB"/>
    <w:rsid w:val="001B4336"/>
    <w:rsid w:val="001B4717"/>
    <w:rsid w:val="001B473A"/>
    <w:rsid w:val="001B4844"/>
    <w:rsid w:val="001B4931"/>
    <w:rsid w:val="001B4972"/>
    <w:rsid w:val="001B4A8A"/>
    <w:rsid w:val="001B4C52"/>
    <w:rsid w:val="001B4C71"/>
    <w:rsid w:val="001B4C99"/>
    <w:rsid w:val="001B4D71"/>
    <w:rsid w:val="001B4DD9"/>
    <w:rsid w:val="001B506C"/>
    <w:rsid w:val="001B5096"/>
    <w:rsid w:val="001B50EF"/>
    <w:rsid w:val="001B51BC"/>
    <w:rsid w:val="001B5456"/>
    <w:rsid w:val="001B5552"/>
    <w:rsid w:val="001B558A"/>
    <w:rsid w:val="001B55FE"/>
    <w:rsid w:val="001B56D5"/>
    <w:rsid w:val="001B577C"/>
    <w:rsid w:val="001B582E"/>
    <w:rsid w:val="001B5852"/>
    <w:rsid w:val="001B5973"/>
    <w:rsid w:val="001B5A64"/>
    <w:rsid w:val="001B5A6B"/>
    <w:rsid w:val="001B5C68"/>
    <w:rsid w:val="001B5D5A"/>
    <w:rsid w:val="001B5D82"/>
    <w:rsid w:val="001B5E22"/>
    <w:rsid w:val="001B5E29"/>
    <w:rsid w:val="001B5F85"/>
    <w:rsid w:val="001B60DA"/>
    <w:rsid w:val="001B6257"/>
    <w:rsid w:val="001B639F"/>
    <w:rsid w:val="001B6585"/>
    <w:rsid w:val="001B6883"/>
    <w:rsid w:val="001B6979"/>
    <w:rsid w:val="001B69E2"/>
    <w:rsid w:val="001B69E7"/>
    <w:rsid w:val="001B6B31"/>
    <w:rsid w:val="001B6C31"/>
    <w:rsid w:val="001B6CB7"/>
    <w:rsid w:val="001B6CCA"/>
    <w:rsid w:val="001B6DBD"/>
    <w:rsid w:val="001B6F15"/>
    <w:rsid w:val="001B7157"/>
    <w:rsid w:val="001B71DD"/>
    <w:rsid w:val="001B726D"/>
    <w:rsid w:val="001B72FC"/>
    <w:rsid w:val="001B7338"/>
    <w:rsid w:val="001B745E"/>
    <w:rsid w:val="001B74B1"/>
    <w:rsid w:val="001B758C"/>
    <w:rsid w:val="001B75B7"/>
    <w:rsid w:val="001B7714"/>
    <w:rsid w:val="001B77A1"/>
    <w:rsid w:val="001B77CF"/>
    <w:rsid w:val="001B79BB"/>
    <w:rsid w:val="001B7A1E"/>
    <w:rsid w:val="001B7A9B"/>
    <w:rsid w:val="001B7EAF"/>
    <w:rsid w:val="001B7F8B"/>
    <w:rsid w:val="001B7F98"/>
    <w:rsid w:val="001C002E"/>
    <w:rsid w:val="001C0040"/>
    <w:rsid w:val="001C00A9"/>
    <w:rsid w:val="001C037B"/>
    <w:rsid w:val="001C03DC"/>
    <w:rsid w:val="001C049D"/>
    <w:rsid w:val="001C04FE"/>
    <w:rsid w:val="001C05A7"/>
    <w:rsid w:val="001C05DD"/>
    <w:rsid w:val="001C0648"/>
    <w:rsid w:val="001C0665"/>
    <w:rsid w:val="001C085E"/>
    <w:rsid w:val="001C0870"/>
    <w:rsid w:val="001C0918"/>
    <w:rsid w:val="001C09E4"/>
    <w:rsid w:val="001C0A2C"/>
    <w:rsid w:val="001C0A3D"/>
    <w:rsid w:val="001C0A6B"/>
    <w:rsid w:val="001C0C49"/>
    <w:rsid w:val="001C0C65"/>
    <w:rsid w:val="001C0CEF"/>
    <w:rsid w:val="001C0CF8"/>
    <w:rsid w:val="001C0F35"/>
    <w:rsid w:val="001C0F88"/>
    <w:rsid w:val="001C1063"/>
    <w:rsid w:val="001C1069"/>
    <w:rsid w:val="001C10CC"/>
    <w:rsid w:val="001C1336"/>
    <w:rsid w:val="001C13EA"/>
    <w:rsid w:val="001C1508"/>
    <w:rsid w:val="001C1562"/>
    <w:rsid w:val="001C15FF"/>
    <w:rsid w:val="001C188D"/>
    <w:rsid w:val="001C18CE"/>
    <w:rsid w:val="001C18FF"/>
    <w:rsid w:val="001C1AF8"/>
    <w:rsid w:val="001C1B44"/>
    <w:rsid w:val="001C1B8D"/>
    <w:rsid w:val="001C1BB2"/>
    <w:rsid w:val="001C1C63"/>
    <w:rsid w:val="001C1C8B"/>
    <w:rsid w:val="001C1CF2"/>
    <w:rsid w:val="001C1D33"/>
    <w:rsid w:val="001C1DC2"/>
    <w:rsid w:val="001C1EE3"/>
    <w:rsid w:val="001C1F9A"/>
    <w:rsid w:val="001C1FF7"/>
    <w:rsid w:val="001C20FD"/>
    <w:rsid w:val="001C21DC"/>
    <w:rsid w:val="001C23EE"/>
    <w:rsid w:val="001C2496"/>
    <w:rsid w:val="001C2530"/>
    <w:rsid w:val="001C25E2"/>
    <w:rsid w:val="001C26A4"/>
    <w:rsid w:val="001C2A6B"/>
    <w:rsid w:val="001C2B26"/>
    <w:rsid w:val="001C2BA1"/>
    <w:rsid w:val="001C2BBB"/>
    <w:rsid w:val="001C2D47"/>
    <w:rsid w:val="001C2ED3"/>
    <w:rsid w:val="001C2F60"/>
    <w:rsid w:val="001C3157"/>
    <w:rsid w:val="001C31F7"/>
    <w:rsid w:val="001C3200"/>
    <w:rsid w:val="001C3271"/>
    <w:rsid w:val="001C349C"/>
    <w:rsid w:val="001C34D2"/>
    <w:rsid w:val="001C355E"/>
    <w:rsid w:val="001C3726"/>
    <w:rsid w:val="001C3855"/>
    <w:rsid w:val="001C38A9"/>
    <w:rsid w:val="001C3B46"/>
    <w:rsid w:val="001C3CF4"/>
    <w:rsid w:val="001C3D3B"/>
    <w:rsid w:val="001C3ECF"/>
    <w:rsid w:val="001C3F7F"/>
    <w:rsid w:val="001C40C8"/>
    <w:rsid w:val="001C4110"/>
    <w:rsid w:val="001C41D1"/>
    <w:rsid w:val="001C4245"/>
    <w:rsid w:val="001C446B"/>
    <w:rsid w:val="001C44C8"/>
    <w:rsid w:val="001C478E"/>
    <w:rsid w:val="001C47E6"/>
    <w:rsid w:val="001C4813"/>
    <w:rsid w:val="001C4835"/>
    <w:rsid w:val="001C4851"/>
    <w:rsid w:val="001C4B4D"/>
    <w:rsid w:val="001C4B73"/>
    <w:rsid w:val="001C4C2D"/>
    <w:rsid w:val="001C4CD3"/>
    <w:rsid w:val="001C4D8D"/>
    <w:rsid w:val="001C4DB2"/>
    <w:rsid w:val="001C4F99"/>
    <w:rsid w:val="001C4FA5"/>
    <w:rsid w:val="001C50FA"/>
    <w:rsid w:val="001C5141"/>
    <w:rsid w:val="001C517C"/>
    <w:rsid w:val="001C526C"/>
    <w:rsid w:val="001C5454"/>
    <w:rsid w:val="001C54DC"/>
    <w:rsid w:val="001C5580"/>
    <w:rsid w:val="001C562C"/>
    <w:rsid w:val="001C59C7"/>
    <w:rsid w:val="001C5A7C"/>
    <w:rsid w:val="001C5AE4"/>
    <w:rsid w:val="001C5B10"/>
    <w:rsid w:val="001C5C9A"/>
    <w:rsid w:val="001C5CAC"/>
    <w:rsid w:val="001C5CAD"/>
    <w:rsid w:val="001C5CD9"/>
    <w:rsid w:val="001C5CDE"/>
    <w:rsid w:val="001C5D45"/>
    <w:rsid w:val="001C5DF0"/>
    <w:rsid w:val="001C5E6B"/>
    <w:rsid w:val="001C6104"/>
    <w:rsid w:val="001C6176"/>
    <w:rsid w:val="001C61F8"/>
    <w:rsid w:val="001C621F"/>
    <w:rsid w:val="001C62C3"/>
    <w:rsid w:val="001C62C8"/>
    <w:rsid w:val="001C6324"/>
    <w:rsid w:val="001C64EA"/>
    <w:rsid w:val="001C64FA"/>
    <w:rsid w:val="001C6711"/>
    <w:rsid w:val="001C68BD"/>
    <w:rsid w:val="001C69DC"/>
    <w:rsid w:val="001C6CBD"/>
    <w:rsid w:val="001C6D23"/>
    <w:rsid w:val="001C6F6F"/>
    <w:rsid w:val="001C6F7D"/>
    <w:rsid w:val="001C6FA4"/>
    <w:rsid w:val="001C7048"/>
    <w:rsid w:val="001C704B"/>
    <w:rsid w:val="001C717D"/>
    <w:rsid w:val="001C71CC"/>
    <w:rsid w:val="001C7236"/>
    <w:rsid w:val="001C7446"/>
    <w:rsid w:val="001C7630"/>
    <w:rsid w:val="001C7734"/>
    <w:rsid w:val="001C77DA"/>
    <w:rsid w:val="001C77F1"/>
    <w:rsid w:val="001C7895"/>
    <w:rsid w:val="001C78FC"/>
    <w:rsid w:val="001C7A3B"/>
    <w:rsid w:val="001C7A49"/>
    <w:rsid w:val="001C7B05"/>
    <w:rsid w:val="001C7BC1"/>
    <w:rsid w:val="001C7C33"/>
    <w:rsid w:val="001C7C87"/>
    <w:rsid w:val="001C7E6C"/>
    <w:rsid w:val="001C7EF3"/>
    <w:rsid w:val="001D0014"/>
    <w:rsid w:val="001D0042"/>
    <w:rsid w:val="001D00F3"/>
    <w:rsid w:val="001D0488"/>
    <w:rsid w:val="001D04DC"/>
    <w:rsid w:val="001D04FB"/>
    <w:rsid w:val="001D0539"/>
    <w:rsid w:val="001D0576"/>
    <w:rsid w:val="001D0769"/>
    <w:rsid w:val="001D0897"/>
    <w:rsid w:val="001D08B5"/>
    <w:rsid w:val="001D0991"/>
    <w:rsid w:val="001D0A38"/>
    <w:rsid w:val="001D0A55"/>
    <w:rsid w:val="001D0A71"/>
    <w:rsid w:val="001D0F3A"/>
    <w:rsid w:val="001D0F99"/>
    <w:rsid w:val="001D1035"/>
    <w:rsid w:val="001D10DD"/>
    <w:rsid w:val="001D10EB"/>
    <w:rsid w:val="001D112C"/>
    <w:rsid w:val="001D11E2"/>
    <w:rsid w:val="001D1260"/>
    <w:rsid w:val="001D146B"/>
    <w:rsid w:val="001D14AB"/>
    <w:rsid w:val="001D1599"/>
    <w:rsid w:val="001D15A0"/>
    <w:rsid w:val="001D15A6"/>
    <w:rsid w:val="001D15E1"/>
    <w:rsid w:val="001D1601"/>
    <w:rsid w:val="001D1695"/>
    <w:rsid w:val="001D1995"/>
    <w:rsid w:val="001D19AA"/>
    <w:rsid w:val="001D1A3B"/>
    <w:rsid w:val="001D1AA6"/>
    <w:rsid w:val="001D1AB2"/>
    <w:rsid w:val="001D1BCD"/>
    <w:rsid w:val="001D1CAB"/>
    <w:rsid w:val="001D1EF2"/>
    <w:rsid w:val="001D1EF5"/>
    <w:rsid w:val="001D1F12"/>
    <w:rsid w:val="001D2115"/>
    <w:rsid w:val="001D214D"/>
    <w:rsid w:val="001D2152"/>
    <w:rsid w:val="001D2223"/>
    <w:rsid w:val="001D2272"/>
    <w:rsid w:val="001D2338"/>
    <w:rsid w:val="001D23D8"/>
    <w:rsid w:val="001D25D6"/>
    <w:rsid w:val="001D2713"/>
    <w:rsid w:val="001D2751"/>
    <w:rsid w:val="001D27E6"/>
    <w:rsid w:val="001D2B77"/>
    <w:rsid w:val="001D2C10"/>
    <w:rsid w:val="001D2C16"/>
    <w:rsid w:val="001D2C37"/>
    <w:rsid w:val="001D2C8A"/>
    <w:rsid w:val="001D2D8D"/>
    <w:rsid w:val="001D2EF0"/>
    <w:rsid w:val="001D2FA5"/>
    <w:rsid w:val="001D2FA9"/>
    <w:rsid w:val="001D2FBB"/>
    <w:rsid w:val="001D2FDA"/>
    <w:rsid w:val="001D2FE4"/>
    <w:rsid w:val="001D308E"/>
    <w:rsid w:val="001D3102"/>
    <w:rsid w:val="001D3144"/>
    <w:rsid w:val="001D315D"/>
    <w:rsid w:val="001D3391"/>
    <w:rsid w:val="001D348F"/>
    <w:rsid w:val="001D34CB"/>
    <w:rsid w:val="001D36B3"/>
    <w:rsid w:val="001D3707"/>
    <w:rsid w:val="001D3792"/>
    <w:rsid w:val="001D3898"/>
    <w:rsid w:val="001D3925"/>
    <w:rsid w:val="001D3936"/>
    <w:rsid w:val="001D3966"/>
    <w:rsid w:val="001D397C"/>
    <w:rsid w:val="001D3A5D"/>
    <w:rsid w:val="001D3B83"/>
    <w:rsid w:val="001D3BCE"/>
    <w:rsid w:val="001D3C4C"/>
    <w:rsid w:val="001D3D39"/>
    <w:rsid w:val="001D412C"/>
    <w:rsid w:val="001D41CC"/>
    <w:rsid w:val="001D4211"/>
    <w:rsid w:val="001D43B6"/>
    <w:rsid w:val="001D43C1"/>
    <w:rsid w:val="001D447A"/>
    <w:rsid w:val="001D4549"/>
    <w:rsid w:val="001D45F2"/>
    <w:rsid w:val="001D47DA"/>
    <w:rsid w:val="001D4851"/>
    <w:rsid w:val="001D4882"/>
    <w:rsid w:val="001D4887"/>
    <w:rsid w:val="001D49F7"/>
    <w:rsid w:val="001D4AAB"/>
    <w:rsid w:val="001D4B41"/>
    <w:rsid w:val="001D4B9F"/>
    <w:rsid w:val="001D4BEC"/>
    <w:rsid w:val="001D4C5C"/>
    <w:rsid w:val="001D4E15"/>
    <w:rsid w:val="001D4E51"/>
    <w:rsid w:val="001D4EAF"/>
    <w:rsid w:val="001D4FAA"/>
    <w:rsid w:val="001D50D4"/>
    <w:rsid w:val="001D512A"/>
    <w:rsid w:val="001D5174"/>
    <w:rsid w:val="001D52BE"/>
    <w:rsid w:val="001D52CF"/>
    <w:rsid w:val="001D536E"/>
    <w:rsid w:val="001D5458"/>
    <w:rsid w:val="001D54EA"/>
    <w:rsid w:val="001D555E"/>
    <w:rsid w:val="001D571E"/>
    <w:rsid w:val="001D57CE"/>
    <w:rsid w:val="001D5A17"/>
    <w:rsid w:val="001D5A5A"/>
    <w:rsid w:val="001D5B9B"/>
    <w:rsid w:val="001D5C92"/>
    <w:rsid w:val="001D5CAE"/>
    <w:rsid w:val="001D5D17"/>
    <w:rsid w:val="001D5DD4"/>
    <w:rsid w:val="001D5DDB"/>
    <w:rsid w:val="001D5EA9"/>
    <w:rsid w:val="001D5F42"/>
    <w:rsid w:val="001D616E"/>
    <w:rsid w:val="001D61B7"/>
    <w:rsid w:val="001D655B"/>
    <w:rsid w:val="001D681C"/>
    <w:rsid w:val="001D686D"/>
    <w:rsid w:val="001D6873"/>
    <w:rsid w:val="001D6932"/>
    <w:rsid w:val="001D69C3"/>
    <w:rsid w:val="001D6B08"/>
    <w:rsid w:val="001D6C3D"/>
    <w:rsid w:val="001D6D91"/>
    <w:rsid w:val="001D6E14"/>
    <w:rsid w:val="001D6EA8"/>
    <w:rsid w:val="001D6F42"/>
    <w:rsid w:val="001D7098"/>
    <w:rsid w:val="001D70EE"/>
    <w:rsid w:val="001D72CC"/>
    <w:rsid w:val="001D7528"/>
    <w:rsid w:val="001D756B"/>
    <w:rsid w:val="001D76A8"/>
    <w:rsid w:val="001D778C"/>
    <w:rsid w:val="001D78FB"/>
    <w:rsid w:val="001D79AC"/>
    <w:rsid w:val="001D7AF5"/>
    <w:rsid w:val="001D7B72"/>
    <w:rsid w:val="001D7C08"/>
    <w:rsid w:val="001D7C45"/>
    <w:rsid w:val="001D7C71"/>
    <w:rsid w:val="001D7DEB"/>
    <w:rsid w:val="001D7E96"/>
    <w:rsid w:val="001D7F8C"/>
    <w:rsid w:val="001E0013"/>
    <w:rsid w:val="001E003B"/>
    <w:rsid w:val="001E0274"/>
    <w:rsid w:val="001E0287"/>
    <w:rsid w:val="001E029A"/>
    <w:rsid w:val="001E032E"/>
    <w:rsid w:val="001E03D6"/>
    <w:rsid w:val="001E05BF"/>
    <w:rsid w:val="001E0667"/>
    <w:rsid w:val="001E06AD"/>
    <w:rsid w:val="001E097B"/>
    <w:rsid w:val="001E0980"/>
    <w:rsid w:val="001E09D8"/>
    <w:rsid w:val="001E0B83"/>
    <w:rsid w:val="001E0BEF"/>
    <w:rsid w:val="001E0C19"/>
    <w:rsid w:val="001E0C2C"/>
    <w:rsid w:val="001E0C38"/>
    <w:rsid w:val="001E0C73"/>
    <w:rsid w:val="001E0CD5"/>
    <w:rsid w:val="001E0CF7"/>
    <w:rsid w:val="001E0D40"/>
    <w:rsid w:val="001E0D4C"/>
    <w:rsid w:val="001E0DCD"/>
    <w:rsid w:val="001E0E4C"/>
    <w:rsid w:val="001E0F74"/>
    <w:rsid w:val="001E1175"/>
    <w:rsid w:val="001E12E4"/>
    <w:rsid w:val="001E1408"/>
    <w:rsid w:val="001E160F"/>
    <w:rsid w:val="001E182A"/>
    <w:rsid w:val="001E19BC"/>
    <w:rsid w:val="001E19CA"/>
    <w:rsid w:val="001E1A34"/>
    <w:rsid w:val="001E1A70"/>
    <w:rsid w:val="001E1AC1"/>
    <w:rsid w:val="001E1B1F"/>
    <w:rsid w:val="001E1B5C"/>
    <w:rsid w:val="001E1B9E"/>
    <w:rsid w:val="001E1C0E"/>
    <w:rsid w:val="001E1C6E"/>
    <w:rsid w:val="001E1CD1"/>
    <w:rsid w:val="001E1E99"/>
    <w:rsid w:val="001E1ED9"/>
    <w:rsid w:val="001E2043"/>
    <w:rsid w:val="001E20E1"/>
    <w:rsid w:val="001E20F6"/>
    <w:rsid w:val="001E211E"/>
    <w:rsid w:val="001E2217"/>
    <w:rsid w:val="001E223F"/>
    <w:rsid w:val="001E2337"/>
    <w:rsid w:val="001E236C"/>
    <w:rsid w:val="001E2456"/>
    <w:rsid w:val="001E26E7"/>
    <w:rsid w:val="001E271B"/>
    <w:rsid w:val="001E2842"/>
    <w:rsid w:val="001E2863"/>
    <w:rsid w:val="001E297E"/>
    <w:rsid w:val="001E29B0"/>
    <w:rsid w:val="001E2A8C"/>
    <w:rsid w:val="001E2C19"/>
    <w:rsid w:val="001E2C2D"/>
    <w:rsid w:val="001E2C34"/>
    <w:rsid w:val="001E2CA6"/>
    <w:rsid w:val="001E2D94"/>
    <w:rsid w:val="001E2DAD"/>
    <w:rsid w:val="001E2E3B"/>
    <w:rsid w:val="001E2FC8"/>
    <w:rsid w:val="001E306D"/>
    <w:rsid w:val="001E3154"/>
    <w:rsid w:val="001E3180"/>
    <w:rsid w:val="001E31C8"/>
    <w:rsid w:val="001E32FE"/>
    <w:rsid w:val="001E3309"/>
    <w:rsid w:val="001E3368"/>
    <w:rsid w:val="001E34BD"/>
    <w:rsid w:val="001E35DD"/>
    <w:rsid w:val="001E3606"/>
    <w:rsid w:val="001E3696"/>
    <w:rsid w:val="001E3758"/>
    <w:rsid w:val="001E37D5"/>
    <w:rsid w:val="001E386A"/>
    <w:rsid w:val="001E38CD"/>
    <w:rsid w:val="001E38EF"/>
    <w:rsid w:val="001E396A"/>
    <w:rsid w:val="001E3C4F"/>
    <w:rsid w:val="001E3DAC"/>
    <w:rsid w:val="001E3E1C"/>
    <w:rsid w:val="001E3E47"/>
    <w:rsid w:val="001E3E5A"/>
    <w:rsid w:val="001E4421"/>
    <w:rsid w:val="001E4521"/>
    <w:rsid w:val="001E460F"/>
    <w:rsid w:val="001E4642"/>
    <w:rsid w:val="001E468A"/>
    <w:rsid w:val="001E47C4"/>
    <w:rsid w:val="001E47D9"/>
    <w:rsid w:val="001E4958"/>
    <w:rsid w:val="001E4973"/>
    <w:rsid w:val="001E49C9"/>
    <w:rsid w:val="001E49E4"/>
    <w:rsid w:val="001E4A70"/>
    <w:rsid w:val="001E4A95"/>
    <w:rsid w:val="001E4AEF"/>
    <w:rsid w:val="001E4C5B"/>
    <w:rsid w:val="001E4C8F"/>
    <w:rsid w:val="001E4CBB"/>
    <w:rsid w:val="001E4CFF"/>
    <w:rsid w:val="001E4E2B"/>
    <w:rsid w:val="001E4EC9"/>
    <w:rsid w:val="001E50A6"/>
    <w:rsid w:val="001E5126"/>
    <w:rsid w:val="001E513B"/>
    <w:rsid w:val="001E5141"/>
    <w:rsid w:val="001E5204"/>
    <w:rsid w:val="001E5209"/>
    <w:rsid w:val="001E522F"/>
    <w:rsid w:val="001E5306"/>
    <w:rsid w:val="001E53C1"/>
    <w:rsid w:val="001E587D"/>
    <w:rsid w:val="001E58CE"/>
    <w:rsid w:val="001E5916"/>
    <w:rsid w:val="001E5A04"/>
    <w:rsid w:val="001E5A06"/>
    <w:rsid w:val="001E5DB3"/>
    <w:rsid w:val="001E5E35"/>
    <w:rsid w:val="001E6053"/>
    <w:rsid w:val="001E611B"/>
    <w:rsid w:val="001E6202"/>
    <w:rsid w:val="001E6302"/>
    <w:rsid w:val="001E6317"/>
    <w:rsid w:val="001E643A"/>
    <w:rsid w:val="001E64A2"/>
    <w:rsid w:val="001E65F6"/>
    <w:rsid w:val="001E6647"/>
    <w:rsid w:val="001E6685"/>
    <w:rsid w:val="001E66A3"/>
    <w:rsid w:val="001E670C"/>
    <w:rsid w:val="001E6728"/>
    <w:rsid w:val="001E6776"/>
    <w:rsid w:val="001E67E8"/>
    <w:rsid w:val="001E6803"/>
    <w:rsid w:val="001E69A3"/>
    <w:rsid w:val="001E6C3B"/>
    <w:rsid w:val="001E6D1E"/>
    <w:rsid w:val="001E6DF7"/>
    <w:rsid w:val="001E7045"/>
    <w:rsid w:val="001E704A"/>
    <w:rsid w:val="001E70AB"/>
    <w:rsid w:val="001E71C2"/>
    <w:rsid w:val="001E7260"/>
    <w:rsid w:val="001E743C"/>
    <w:rsid w:val="001E7696"/>
    <w:rsid w:val="001E788C"/>
    <w:rsid w:val="001E799E"/>
    <w:rsid w:val="001E79AE"/>
    <w:rsid w:val="001E79C4"/>
    <w:rsid w:val="001E7B0C"/>
    <w:rsid w:val="001E7BED"/>
    <w:rsid w:val="001E7C30"/>
    <w:rsid w:val="001E7CB9"/>
    <w:rsid w:val="001E7EB5"/>
    <w:rsid w:val="001E7EB9"/>
    <w:rsid w:val="001E7ED9"/>
    <w:rsid w:val="001F015B"/>
    <w:rsid w:val="001F02A4"/>
    <w:rsid w:val="001F04E2"/>
    <w:rsid w:val="001F0537"/>
    <w:rsid w:val="001F06FE"/>
    <w:rsid w:val="001F0738"/>
    <w:rsid w:val="001F0788"/>
    <w:rsid w:val="001F092C"/>
    <w:rsid w:val="001F0953"/>
    <w:rsid w:val="001F0967"/>
    <w:rsid w:val="001F0A00"/>
    <w:rsid w:val="001F0AA2"/>
    <w:rsid w:val="001F0C58"/>
    <w:rsid w:val="001F0DF2"/>
    <w:rsid w:val="001F0E88"/>
    <w:rsid w:val="001F0FEB"/>
    <w:rsid w:val="001F10BE"/>
    <w:rsid w:val="001F1157"/>
    <w:rsid w:val="001F12C8"/>
    <w:rsid w:val="001F13FA"/>
    <w:rsid w:val="001F1526"/>
    <w:rsid w:val="001F1554"/>
    <w:rsid w:val="001F1587"/>
    <w:rsid w:val="001F1658"/>
    <w:rsid w:val="001F1765"/>
    <w:rsid w:val="001F17DA"/>
    <w:rsid w:val="001F17FD"/>
    <w:rsid w:val="001F182E"/>
    <w:rsid w:val="001F1842"/>
    <w:rsid w:val="001F192D"/>
    <w:rsid w:val="001F1996"/>
    <w:rsid w:val="001F19F4"/>
    <w:rsid w:val="001F1A01"/>
    <w:rsid w:val="001F1A54"/>
    <w:rsid w:val="001F1AE2"/>
    <w:rsid w:val="001F1AFA"/>
    <w:rsid w:val="001F1B43"/>
    <w:rsid w:val="001F1B73"/>
    <w:rsid w:val="001F1B83"/>
    <w:rsid w:val="001F1BE0"/>
    <w:rsid w:val="001F1C16"/>
    <w:rsid w:val="001F1CA4"/>
    <w:rsid w:val="001F1EE1"/>
    <w:rsid w:val="001F1F00"/>
    <w:rsid w:val="001F1FEA"/>
    <w:rsid w:val="001F2036"/>
    <w:rsid w:val="001F20EC"/>
    <w:rsid w:val="001F216F"/>
    <w:rsid w:val="001F24A1"/>
    <w:rsid w:val="001F259C"/>
    <w:rsid w:val="001F25D6"/>
    <w:rsid w:val="001F2652"/>
    <w:rsid w:val="001F272D"/>
    <w:rsid w:val="001F27AD"/>
    <w:rsid w:val="001F28B3"/>
    <w:rsid w:val="001F299B"/>
    <w:rsid w:val="001F2B74"/>
    <w:rsid w:val="001F2C33"/>
    <w:rsid w:val="001F2D7E"/>
    <w:rsid w:val="001F2E30"/>
    <w:rsid w:val="001F2E49"/>
    <w:rsid w:val="001F2E65"/>
    <w:rsid w:val="001F2EA6"/>
    <w:rsid w:val="001F2EC3"/>
    <w:rsid w:val="001F2EC5"/>
    <w:rsid w:val="001F2EC8"/>
    <w:rsid w:val="001F2FB3"/>
    <w:rsid w:val="001F304C"/>
    <w:rsid w:val="001F322C"/>
    <w:rsid w:val="001F32CB"/>
    <w:rsid w:val="001F3339"/>
    <w:rsid w:val="001F33B5"/>
    <w:rsid w:val="001F358E"/>
    <w:rsid w:val="001F368A"/>
    <w:rsid w:val="001F36E5"/>
    <w:rsid w:val="001F37F8"/>
    <w:rsid w:val="001F3937"/>
    <w:rsid w:val="001F39F0"/>
    <w:rsid w:val="001F39F5"/>
    <w:rsid w:val="001F3A9E"/>
    <w:rsid w:val="001F3B6E"/>
    <w:rsid w:val="001F3D78"/>
    <w:rsid w:val="001F3E1D"/>
    <w:rsid w:val="001F3E47"/>
    <w:rsid w:val="001F3E61"/>
    <w:rsid w:val="001F3E75"/>
    <w:rsid w:val="001F3E8C"/>
    <w:rsid w:val="001F3F65"/>
    <w:rsid w:val="001F417F"/>
    <w:rsid w:val="001F41AC"/>
    <w:rsid w:val="001F4205"/>
    <w:rsid w:val="001F420B"/>
    <w:rsid w:val="001F4266"/>
    <w:rsid w:val="001F42E2"/>
    <w:rsid w:val="001F4480"/>
    <w:rsid w:val="001F46FF"/>
    <w:rsid w:val="001F4730"/>
    <w:rsid w:val="001F4854"/>
    <w:rsid w:val="001F4DC8"/>
    <w:rsid w:val="001F4DE3"/>
    <w:rsid w:val="001F4F6A"/>
    <w:rsid w:val="001F52AE"/>
    <w:rsid w:val="001F52F2"/>
    <w:rsid w:val="001F531C"/>
    <w:rsid w:val="001F545F"/>
    <w:rsid w:val="001F553C"/>
    <w:rsid w:val="001F5633"/>
    <w:rsid w:val="001F569F"/>
    <w:rsid w:val="001F57A6"/>
    <w:rsid w:val="001F59EA"/>
    <w:rsid w:val="001F5A0D"/>
    <w:rsid w:val="001F5A76"/>
    <w:rsid w:val="001F5A77"/>
    <w:rsid w:val="001F5B7F"/>
    <w:rsid w:val="001F5C6B"/>
    <w:rsid w:val="001F5D41"/>
    <w:rsid w:val="001F5E26"/>
    <w:rsid w:val="001F5E94"/>
    <w:rsid w:val="001F6017"/>
    <w:rsid w:val="001F6195"/>
    <w:rsid w:val="001F619E"/>
    <w:rsid w:val="001F620E"/>
    <w:rsid w:val="001F641F"/>
    <w:rsid w:val="001F663C"/>
    <w:rsid w:val="001F66FD"/>
    <w:rsid w:val="001F678C"/>
    <w:rsid w:val="001F68AA"/>
    <w:rsid w:val="001F6A2D"/>
    <w:rsid w:val="001F6AD7"/>
    <w:rsid w:val="001F6CA8"/>
    <w:rsid w:val="001F6CE7"/>
    <w:rsid w:val="001F6ED7"/>
    <w:rsid w:val="001F70CE"/>
    <w:rsid w:val="001F715D"/>
    <w:rsid w:val="001F7243"/>
    <w:rsid w:val="001F72F0"/>
    <w:rsid w:val="001F7366"/>
    <w:rsid w:val="001F746F"/>
    <w:rsid w:val="001F7485"/>
    <w:rsid w:val="001F7565"/>
    <w:rsid w:val="001F7601"/>
    <w:rsid w:val="001F771B"/>
    <w:rsid w:val="001F797F"/>
    <w:rsid w:val="001F7D0D"/>
    <w:rsid w:val="001F7F5E"/>
    <w:rsid w:val="00200030"/>
    <w:rsid w:val="002000A2"/>
    <w:rsid w:val="002000AC"/>
    <w:rsid w:val="002000DF"/>
    <w:rsid w:val="00200142"/>
    <w:rsid w:val="002002AD"/>
    <w:rsid w:val="002003E5"/>
    <w:rsid w:val="0020041E"/>
    <w:rsid w:val="0020053B"/>
    <w:rsid w:val="0020054F"/>
    <w:rsid w:val="0020064A"/>
    <w:rsid w:val="00200676"/>
    <w:rsid w:val="0020067E"/>
    <w:rsid w:val="00200827"/>
    <w:rsid w:val="002008A4"/>
    <w:rsid w:val="002008CA"/>
    <w:rsid w:val="002009DB"/>
    <w:rsid w:val="00200A1F"/>
    <w:rsid w:val="00200A77"/>
    <w:rsid w:val="00200B17"/>
    <w:rsid w:val="00200BBE"/>
    <w:rsid w:val="00200BED"/>
    <w:rsid w:val="00200C2F"/>
    <w:rsid w:val="00200CFF"/>
    <w:rsid w:val="00200E1C"/>
    <w:rsid w:val="00201113"/>
    <w:rsid w:val="0020133E"/>
    <w:rsid w:val="0020136B"/>
    <w:rsid w:val="00201462"/>
    <w:rsid w:val="00201537"/>
    <w:rsid w:val="00201544"/>
    <w:rsid w:val="002015F7"/>
    <w:rsid w:val="00201669"/>
    <w:rsid w:val="002016DD"/>
    <w:rsid w:val="00201AD5"/>
    <w:rsid w:val="00201D9E"/>
    <w:rsid w:val="00201E5B"/>
    <w:rsid w:val="00201E70"/>
    <w:rsid w:val="00201E8D"/>
    <w:rsid w:val="00201FEC"/>
    <w:rsid w:val="002021F1"/>
    <w:rsid w:val="002023BE"/>
    <w:rsid w:val="002023C4"/>
    <w:rsid w:val="002024C8"/>
    <w:rsid w:val="0020255D"/>
    <w:rsid w:val="00202A78"/>
    <w:rsid w:val="00202AB7"/>
    <w:rsid w:val="00202D08"/>
    <w:rsid w:val="00202E74"/>
    <w:rsid w:val="00202FC7"/>
    <w:rsid w:val="00202FD4"/>
    <w:rsid w:val="00203000"/>
    <w:rsid w:val="00203056"/>
    <w:rsid w:val="002030C8"/>
    <w:rsid w:val="00203132"/>
    <w:rsid w:val="0020316C"/>
    <w:rsid w:val="0020316D"/>
    <w:rsid w:val="00203297"/>
    <w:rsid w:val="002032A9"/>
    <w:rsid w:val="002033B5"/>
    <w:rsid w:val="002033C0"/>
    <w:rsid w:val="002033FE"/>
    <w:rsid w:val="0020345F"/>
    <w:rsid w:val="002035C0"/>
    <w:rsid w:val="002039AA"/>
    <w:rsid w:val="00203A9B"/>
    <w:rsid w:val="00203AF2"/>
    <w:rsid w:val="00203BAA"/>
    <w:rsid w:val="00203C04"/>
    <w:rsid w:val="00203C8E"/>
    <w:rsid w:val="00203D01"/>
    <w:rsid w:val="00203D98"/>
    <w:rsid w:val="00203E0E"/>
    <w:rsid w:val="00204248"/>
    <w:rsid w:val="002042D3"/>
    <w:rsid w:val="00204333"/>
    <w:rsid w:val="002043E9"/>
    <w:rsid w:val="0020448C"/>
    <w:rsid w:val="002044A1"/>
    <w:rsid w:val="002045A4"/>
    <w:rsid w:val="0020461F"/>
    <w:rsid w:val="00204626"/>
    <w:rsid w:val="002047D3"/>
    <w:rsid w:val="002048C9"/>
    <w:rsid w:val="002048F1"/>
    <w:rsid w:val="00204909"/>
    <w:rsid w:val="00204934"/>
    <w:rsid w:val="00204A96"/>
    <w:rsid w:val="00204B59"/>
    <w:rsid w:val="00204BCC"/>
    <w:rsid w:val="00204C7E"/>
    <w:rsid w:val="00204CC3"/>
    <w:rsid w:val="00204DEA"/>
    <w:rsid w:val="00204DF9"/>
    <w:rsid w:val="00204E30"/>
    <w:rsid w:val="00204E87"/>
    <w:rsid w:val="00204EB4"/>
    <w:rsid w:val="0020504B"/>
    <w:rsid w:val="002051F4"/>
    <w:rsid w:val="00205230"/>
    <w:rsid w:val="00205381"/>
    <w:rsid w:val="00205443"/>
    <w:rsid w:val="00205622"/>
    <w:rsid w:val="0020567B"/>
    <w:rsid w:val="00205806"/>
    <w:rsid w:val="0020583D"/>
    <w:rsid w:val="002058D7"/>
    <w:rsid w:val="002058F3"/>
    <w:rsid w:val="0020595D"/>
    <w:rsid w:val="002059EC"/>
    <w:rsid w:val="00205A07"/>
    <w:rsid w:val="00205A84"/>
    <w:rsid w:val="00206056"/>
    <w:rsid w:val="0020605E"/>
    <w:rsid w:val="00206105"/>
    <w:rsid w:val="0020614D"/>
    <w:rsid w:val="002062F3"/>
    <w:rsid w:val="0020637C"/>
    <w:rsid w:val="002064C4"/>
    <w:rsid w:val="00206586"/>
    <w:rsid w:val="002065C4"/>
    <w:rsid w:val="002065D5"/>
    <w:rsid w:val="00206666"/>
    <w:rsid w:val="00206770"/>
    <w:rsid w:val="00206835"/>
    <w:rsid w:val="0020688E"/>
    <w:rsid w:val="002068B2"/>
    <w:rsid w:val="00206A67"/>
    <w:rsid w:val="00206B87"/>
    <w:rsid w:val="00206C33"/>
    <w:rsid w:val="00206C96"/>
    <w:rsid w:val="00206E53"/>
    <w:rsid w:val="00207042"/>
    <w:rsid w:val="002071D1"/>
    <w:rsid w:val="00207245"/>
    <w:rsid w:val="00207320"/>
    <w:rsid w:val="00207372"/>
    <w:rsid w:val="0020757F"/>
    <w:rsid w:val="002075B3"/>
    <w:rsid w:val="002076FE"/>
    <w:rsid w:val="00207860"/>
    <w:rsid w:val="00207C63"/>
    <w:rsid w:val="0021024B"/>
    <w:rsid w:val="00210292"/>
    <w:rsid w:val="00210296"/>
    <w:rsid w:val="00210463"/>
    <w:rsid w:val="00210469"/>
    <w:rsid w:val="00210470"/>
    <w:rsid w:val="002104F7"/>
    <w:rsid w:val="002105B0"/>
    <w:rsid w:val="002105E1"/>
    <w:rsid w:val="00210661"/>
    <w:rsid w:val="0021076F"/>
    <w:rsid w:val="002107AE"/>
    <w:rsid w:val="0021086C"/>
    <w:rsid w:val="00210B7C"/>
    <w:rsid w:val="00210D05"/>
    <w:rsid w:val="00210DF5"/>
    <w:rsid w:val="00210E4D"/>
    <w:rsid w:val="00210F33"/>
    <w:rsid w:val="00211083"/>
    <w:rsid w:val="002110B9"/>
    <w:rsid w:val="00211156"/>
    <w:rsid w:val="002111B9"/>
    <w:rsid w:val="002112ED"/>
    <w:rsid w:val="002113B9"/>
    <w:rsid w:val="0021145A"/>
    <w:rsid w:val="00211545"/>
    <w:rsid w:val="0021167F"/>
    <w:rsid w:val="002119CA"/>
    <w:rsid w:val="002119E6"/>
    <w:rsid w:val="00211AF5"/>
    <w:rsid w:val="00211AFD"/>
    <w:rsid w:val="00211B2C"/>
    <w:rsid w:val="00211D00"/>
    <w:rsid w:val="00211DE0"/>
    <w:rsid w:val="00211FA8"/>
    <w:rsid w:val="0021200A"/>
    <w:rsid w:val="00212065"/>
    <w:rsid w:val="002120CC"/>
    <w:rsid w:val="0021221E"/>
    <w:rsid w:val="0021222A"/>
    <w:rsid w:val="00212620"/>
    <w:rsid w:val="00212730"/>
    <w:rsid w:val="0021286B"/>
    <w:rsid w:val="00212943"/>
    <w:rsid w:val="00212B1B"/>
    <w:rsid w:val="00212B51"/>
    <w:rsid w:val="00212C5A"/>
    <w:rsid w:val="00212C66"/>
    <w:rsid w:val="00212CB5"/>
    <w:rsid w:val="00212D0A"/>
    <w:rsid w:val="00212D41"/>
    <w:rsid w:val="00212D94"/>
    <w:rsid w:val="00212F6A"/>
    <w:rsid w:val="00212FEF"/>
    <w:rsid w:val="00213051"/>
    <w:rsid w:val="002130E0"/>
    <w:rsid w:val="00213357"/>
    <w:rsid w:val="002133B5"/>
    <w:rsid w:val="002133BF"/>
    <w:rsid w:val="002134DE"/>
    <w:rsid w:val="0021351C"/>
    <w:rsid w:val="0021360A"/>
    <w:rsid w:val="00213906"/>
    <w:rsid w:val="00213969"/>
    <w:rsid w:val="00213974"/>
    <w:rsid w:val="002139B0"/>
    <w:rsid w:val="00213BDE"/>
    <w:rsid w:val="00213D85"/>
    <w:rsid w:val="00213DD3"/>
    <w:rsid w:val="00213E4A"/>
    <w:rsid w:val="00213EA2"/>
    <w:rsid w:val="002140CE"/>
    <w:rsid w:val="0021411D"/>
    <w:rsid w:val="0021414D"/>
    <w:rsid w:val="00214154"/>
    <w:rsid w:val="00214274"/>
    <w:rsid w:val="002142D3"/>
    <w:rsid w:val="00214582"/>
    <w:rsid w:val="002146D3"/>
    <w:rsid w:val="00214881"/>
    <w:rsid w:val="00214A32"/>
    <w:rsid w:val="00214B45"/>
    <w:rsid w:val="00214C13"/>
    <w:rsid w:val="00214C17"/>
    <w:rsid w:val="00214D20"/>
    <w:rsid w:val="00214D72"/>
    <w:rsid w:val="00214E92"/>
    <w:rsid w:val="00214F14"/>
    <w:rsid w:val="00215000"/>
    <w:rsid w:val="0021517D"/>
    <w:rsid w:val="00215181"/>
    <w:rsid w:val="0021521D"/>
    <w:rsid w:val="002152B4"/>
    <w:rsid w:val="00215323"/>
    <w:rsid w:val="002154B2"/>
    <w:rsid w:val="00215511"/>
    <w:rsid w:val="00215626"/>
    <w:rsid w:val="002158A8"/>
    <w:rsid w:val="002158BB"/>
    <w:rsid w:val="00215935"/>
    <w:rsid w:val="00215BFD"/>
    <w:rsid w:val="00215C21"/>
    <w:rsid w:val="00215C9D"/>
    <w:rsid w:val="00215CD0"/>
    <w:rsid w:val="00215E4A"/>
    <w:rsid w:val="00215EB9"/>
    <w:rsid w:val="00216056"/>
    <w:rsid w:val="00216061"/>
    <w:rsid w:val="00216089"/>
    <w:rsid w:val="002160A8"/>
    <w:rsid w:val="002161BC"/>
    <w:rsid w:val="002163E2"/>
    <w:rsid w:val="00216470"/>
    <w:rsid w:val="0021648F"/>
    <w:rsid w:val="002164CC"/>
    <w:rsid w:val="0021651A"/>
    <w:rsid w:val="0021658E"/>
    <w:rsid w:val="0021665F"/>
    <w:rsid w:val="002166A2"/>
    <w:rsid w:val="002166F4"/>
    <w:rsid w:val="002167BE"/>
    <w:rsid w:val="002167CC"/>
    <w:rsid w:val="00216821"/>
    <w:rsid w:val="00216953"/>
    <w:rsid w:val="002169C1"/>
    <w:rsid w:val="002169E0"/>
    <w:rsid w:val="00216D5B"/>
    <w:rsid w:val="00216E24"/>
    <w:rsid w:val="00216FB9"/>
    <w:rsid w:val="00216FE0"/>
    <w:rsid w:val="00216FED"/>
    <w:rsid w:val="0021723F"/>
    <w:rsid w:val="00217465"/>
    <w:rsid w:val="00217470"/>
    <w:rsid w:val="002174CB"/>
    <w:rsid w:val="002174F5"/>
    <w:rsid w:val="00217620"/>
    <w:rsid w:val="002177D4"/>
    <w:rsid w:val="00217848"/>
    <w:rsid w:val="0021790C"/>
    <w:rsid w:val="00217992"/>
    <w:rsid w:val="00217A8F"/>
    <w:rsid w:val="00217C7A"/>
    <w:rsid w:val="00217D14"/>
    <w:rsid w:val="00217DCC"/>
    <w:rsid w:val="00217F27"/>
    <w:rsid w:val="00217F8A"/>
    <w:rsid w:val="00220076"/>
    <w:rsid w:val="00220089"/>
    <w:rsid w:val="002201F3"/>
    <w:rsid w:val="0022022F"/>
    <w:rsid w:val="0022024B"/>
    <w:rsid w:val="00220491"/>
    <w:rsid w:val="0022050B"/>
    <w:rsid w:val="002205B4"/>
    <w:rsid w:val="00220709"/>
    <w:rsid w:val="00220710"/>
    <w:rsid w:val="002208F9"/>
    <w:rsid w:val="0022093F"/>
    <w:rsid w:val="002209B1"/>
    <w:rsid w:val="00220A2A"/>
    <w:rsid w:val="00220A2E"/>
    <w:rsid w:val="00220A8F"/>
    <w:rsid w:val="00220AA6"/>
    <w:rsid w:val="00220AFC"/>
    <w:rsid w:val="00220B8C"/>
    <w:rsid w:val="00220B9D"/>
    <w:rsid w:val="00220C5E"/>
    <w:rsid w:val="00220CC4"/>
    <w:rsid w:val="00220CFE"/>
    <w:rsid w:val="00220D44"/>
    <w:rsid w:val="00220DB8"/>
    <w:rsid w:val="00220DDC"/>
    <w:rsid w:val="00220DE4"/>
    <w:rsid w:val="00220EF4"/>
    <w:rsid w:val="00220F96"/>
    <w:rsid w:val="00220FBB"/>
    <w:rsid w:val="00220FFC"/>
    <w:rsid w:val="00221331"/>
    <w:rsid w:val="0022135B"/>
    <w:rsid w:val="002213E0"/>
    <w:rsid w:val="002215B9"/>
    <w:rsid w:val="0022169A"/>
    <w:rsid w:val="002216C9"/>
    <w:rsid w:val="00221703"/>
    <w:rsid w:val="0022171E"/>
    <w:rsid w:val="00221729"/>
    <w:rsid w:val="00221902"/>
    <w:rsid w:val="00221975"/>
    <w:rsid w:val="00221B54"/>
    <w:rsid w:val="00221B5D"/>
    <w:rsid w:val="00221BD3"/>
    <w:rsid w:val="00221C46"/>
    <w:rsid w:val="00221E16"/>
    <w:rsid w:val="002220E5"/>
    <w:rsid w:val="00222196"/>
    <w:rsid w:val="00222353"/>
    <w:rsid w:val="0022240D"/>
    <w:rsid w:val="00222455"/>
    <w:rsid w:val="00222490"/>
    <w:rsid w:val="00222753"/>
    <w:rsid w:val="00222839"/>
    <w:rsid w:val="0022284D"/>
    <w:rsid w:val="00222955"/>
    <w:rsid w:val="002229B3"/>
    <w:rsid w:val="00222A09"/>
    <w:rsid w:val="00222B75"/>
    <w:rsid w:val="00222BF1"/>
    <w:rsid w:val="00222E52"/>
    <w:rsid w:val="00222F0C"/>
    <w:rsid w:val="002230A7"/>
    <w:rsid w:val="00223357"/>
    <w:rsid w:val="00223373"/>
    <w:rsid w:val="00223496"/>
    <w:rsid w:val="002234AA"/>
    <w:rsid w:val="002235B2"/>
    <w:rsid w:val="002236B6"/>
    <w:rsid w:val="002236C5"/>
    <w:rsid w:val="002239E5"/>
    <w:rsid w:val="00223B17"/>
    <w:rsid w:val="00223B8E"/>
    <w:rsid w:val="00223BDE"/>
    <w:rsid w:val="00223C3D"/>
    <w:rsid w:val="00223C4C"/>
    <w:rsid w:val="00223F1F"/>
    <w:rsid w:val="00223F47"/>
    <w:rsid w:val="00223FA5"/>
    <w:rsid w:val="00224054"/>
    <w:rsid w:val="00224082"/>
    <w:rsid w:val="00224138"/>
    <w:rsid w:val="002241C2"/>
    <w:rsid w:val="002242F6"/>
    <w:rsid w:val="002243E1"/>
    <w:rsid w:val="0022452F"/>
    <w:rsid w:val="00224676"/>
    <w:rsid w:val="00224695"/>
    <w:rsid w:val="002247CC"/>
    <w:rsid w:val="002247DF"/>
    <w:rsid w:val="0022481D"/>
    <w:rsid w:val="00224BED"/>
    <w:rsid w:val="00224C4A"/>
    <w:rsid w:val="00224C53"/>
    <w:rsid w:val="00224C58"/>
    <w:rsid w:val="00224C8A"/>
    <w:rsid w:val="00224D94"/>
    <w:rsid w:val="00224EE8"/>
    <w:rsid w:val="00224F97"/>
    <w:rsid w:val="0022506F"/>
    <w:rsid w:val="00225076"/>
    <w:rsid w:val="002251C4"/>
    <w:rsid w:val="002252CA"/>
    <w:rsid w:val="0022538D"/>
    <w:rsid w:val="002253C9"/>
    <w:rsid w:val="002253FE"/>
    <w:rsid w:val="002255CF"/>
    <w:rsid w:val="002255DA"/>
    <w:rsid w:val="002258B8"/>
    <w:rsid w:val="00225913"/>
    <w:rsid w:val="00225B13"/>
    <w:rsid w:val="00225CB1"/>
    <w:rsid w:val="00225CE5"/>
    <w:rsid w:val="00225D39"/>
    <w:rsid w:val="00225D78"/>
    <w:rsid w:val="00225E4A"/>
    <w:rsid w:val="00225F90"/>
    <w:rsid w:val="0022612C"/>
    <w:rsid w:val="002261FC"/>
    <w:rsid w:val="00226201"/>
    <w:rsid w:val="0022632F"/>
    <w:rsid w:val="0022634D"/>
    <w:rsid w:val="00226403"/>
    <w:rsid w:val="00226659"/>
    <w:rsid w:val="00226749"/>
    <w:rsid w:val="0022684B"/>
    <w:rsid w:val="00226A78"/>
    <w:rsid w:val="00226C81"/>
    <w:rsid w:val="00226CA2"/>
    <w:rsid w:val="00226CC0"/>
    <w:rsid w:val="00226DFD"/>
    <w:rsid w:val="00226F17"/>
    <w:rsid w:val="00226F64"/>
    <w:rsid w:val="00226F96"/>
    <w:rsid w:val="00227100"/>
    <w:rsid w:val="0022717F"/>
    <w:rsid w:val="002271B9"/>
    <w:rsid w:val="002273DC"/>
    <w:rsid w:val="0022743C"/>
    <w:rsid w:val="002275AA"/>
    <w:rsid w:val="002275EB"/>
    <w:rsid w:val="0022764E"/>
    <w:rsid w:val="0022765C"/>
    <w:rsid w:val="002276A4"/>
    <w:rsid w:val="002277A3"/>
    <w:rsid w:val="002278D6"/>
    <w:rsid w:val="0023013E"/>
    <w:rsid w:val="002301A6"/>
    <w:rsid w:val="00230494"/>
    <w:rsid w:val="0023068B"/>
    <w:rsid w:val="0023069E"/>
    <w:rsid w:val="0023078A"/>
    <w:rsid w:val="00230939"/>
    <w:rsid w:val="00230B27"/>
    <w:rsid w:val="00230B39"/>
    <w:rsid w:val="00230B72"/>
    <w:rsid w:val="00230C5B"/>
    <w:rsid w:val="00230D34"/>
    <w:rsid w:val="00230D69"/>
    <w:rsid w:val="00230E14"/>
    <w:rsid w:val="00230E7B"/>
    <w:rsid w:val="00230E85"/>
    <w:rsid w:val="00230F79"/>
    <w:rsid w:val="00230FB9"/>
    <w:rsid w:val="0023105F"/>
    <w:rsid w:val="00231105"/>
    <w:rsid w:val="0023114F"/>
    <w:rsid w:val="002312C7"/>
    <w:rsid w:val="002312C9"/>
    <w:rsid w:val="00231305"/>
    <w:rsid w:val="00231508"/>
    <w:rsid w:val="00231535"/>
    <w:rsid w:val="002315C7"/>
    <w:rsid w:val="002316C2"/>
    <w:rsid w:val="002316D1"/>
    <w:rsid w:val="0023173A"/>
    <w:rsid w:val="0023173F"/>
    <w:rsid w:val="00231803"/>
    <w:rsid w:val="00231814"/>
    <w:rsid w:val="00231843"/>
    <w:rsid w:val="00231877"/>
    <w:rsid w:val="00231B67"/>
    <w:rsid w:val="00231C43"/>
    <w:rsid w:val="00231C74"/>
    <w:rsid w:val="00231C9E"/>
    <w:rsid w:val="00231DB0"/>
    <w:rsid w:val="00231E1A"/>
    <w:rsid w:val="00231E4E"/>
    <w:rsid w:val="00231F6F"/>
    <w:rsid w:val="002321BC"/>
    <w:rsid w:val="0023221E"/>
    <w:rsid w:val="00232263"/>
    <w:rsid w:val="00232314"/>
    <w:rsid w:val="002324B2"/>
    <w:rsid w:val="00232509"/>
    <w:rsid w:val="002325DB"/>
    <w:rsid w:val="002326A1"/>
    <w:rsid w:val="00232704"/>
    <w:rsid w:val="002327B5"/>
    <w:rsid w:val="002328EF"/>
    <w:rsid w:val="00232A6B"/>
    <w:rsid w:val="00232D25"/>
    <w:rsid w:val="00232D60"/>
    <w:rsid w:val="00232FF5"/>
    <w:rsid w:val="002330B0"/>
    <w:rsid w:val="002330C0"/>
    <w:rsid w:val="002330E6"/>
    <w:rsid w:val="00233336"/>
    <w:rsid w:val="00233339"/>
    <w:rsid w:val="00233369"/>
    <w:rsid w:val="002333A9"/>
    <w:rsid w:val="002337B9"/>
    <w:rsid w:val="0023380A"/>
    <w:rsid w:val="00233A43"/>
    <w:rsid w:val="00233C46"/>
    <w:rsid w:val="00233CE3"/>
    <w:rsid w:val="00233E1C"/>
    <w:rsid w:val="00233EBF"/>
    <w:rsid w:val="00233EC2"/>
    <w:rsid w:val="00233FB5"/>
    <w:rsid w:val="002340AE"/>
    <w:rsid w:val="002342B6"/>
    <w:rsid w:val="002342D5"/>
    <w:rsid w:val="00234344"/>
    <w:rsid w:val="00234516"/>
    <w:rsid w:val="0023453C"/>
    <w:rsid w:val="002346B1"/>
    <w:rsid w:val="002346C7"/>
    <w:rsid w:val="00234772"/>
    <w:rsid w:val="00234826"/>
    <w:rsid w:val="002348A6"/>
    <w:rsid w:val="002348B2"/>
    <w:rsid w:val="00234AD4"/>
    <w:rsid w:val="00234BB2"/>
    <w:rsid w:val="00234C8A"/>
    <w:rsid w:val="00234CD1"/>
    <w:rsid w:val="00234D51"/>
    <w:rsid w:val="00234D54"/>
    <w:rsid w:val="002350CF"/>
    <w:rsid w:val="00235247"/>
    <w:rsid w:val="0023528B"/>
    <w:rsid w:val="0023529D"/>
    <w:rsid w:val="00235334"/>
    <w:rsid w:val="002353AD"/>
    <w:rsid w:val="00235499"/>
    <w:rsid w:val="002354E0"/>
    <w:rsid w:val="00235539"/>
    <w:rsid w:val="0023555B"/>
    <w:rsid w:val="0023563A"/>
    <w:rsid w:val="00235690"/>
    <w:rsid w:val="002357EB"/>
    <w:rsid w:val="00235800"/>
    <w:rsid w:val="002358DC"/>
    <w:rsid w:val="00235943"/>
    <w:rsid w:val="00235971"/>
    <w:rsid w:val="00235B12"/>
    <w:rsid w:val="00235B84"/>
    <w:rsid w:val="00235BB8"/>
    <w:rsid w:val="00235E9D"/>
    <w:rsid w:val="00235F5F"/>
    <w:rsid w:val="00236007"/>
    <w:rsid w:val="0023610E"/>
    <w:rsid w:val="0023630D"/>
    <w:rsid w:val="00236311"/>
    <w:rsid w:val="0023633F"/>
    <w:rsid w:val="00236350"/>
    <w:rsid w:val="002364AD"/>
    <w:rsid w:val="002364C6"/>
    <w:rsid w:val="00236614"/>
    <w:rsid w:val="002366F4"/>
    <w:rsid w:val="002368D0"/>
    <w:rsid w:val="00236916"/>
    <w:rsid w:val="002369A6"/>
    <w:rsid w:val="00236A96"/>
    <w:rsid w:val="00236C37"/>
    <w:rsid w:val="00236C8E"/>
    <w:rsid w:val="00236D9E"/>
    <w:rsid w:val="00236DCA"/>
    <w:rsid w:val="00236E11"/>
    <w:rsid w:val="00236F75"/>
    <w:rsid w:val="00236FB3"/>
    <w:rsid w:val="00236FB5"/>
    <w:rsid w:val="0023709B"/>
    <w:rsid w:val="002370FB"/>
    <w:rsid w:val="002371A5"/>
    <w:rsid w:val="00237286"/>
    <w:rsid w:val="00237358"/>
    <w:rsid w:val="002373B7"/>
    <w:rsid w:val="00237449"/>
    <w:rsid w:val="002376FF"/>
    <w:rsid w:val="00237727"/>
    <w:rsid w:val="0023774E"/>
    <w:rsid w:val="002377A4"/>
    <w:rsid w:val="002377D8"/>
    <w:rsid w:val="002378A8"/>
    <w:rsid w:val="00237968"/>
    <w:rsid w:val="002379B7"/>
    <w:rsid w:val="00237A03"/>
    <w:rsid w:val="00237A5F"/>
    <w:rsid w:val="00237B81"/>
    <w:rsid w:val="00237D13"/>
    <w:rsid w:val="00237DF9"/>
    <w:rsid w:val="00237E50"/>
    <w:rsid w:val="00237E52"/>
    <w:rsid w:val="00237E6E"/>
    <w:rsid w:val="00237E93"/>
    <w:rsid w:val="00237EA9"/>
    <w:rsid w:val="00237F0D"/>
    <w:rsid w:val="00240148"/>
    <w:rsid w:val="002401A1"/>
    <w:rsid w:val="002402CF"/>
    <w:rsid w:val="002404AA"/>
    <w:rsid w:val="00240551"/>
    <w:rsid w:val="00240591"/>
    <w:rsid w:val="00240721"/>
    <w:rsid w:val="00240A0F"/>
    <w:rsid w:val="00240A23"/>
    <w:rsid w:val="00240A42"/>
    <w:rsid w:val="00240A7E"/>
    <w:rsid w:val="00240C7E"/>
    <w:rsid w:val="00240D68"/>
    <w:rsid w:val="00240ED9"/>
    <w:rsid w:val="00241025"/>
    <w:rsid w:val="00241099"/>
    <w:rsid w:val="00241160"/>
    <w:rsid w:val="002411CF"/>
    <w:rsid w:val="0024139D"/>
    <w:rsid w:val="002413A4"/>
    <w:rsid w:val="002413BF"/>
    <w:rsid w:val="0024140E"/>
    <w:rsid w:val="00241530"/>
    <w:rsid w:val="0024157C"/>
    <w:rsid w:val="00241643"/>
    <w:rsid w:val="002416C2"/>
    <w:rsid w:val="00241837"/>
    <w:rsid w:val="00241910"/>
    <w:rsid w:val="00241973"/>
    <w:rsid w:val="00241983"/>
    <w:rsid w:val="002419AD"/>
    <w:rsid w:val="00241AFD"/>
    <w:rsid w:val="00241B23"/>
    <w:rsid w:val="00241C50"/>
    <w:rsid w:val="00241DC2"/>
    <w:rsid w:val="0024219C"/>
    <w:rsid w:val="002421E9"/>
    <w:rsid w:val="00242389"/>
    <w:rsid w:val="00242396"/>
    <w:rsid w:val="00242442"/>
    <w:rsid w:val="0024258B"/>
    <w:rsid w:val="002425C3"/>
    <w:rsid w:val="00242637"/>
    <w:rsid w:val="00242799"/>
    <w:rsid w:val="002427A2"/>
    <w:rsid w:val="00242814"/>
    <w:rsid w:val="00242869"/>
    <w:rsid w:val="0024288B"/>
    <w:rsid w:val="002428B2"/>
    <w:rsid w:val="002429A2"/>
    <w:rsid w:val="00242A4F"/>
    <w:rsid w:val="00242BFB"/>
    <w:rsid w:val="00242C3E"/>
    <w:rsid w:val="00242D61"/>
    <w:rsid w:val="002430E6"/>
    <w:rsid w:val="0024311D"/>
    <w:rsid w:val="002432C7"/>
    <w:rsid w:val="0024365C"/>
    <w:rsid w:val="0024380C"/>
    <w:rsid w:val="0024385E"/>
    <w:rsid w:val="00243995"/>
    <w:rsid w:val="00243A32"/>
    <w:rsid w:val="00243D77"/>
    <w:rsid w:val="00243D94"/>
    <w:rsid w:val="00243DA3"/>
    <w:rsid w:val="00243F9F"/>
    <w:rsid w:val="0024402D"/>
    <w:rsid w:val="0024419F"/>
    <w:rsid w:val="002441C8"/>
    <w:rsid w:val="002442E3"/>
    <w:rsid w:val="00244316"/>
    <w:rsid w:val="00244494"/>
    <w:rsid w:val="002445A7"/>
    <w:rsid w:val="00244611"/>
    <w:rsid w:val="002447E6"/>
    <w:rsid w:val="002447F3"/>
    <w:rsid w:val="00244935"/>
    <w:rsid w:val="0024498D"/>
    <w:rsid w:val="00244A44"/>
    <w:rsid w:val="00244B4F"/>
    <w:rsid w:val="00244DE4"/>
    <w:rsid w:val="00244F29"/>
    <w:rsid w:val="00245155"/>
    <w:rsid w:val="00245214"/>
    <w:rsid w:val="00245355"/>
    <w:rsid w:val="00245573"/>
    <w:rsid w:val="00245587"/>
    <w:rsid w:val="002455AF"/>
    <w:rsid w:val="002455EF"/>
    <w:rsid w:val="002457A1"/>
    <w:rsid w:val="002457AA"/>
    <w:rsid w:val="002458DD"/>
    <w:rsid w:val="00245A16"/>
    <w:rsid w:val="00245A79"/>
    <w:rsid w:val="00245B83"/>
    <w:rsid w:val="00245BBD"/>
    <w:rsid w:val="00245CEC"/>
    <w:rsid w:val="00245D0D"/>
    <w:rsid w:val="00245D6E"/>
    <w:rsid w:val="00245E0E"/>
    <w:rsid w:val="00245EDE"/>
    <w:rsid w:val="00245FD9"/>
    <w:rsid w:val="00246047"/>
    <w:rsid w:val="0024605D"/>
    <w:rsid w:val="002460AA"/>
    <w:rsid w:val="002461E0"/>
    <w:rsid w:val="002465AC"/>
    <w:rsid w:val="002465C7"/>
    <w:rsid w:val="002466C1"/>
    <w:rsid w:val="002466D4"/>
    <w:rsid w:val="00246769"/>
    <w:rsid w:val="00246786"/>
    <w:rsid w:val="002467B4"/>
    <w:rsid w:val="0024685C"/>
    <w:rsid w:val="00246922"/>
    <w:rsid w:val="00246A5B"/>
    <w:rsid w:val="00246C44"/>
    <w:rsid w:val="00246CC3"/>
    <w:rsid w:val="00246D69"/>
    <w:rsid w:val="00246DAA"/>
    <w:rsid w:val="00246DAF"/>
    <w:rsid w:val="00246DBF"/>
    <w:rsid w:val="00247042"/>
    <w:rsid w:val="002470C7"/>
    <w:rsid w:val="002471B1"/>
    <w:rsid w:val="002471F1"/>
    <w:rsid w:val="0024729C"/>
    <w:rsid w:val="00247538"/>
    <w:rsid w:val="0024755B"/>
    <w:rsid w:val="002475A6"/>
    <w:rsid w:val="002475EE"/>
    <w:rsid w:val="002475F2"/>
    <w:rsid w:val="0024768A"/>
    <w:rsid w:val="00247692"/>
    <w:rsid w:val="0024769D"/>
    <w:rsid w:val="00247838"/>
    <w:rsid w:val="00247996"/>
    <w:rsid w:val="00247A31"/>
    <w:rsid w:val="00247A4C"/>
    <w:rsid w:val="00247C0A"/>
    <w:rsid w:val="00247DDC"/>
    <w:rsid w:val="00247DE6"/>
    <w:rsid w:val="00247E1F"/>
    <w:rsid w:val="00247E9E"/>
    <w:rsid w:val="00247F07"/>
    <w:rsid w:val="00247F95"/>
    <w:rsid w:val="0025008B"/>
    <w:rsid w:val="002500E1"/>
    <w:rsid w:val="0025028A"/>
    <w:rsid w:val="00250370"/>
    <w:rsid w:val="00250409"/>
    <w:rsid w:val="002504FD"/>
    <w:rsid w:val="00250740"/>
    <w:rsid w:val="002507DC"/>
    <w:rsid w:val="002507FB"/>
    <w:rsid w:val="00250825"/>
    <w:rsid w:val="0025085F"/>
    <w:rsid w:val="002508DB"/>
    <w:rsid w:val="002508ED"/>
    <w:rsid w:val="002509CA"/>
    <w:rsid w:val="00250AD4"/>
    <w:rsid w:val="00250AE9"/>
    <w:rsid w:val="00250CED"/>
    <w:rsid w:val="00250E60"/>
    <w:rsid w:val="00250F1F"/>
    <w:rsid w:val="00251075"/>
    <w:rsid w:val="002516DC"/>
    <w:rsid w:val="00251786"/>
    <w:rsid w:val="002517B2"/>
    <w:rsid w:val="00251831"/>
    <w:rsid w:val="00251867"/>
    <w:rsid w:val="0025198F"/>
    <w:rsid w:val="002519BB"/>
    <w:rsid w:val="002519F2"/>
    <w:rsid w:val="00251B2A"/>
    <w:rsid w:val="00251B97"/>
    <w:rsid w:val="00251BA1"/>
    <w:rsid w:val="00251CA5"/>
    <w:rsid w:val="00251DA2"/>
    <w:rsid w:val="00251EE2"/>
    <w:rsid w:val="00251FBD"/>
    <w:rsid w:val="002520AC"/>
    <w:rsid w:val="00252150"/>
    <w:rsid w:val="00252180"/>
    <w:rsid w:val="00252243"/>
    <w:rsid w:val="00252271"/>
    <w:rsid w:val="00252336"/>
    <w:rsid w:val="0025233C"/>
    <w:rsid w:val="002523B1"/>
    <w:rsid w:val="002524BA"/>
    <w:rsid w:val="002524CF"/>
    <w:rsid w:val="0025267D"/>
    <w:rsid w:val="002526C2"/>
    <w:rsid w:val="002527CA"/>
    <w:rsid w:val="0025294D"/>
    <w:rsid w:val="00252A05"/>
    <w:rsid w:val="00252A96"/>
    <w:rsid w:val="00252AFC"/>
    <w:rsid w:val="00252C91"/>
    <w:rsid w:val="00252DF0"/>
    <w:rsid w:val="00252EA6"/>
    <w:rsid w:val="002530E3"/>
    <w:rsid w:val="00253102"/>
    <w:rsid w:val="002531AB"/>
    <w:rsid w:val="00253220"/>
    <w:rsid w:val="0025322B"/>
    <w:rsid w:val="00253264"/>
    <w:rsid w:val="002532C1"/>
    <w:rsid w:val="0025332C"/>
    <w:rsid w:val="0025337D"/>
    <w:rsid w:val="002535F7"/>
    <w:rsid w:val="00253687"/>
    <w:rsid w:val="002536E4"/>
    <w:rsid w:val="00253717"/>
    <w:rsid w:val="002538ED"/>
    <w:rsid w:val="0025395D"/>
    <w:rsid w:val="00253BEB"/>
    <w:rsid w:val="00253DFF"/>
    <w:rsid w:val="00253F73"/>
    <w:rsid w:val="00254007"/>
    <w:rsid w:val="00254118"/>
    <w:rsid w:val="00254479"/>
    <w:rsid w:val="00254483"/>
    <w:rsid w:val="00254487"/>
    <w:rsid w:val="002546C6"/>
    <w:rsid w:val="0025481C"/>
    <w:rsid w:val="00254862"/>
    <w:rsid w:val="00254901"/>
    <w:rsid w:val="002549D2"/>
    <w:rsid w:val="00254A27"/>
    <w:rsid w:val="00254CFB"/>
    <w:rsid w:val="00254D56"/>
    <w:rsid w:val="00254E74"/>
    <w:rsid w:val="002550C9"/>
    <w:rsid w:val="002550FB"/>
    <w:rsid w:val="00255586"/>
    <w:rsid w:val="002556EC"/>
    <w:rsid w:val="0025575E"/>
    <w:rsid w:val="002557E6"/>
    <w:rsid w:val="0025585A"/>
    <w:rsid w:val="002558C2"/>
    <w:rsid w:val="00255965"/>
    <w:rsid w:val="00255B08"/>
    <w:rsid w:val="00255C09"/>
    <w:rsid w:val="00255DC8"/>
    <w:rsid w:val="00255E9E"/>
    <w:rsid w:val="00255F42"/>
    <w:rsid w:val="00256024"/>
    <w:rsid w:val="00256046"/>
    <w:rsid w:val="002561C2"/>
    <w:rsid w:val="0025628F"/>
    <w:rsid w:val="002563DC"/>
    <w:rsid w:val="002563E2"/>
    <w:rsid w:val="002564FE"/>
    <w:rsid w:val="00256506"/>
    <w:rsid w:val="0025656F"/>
    <w:rsid w:val="00256572"/>
    <w:rsid w:val="002565A8"/>
    <w:rsid w:val="00256655"/>
    <w:rsid w:val="00256810"/>
    <w:rsid w:val="00256856"/>
    <w:rsid w:val="002568CC"/>
    <w:rsid w:val="00256CF3"/>
    <w:rsid w:val="00256E97"/>
    <w:rsid w:val="00256F2C"/>
    <w:rsid w:val="00256F72"/>
    <w:rsid w:val="00256FCA"/>
    <w:rsid w:val="00257006"/>
    <w:rsid w:val="0025701F"/>
    <w:rsid w:val="002572FC"/>
    <w:rsid w:val="00257324"/>
    <w:rsid w:val="002573A7"/>
    <w:rsid w:val="0025747A"/>
    <w:rsid w:val="0025749C"/>
    <w:rsid w:val="002574C5"/>
    <w:rsid w:val="002575C0"/>
    <w:rsid w:val="00257662"/>
    <w:rsid w:val="00257715"/>
    <w:rsid w:val="00257A24"/>
    <w:rsid w:val="00257A6B"/>
    <w:rsid w:val="00257AF7"/>
    <w:rsid w:val="00257AFE"/>
    <w:rsid w:val="00257B28"/>
    <w:rsid w:val="00257BFA"/>
    <w:rsid w:val="00257C5F"/>
    <w:rsid w:val="00257C95"/>
    <w:rsid w:val="00257DDB"/>
    <w:rsid w:val="00257E23"/>
    <w:rsid w:val="00257EED"/>
    <w:rsid w:val="00257F30"/>
    <w:rsid w:val="00257FBB"/>
    <w:rsid w:val="002602D8"/>
    <w:rsid w:val="0026031C"/>
    <w:rsid w:val="00260395"/>
    <w:rsid w:val="00260398"/>
    <w:rsid w:val="002603D0"/>
    <w:rsid w:val="00260426"/>
    <w:rsid w:val="002606CD"/>
    <w:rsid w:val="00260733"/>
    <w:rsid w:val="002608E3"/>
    <w:rsid w:val="00260935"/>
    <w:rsid w:val="002609E0"/>
    <w:rsid w:val="00260AE3"/>
    <w:rsid w:val="00260B77"/>
    <w:rsid w:val="00260C3D"/>
    <w:rsid w:val="00260CBB"/>
    <w:rsid w:val="00260D3E"/>
    <w:rsid w:val="00260D51"/>
    <w:rsid w:val="00260D5D"/>
    <w:rsid w:val="00260DCF"/>
    <w:rsid w:val="00260F25"/>
    <w:rsid w:val="00260F6A"/>
    <w:rsid w:val="00260FD8"/>
    <w:rsid w:val="0026108F"/>
    <w:rsid w:val="00261104"/>
    <w:rsid w:val="002611D0"/>
    <w:rsid w:val="002611D1"/>
    <w:rsid w:val="002611F4"/>
    <w:rsid w:val="00261236"/>
    <w:rsid w:val="0026125C"/>
    <w:rsid w:val="0026154D"/>
    <w:rsid w:val="002617BA"/>
    <w:rsid w:val="0026182B"/>
    <w:rsid w:val="0026182D"/>
    <w:rsid w:val="0026190D"/>
    <w:rsid w:val="00261A19"/>
    <w:rsid w:val="00261A33"/>
    <w:rsid w:val="00261A60"/>
    <w:rsid w:val="00261B59"/>
    <w:rsid w:val="00261CB9"/>
    <w:rsid w:val="00261CDB"/>
    <w:rsid w:val="00261CFF"/>
    <w:rsid w:val="00261D2E"/>
    <w:rsid w:val="00261D9C"/>
    <w:rsid w:val="00261DC5"/>
    <w:rsid w:val="00261EFB"/>
    <w:rsid w:val="00261F01"/>
    <w:rsid w:val="00262021"/>
    <w:rsid w:val="00262113"/>
    <w:rsid w:val="002622A7"/>
    <w:rsid w:val="0026234A"/>
    <w:rsid w:val="00262360"/>
    <w:rsid w:val="002623A0"/>
    <w:rsid w:val="00262405"/>
    <w:rsid w:val="002624F8"/>
    <w:rsid w:val="00262510"/>
    <w:rsid w:val="002625EA"/>
    <w:rsid w:val="00262989"/>
    <w:rsid w:val="002629AF"/>
    <w:rsid w:val="002629B3"/>
    <w:rsid w:val="00262C06"/>
    <w:rsid w:val="00262FE3"/>
    <w:rsid w:val="00262FFF"/>
    <w:rsid w:val="00263123"/>
    <w:rsid w:val="00263247"/>
    <w:rsid w:val="0026331F"/>
    <w:rsid w:val="00263337"/>
    <w:rsid w:val="002633EB"/>
    <w:rsid w:val="0026351E"/>
    <w:rsid w:val="00263711"/>
    <w:rsid w:val="002637F7"/>
    <w:rsid w:val="0026380E"/>
    <w:rsid w:val="00263A40"/>
    <w:rsid w:val="00263BCF"/>
    <w:rsid w:val="00263DF9"/>
    <w:rsid w:val="00263E56"/>
    <w:rsid w:val="00263F09"/>
    <w:rsid w:val="00263F15"/>
    <w:rsid w:val="00264048"/>
    <w:rsid w:val="002640C4"/>
    <w:rsid w:val="002640D9"/>
    <w:rsid w:val="00264125"/>
    <w:rsid w:val="0026426A"/>
    <w:rsid w:val="002642C9"/>
    <w:rsid w:val="00264382"/>
    <w:rsid w:val="002643FE"/>
    <w:rsid w:val="00264403"/>
    <w:rsid w:val="002644FB"/>
    <w:rsid w:val="0026454F"/>
    <w:rsid w:val="0026466E"/>
    <w:rsid w:val="00264744"/>
    <w:rsid w:val="002648FC"/>
    <w:rsid w:val="00264A63"/>
    <w:rsid w:val="00264AE1"/>
    <w:rsid w:val="00264BC3"/>
    <w:rsid w:val="00264E70"/>
    <w:rsid w:val="00265040"/>
    <w:rsid w:val="0026517B"/>
    <w:rsid w:val="00265313"/>
    <w:rsid w:val="00265848"/>
    <w:rsid w:val="00265854"/>
    <w:rsid w:val="0026586F"/>
    <w:rsid w:val="002659BA"/>
    <w:rsid w:val="00265A0B"/>
    <w:rsid w:val="00265A33"/>
    <w:rsid w:val="00265C02"/>
    <w:rsid w:val="00265D84"/>
    <w:rsid w:val="00265F1D"/>
    <w:rsid w:val="00265F2B"/>
    <w:rsid w:val="00266107"/>
    <w:rsid w:val="002664E5"/>
    <w:rsid w:val="0026664C"/>
    <w:rsid w:val="00266743"/>
    <w:rsid w:val="00266783"/>
    <w:rsid w:val="00266804"/>
    <w:rsid w:val="0026692D"/>
    <w:rsid w:val="002669BB"/>
    <w:rsid w:val="002669BF"/>
    <w:rsid w:val="00266AF5"/>
    <w:rsid w:val="00266B7E"/>
    <w:rsid w:val="00266BCF"/>
    <w:rsid w:val="00266C45"/>
    <w:rsid w:val="00266C70"/>
    <w:rsid w:val="00266D60"/>
    <w:rsid w:val="00266D80"/>
    <w:rsid w:val="00266DD5"/>
    <w:rsid w:val="00266E09"/>
    <w:rsid w:val="0026701E"/>
    <w:rsid w:val="0026716E"/>
    <w:rsid w:val="00267207"/>
    <w:rsid w:val="00267233"/>
    <w:rsid w:val="0026726C"/>
    <w:rsid w:val="0026726D"/>
    <w:rsid w:val="002673A6"/>
    <w:rsid w:val="0026744E"/>
    <w:rsid w:val="002676D1"/>
    <w:rsid w:val="00267702"/>
    <w:rsid w:val="0026773B"/>
    <w:rsid w:val="00267746"/>
    <w:rsid w:val="00267759"/>
    <w:rsid w:val="00267893"/>
    <w:rsid w:val="002678A5"/>
    <w:rsid w:val="00267962"/>
    <w:rsid w:val="00267A21"/>
    <w:rsid w:val="00267A74"/>
    <w:rsid w:val="00267AD9"/>
    <w:rsid w:val="00267B17"/>
    <w:rsid w:val="00267B25"/>
    <w:rsid w:val="00267B64"/>
    <w:rsid w:val="00267C5C"/>
    <w:rsid w:val="00267D9F"/>
    <w:rsid w:val="00267DD9"/>
    <w:rsid w:val="00267E2D"/>
    <w:rsid w:val="00267EA7"/>
    <w:rsid w:val="00267EDE"/>
    <w:rsid w:val="00267EEF"/>
    <w:rsid w:val="00270018"/>
    <w:rsid w:val="002700A1"/>
    <w:rsid w:val="002701B7"/>
    <w:rsid w:val="00270446"/>
    <w:rsid w:val="0027050E"/>
    <w:rsid w:val="0027065F"/>
    <w:rsid w:val="0027076F"/>
    <w:rsid w:val="00270843"/>
    <w:rsid w:val="00270881"/>
    <w:rsid w:val="00270887"/>
    <w:rsid w:val="00270946"/>
    <w:rsid w:val="00270B96"/>
    <w:rsid w:val="00270BFC"/>
    <w:rsid w:val="00270C54"/>
    <w:rsid w:val="00270D1D"/>
    <w:rsid w:val="00270E45"/>
    <w:rsid w:val="00270F9F"/>
    <w:rsid w:val="002710C7"/>
    <w:rsid w:val="002710DB"/>
    <w:rsid w:val="002710DF"/>
    <w:rsid w:val="00271244"/>
    <w:rsid w:val="00271325"/>
    <w:rsid w:val="00271404"/>
    <w:rsid w:val="00271515"/>
    <w:rsid w:val="0027158A"/>
    <w:rsid w:val="002715F1"/>
    <w:rsid w:val="00271881"/>
    <w:rsid w:val="002718AF"/>
    <w:rsid w:val="00271907"/>
    <w:rsid w:val="00271B1F"/>
    <w:rsid w:val="00271C53"/>
    <w:rsid w:val="00271CF6"/>
    <w:rsid w:val="00271D43"/>
    <w:rsid w:val="00271D83"/>
    <w:rsid w:val="00271F3C"/>
    <w:rsid w:val="00271F89"/>
    <w:rsid w:val="00272053"/>
    <w:rsid w:val="00272096"/>
    <w:rsid w:val="00272247"/>
    <w:rsid w:val="002722FD"/>
    <w:rsid w:val="00272360"/>
    <w:rsid w:val="002723C5"/>
    <w:rsid w:val="002723F5"/>
    <w:rsid w:val="00272433"/>
    <w:rsid w:val="00272529"/>
    <w:rsid w:val="00272583"/>
    <w:rsid w:val="00272617"/>
    <w:rsid w:val="0027269F"/>
    <w:rsid w:val="00272A1A"/>
    <w:rsid w:val="00272A72"/>
    <w:rsid w:val="00272AAB"/>
    <w:rsid w:val="00272B6E"/>
    <w:rsid w:val="00272DED"/>
    <w:rsid w:val="00272F28"/>
    <w:rsid w:val="002732FA"/>
    <w:rsid w:val="00273386"/>
    <w:rsid w:val="002733C9"/>
    <w:rsid w:val="0027341F"/>
    <w:rsid w:val="00273467"/>
    <w:rsid w:val="002734FD"/>
    <w:rsid w:val="00273568"/>
    <w:rsid w:val="00273642"/>
    <w:rsid w:val="0027371A"/>
    <w:rsid w:val="002737E6"/>
    <w:rsid w:val="00273807"/>
    <w:rsid w:val="00273BAC"/>
    <w:rsid w:val="00273D16"/>
    <w:rsid w:val="00273F4C"/>
    <w:rsid w:val="00273FAA"/>
    <w:rsid w:val="002740C5"/>
    <w:rsid w:val="002740FE"/>
    <w:rsid w:val="00274146"/>
    <w:rsid w:val="0027424D"/>
    <w:rsid w:val="002742DA"/>
    <w:rsid w:val="002742E8"/>
    <w:rsid w:val="002743FA"/>
    <w:rsid w:val="00274421"/>
    <w:rsid w:val="0027444A"/>
    <w:rsid w:val="0027448F"/>
    <w:rsid w:val="0027453E"/>
    <w:rsid w:val="00274574"/>
    <w:rsid w:val="002745A6"/>
    <w:rsid w:val="002745B0"/>
    <w:rsid w:val="0027466B"/>
    <w:rsid w:val="002746C4"/>
    <w:rsid w:val="0027483E"/>
    <w:rsid w:val="002748B1"/>
    <w:rsid w:val="002749BC"/>
    <w:rsid w:val="002749D5"/>
    <w:rsid w:val="00274A78"/>
    <w:rsid w:val="00274B7F"/>
    <w:rsid w:val="00274BF1"/>
    <w:rsid w:val="00274D14"/>
    <w:rsid w:val="00274E39"/>
    <w:rsid w:val="00275005"/>
    <w:rsid w:val="00275031"/>
    <w:rsid w:val="002751A0"/>
    <w:rsid w:val="002751A9"/>
    <w:rsid w:val="00275228"/>
    <w:rsid w:val="00275267"/>
    <w:rsid w:val="002752BC"/>
    <w:rsid w:val="002753EF"/>
    <w:rsid w:val="002754AE"/>
    <w:rsid w:val="002754EB"/>
    <w:rsid w:val="002755DC"/>
    <w:rsid w:val="00275A06"/>
    <w:rsid w:val="00275ABB"/>
    <w:rsid w:val="00275B44"/>
    <w:rsid w:val="00275B54"/>
    <w:rsid w:val="00275BAF"/>
    <w:rsid w:val="00275BCB"/>
    <w:rsid w:val="00275BF8"/>
    <w:rsid w:val="00275C5D"/>
    <w:rsid w:val="00275E43"/>
    <w:rsid w:val="00275E97"/>
    <w:rsid w:val="00276053"/>
    <w:rsid w:val="002760EE"/>
    <w:rsid w:val="002762F3"/>
    <w:rsid w:val="00276351"/>
    <w:rsid w:val="00276388"/>
    <w:rsid w:val="0027652D"/>
    <w:rsid w:val="00276656"/>
    <w:rsid w:val="0027678E"/>
    <w:rsid w:val="0027684B"/>
    <w:rsid w:val="0027685C"/>
    <w:rsid w:val="002768D2"/>
    <w:rsid w:val="0027692C"/>
    <w:rsid w:val="00276A59"/>
    <w:rsid w:val="00276A5E"/>
    <w:rsid w:val="00276A63"/>
    <w:rsid w:val="00276D2E"/>
    <w:rsid w:val="00276DC1"/>
    <w:rsid w:val="00276E60"/>
    <w:rsid w:val="00276F75"/>
    <w:rsid w:val="00277087"/>
    <w:rsid w:val="00277213"/>
    <w:rsid w:val="00277279"/>
    <w:rsid w:val="00277318"/>
    <w:rsid w:val="002775D9"/>
    <w:rsid w:val="002777C8"/>
    <w:rsid w:val="0027788C"/>
    <w:rsid w:val="002778CE"/>
    <w:rsid w:val="00277A3B"/>
    <w:rsid w:val="00277B13"/>
    <w:rsid w:val="00277B19"/>
    <w:rsid w:val="00277B84"/>
    <w:rsid w:val="00277BE5"/>
    <w:rsid w:val="00277C58"/>
    <w:rsid w:val="00277C67"/>
    <w:rsid w:val="00277E22"/>
    <w:rsid w:val="00277E73"/>
    <w:rsid w:val="00277E7F"/>
    <w:rsid w:val="00277EA6"/>
    <w:rsid w:val="00277EED"/>
    <w:rsid w:val="00277F94"/>
    <w:rsid w:val="0028005E"/>
    <w:rsid w:val="002801B9"/>
    <w:rsid w:val="0028021A"/>
    <w:rsid w:val="0028027E"/>
    <w:rsid w:val="0028034D"/>
    <w:rsid w:val="0028048E"/>
    <w:rsid w:val="002804E6"/>
    <w:rsid w:val="00280668"/>
    <w:rsid w:val="00280862"/>
    <w:rsid w:val="002808A2"/>
    <w:rsid w:val="002809A5"/>
    <w:rsid w:val="00280B20"/>
    <w:rsid w:val="00280BC5"/>
    <w:rsid w:val="00280CAC"/>
    <w:rsid w:val="00280CCB"/>
    <w:rsid w:val="00280CDB"/>
    <w:rsid w:val="00280D68"/>
    <w:rsid w:val="00280E1C"/>
    <w:rsid w:val="002811FD"/>
    <w:rsid w:val="00281230"/>
    <w:rsid w:val="002812C1"/>
    <w:rsid w:val="00281381"/>
    <w:rsid w:val="0028138F"/>
    <w:rsid w:val="00281552"/>
    <w:rsid w:val="00281694"/>
    <w:rsid w:val="002816BE"/>
    <w:rsid w:val="002816C0"/>
    <w:rsid w:val="00281931"/>
    <w:rsid w:val="00281972"/>
    <w:rsid w:val="00281A4F"/>
    <w:rsid w:val="00281AC0"/>
    <w:rsid w:val="00281C7E"/>
    <w:rsid w:val="00281CF1"/>
    <w:rsid w:val="00281DA5"/>
    <w:rsid w:val="00281DD4"/>
    <w:rsid w:val="00281FB7"/>
    <w:rsid w:val="00281FCF"/>
    <w:rsid w:val="0028205D"/>
    <w:rsid w:val="00282376"/>
    <w:rsid w:val="0028243F"/>
    <w:rsid w:val="00282540"/>
    <w:rsid w:val="00282590"/>
    <w:rsid w:val="00282639"/>
    <w:rsid w:val="002826AC"/>
    <w:rsid w:val="002826DE"/>
    <w:rsid w:val="002826F6"/>
    <w:rsid w:val="00282721"/>
    <w:rsid w:val="002827A3"/>
    <w:rsid w:val="00282928"/>
    <w:rsid w:val="002829D4"/>
    <w:rsid w:val="00282B07"/>
    <w:rsid w:val="00282B32"/>
    <w:rsid w:val="00282CEC"/>
    <w:rsid w:val="00282D3E"/>
    <w:rsid w:val="00282E91"/>
    <w:rsid w:val="00282EBC"/>
    <w:rsid w:val="00282F2B"/>
    <w:rsid w:val="002830C7"/>
    <w:rsid w:val="002830EC"/>
    <w:rsid w:val="00283108"/>
    <w:rsid w:val="00283204"/>
    <w:rsid w:val="00283271"/>
    <w:rsid w:val="002832E4"/>
    <w:rsid w:val="00283313"/>
    <w:rsid w:val="002833B8"/>
    <w:rsid w:val="00283592"/>
    <w:rsid w:val="00283725"/>
    <w:rsid w:val="0028372A"/>
    <w:rsid w:val="00283739"/>
    <w:rsid w:val="002837CB"/>
    <w:rsid w:val="0028386F"/>
    <w:rsid w:val="00283ABE"/>
    <w:rsid w:val="00283B70"/>
    <w:rsid w:val="00283C8B"/>
    <w:rsid w:val="00283D4E"/>
    <w:rsid w:val="00283E8C"/>
    <w:rsid w:val="00283F5E"/>
    <w:rsid w:val="00283F64"/>
    <w:rsid w:val="00283F7D"/>
    <w:rsid w:val="00283FE1"/>
    <w:rsid w:val="00284044"/>
    <w:rsid w:val="0028407F"/>
    <w:rsid w:val="002840D6"/>
    <w:rsid w:val="00284119"/>
    <w:rsid w:val="002841AE"/>
    <w:rsid w:val="0028422D"/>
    <w:rsid w:val="00284339"/>
    <w:rsid w:val="002844C2"/>
    <w:rsid w:val="00284571"/>
    <w:rsid w:val="002846DE"/>
    <w:rsid w:val="0028473D"/>
    <w:rsid w:val="002847C2"/>
    <w:rsid w:val="0028489D"/>
    <w:rsid w:val="002848F8"/>
    <w:rsid w:val="00284CBA"/>
    <w:rsid w:val="00284D28"/>
    <w:rsid w:val="00284DCC"/>
    <w:rsid w:val="00284E3B"/>
    <w:rsid w:val="00284F65"/>
    <w:rsid w:val="00284FD5"/>
    <w:rsid w:val="00284FE3"/>
    <w:rsid w:val="00285045"/>
    <w:rsid w:val="002850DA"/>
    <w:rsid w:val="00285150"/>
    <w:rsid w:val="002855F7"/>
    <w:rsid w:val="002856A4"/>
    <w:rsid w:val="002856A9"/>
    <w:rsid w:val="00285720"/>
    <w:rsid w:val="00285754"/>
    <w:rsid w:val="002858B5"/>
    <w:rsid w:val="00285A9B"/>
    <w:rsid w:val="00285B45"/>
    <w:rsid w:val="00285C2E"/>
    <w:rsid w:val="00285D7C"/>
    <w:rsid w:val="00285E78"/>
    <w:rsid w:val="00285E99"/>
    <w:rsid w:val="00285EC6"/>
    <w:rsid w:val="00285FB6"/>
    <w:rsid w:val="0028608C"/>
    <w:rsid w:val="0028608F"/>
    <w:rsid w:val="002861BC"/>
    <w:rsid w:val="00286260"/>
    <w:rsid w:val="00286289"/>
    <w:rsid w:val="0028648C"/>
    <w:rsid w:val="002865B9"/>
    <w:rsid w:val="0028685D"/>
    <w:rsid w:val="002868BF"/>
    <w:rsid w:val="00286A91"/>
    <w:rsid w:val="00286AB7"/>
    <w:rsid w:val="00286AB8"/>
    <w:rsid w:val="00286BED"/>
    <w:rsid w:val="00286CC3"/>
    <w:rsid w:val="00286D1A"/>
    <w:rsid w:val="00286E40"/>
    <w:rsid w:val="00286E4B"/>
    <w:rsid w:val="00286F88"/>
    <w:rsid w:val="0028703E"/>
    <w:rsid w:val="00287052"/>
    <w:rsid w:val="00287099"/>
    <w:rsid w:val="0028711D"/>
    <w:rsid w:val="002871DF"/>
    <w:rsid w:val="002872B8"/>
    <w:rsid w:val="002872BB"/>
    <w:rsid w:val="0028745E"/>
    <w:rsid w:val="00287568"/>
    <w:rsid w:val="002875AC"/>
    <w:rsid w:val="002875FD"/>
    <w:rsid w:val="00287676"/>
    <w:rsid w:val="0028775E"/>
    <w:rsid w:val="002877A0"/>
    <w:rsid w:val="00287902"/>
    <w:rsid w:val="00287927"/>
    <w:rsid w:val="0028797D"/>
    <w:rsid w:val="00287AA0"/>
    <w:rsid w:val="00287D60"/>
    <w:rsid w:val="00287F50"/>
    <w:rsid w:val="00287F61"/>
    <w:rsid w:val="00290229"/>
    <w:rsid w:val="0029075B"/>
    <w:rsid w:val="00290853"/>
    <w:rsid w:val="002908D7"/>
    <w:rsid w:val="0029095B"/>
    <w:rsid w:val="00290B05"/>
    <w:rsid w:val="00290B9B"/>
    <w:rsid w:val="00290C0B"/>
    <w:rsid w:val="00290DCE"/>
    <w:rsid w:val="00290EEE"/>
    <w:rsid w:val="00290FDD"/>
    <w:rsid w:val="00291058"/>
    <w:rsid w:val="002910DE"/>
    <w:rsid w:val="002910E1"/>
    <w:rsid w:val="002910E4"/>
    <w:rsid w:val="0029114D"/>
    <w:rsid w:val="0029117D"/>
    <w:rsid w:val="002913A8"/>
    <w:rsid w:val="0029142F"/>
    <w:rsid w:val="002914F6"/>
    <w:rsid w:val="00291539"/>
    <w:rsid w:val="00291568"/>
    <w:rsid w:val="00291932"/>
    <w:rsid w:val="00291A1C"/>
    <w:rsid w:val="00291A96"/>
    <w:rsid w:val="00291CDA"/>
    <w:rsid w:val="00291D64"/>
    <w:rsid w:val="00291F0D"/>
    <w:rsid w:val="00291F36"/>
    <w:rsid w:val="00292079"/>
    <w:rsid w:val="0029216D"/>
    <w:rsid w:val="00292244"/>
    <w:rsid w:val="00292411"/>
    <w:rsid w:val="002928D0"/>
    <w:rsid w:val="00292AA5"/>
    <w:rsid w:val="00292AB6"/>
    <w:rsid w:val="00292B0A"/>
    <w:rsid w:val="00292B17"/>
    <w:rsid w:val="00292B94"/>
    <w:rsid w:val="00292CBB"/>
    <w:rsid w:val="00292E20"/>
    <w:rsid w:val="00292E24"/>
    <w:rsid w:val="00292F2B"/>
    <w:rsid w:val="00292F56"/>
    <w:rsid w:val="00292FE6"/>
    <w:rsid w:val="002930DB"/>
    <w:rsid w:val="0029314C"/>
    <w:rsid w:val="0029318F"/>
    <w:rsid w:val="0029331C"/>
    <w:rsid w:val="002933A3"/>
    <w:rsid w:val="0029340C"/>
    <w:rsid w:val="0029345E"/>
    <w:rsid w:val="00293583"/>
    <w:rsid w:val="002937E0"/>
    <w:rsid w:val="0029383A"/>
    <w:rsid w:val="00293890"/>
    <w:rsid w:val="002938B9"/>
    <w:rsid w:val="0029390A"/>
    <w:rsid w:val="00293960"/>
    <w:rsid w:val="002939F4"/>
    <w:rsid w:val="00293B53"/>
    <w:rsid w:val="00293C90"/>
    <w:rsid w:val="00293CB5"/>
    <w:rsid w:val="00293CFA"/>
    <w:rsid w:val="00293D14"/>
    <w:rsid w:val="00293D6D"/>
    <w:rsid w:val="00293D9A"/>
    <w:rsid w:val="00293FF6"/>
    <w:rsid w:val="002941C1"/>
    <w:rsid w:val="0029426E"/>
    <w:rsid w:val="00294304"/>
    <w:rsid w:val="00294320"/>
    <w:rsid w:val="00294533"/>
    <w:rsid w:val="002945AD"/>
    <w:rsid w:val="002945EC"/>
    <w:rsid w:val="00294781"/>
    <w:rsid w:val="002947ED"/>
    <w:rsid w:val="00294898"/>
    <w:rsid w:val="0029497F"/>
    <w:rsid w:val="00294A51"/>
    <w:rsid w:val="00294C5B"/>
    <w:rsid w:val="00294C87"/>
    <w:rsid w:val="00294D6E"/>
    <w:rsid w:val="00294D97"/>
    <w:rsid w:val="00294DE2"/>
    <w:rsid w:val="00294E13"/>
    <w:rsid w:val="00294E7D"/>
    <w:rsid w:val="00294F75"/>
    <w:rsid w:val="00295063"/>
    <w:rsid w:val="002950A7"/>
    <w:rsid w:val="0029514C"/>
    <w:rsid w:val="0029515E"/>
    <w:rsid w:val="0029518B"/>
    <w:rsid w:val="00295207"/>
    <w:rsid w:val="002954DB"/>
    <w:rsid w:val="0029550C"/>
    <w:rsid w:val="0029553E"/>
    <w:rsid w:val="0029567A"/>
    <w:rsid w:val="00295805"/>
    <w:rsid w:val="002959BF"/>
    <w:rsid w:val="002959C7"/>
    <w:rsid w:val="00295BA8"/>
    <w:rsid w:val="00295CC2"/>
    <w:rsid w:val="00295CD8"/>
    <w:rsid w:val="00295D92"/>
    <w:rsid w:val="00295E2A"/>
    <w:rsid w:val="00295EBF"/>
    <w:rsid w:val="002960D5"/>
    <w:rsid w:val="00296254"/>
    <w:rsid w:val="00296257"/>
    <w:rsid w:val="00296294"/>
    <w:rsid w:val="00296307"/>
    <w:rsid w:val="00296527"/>
    <w:rsid w:val="00296569"/>
    <w:rsid w:val="002965A6"/>
    <w:rsid w:val="002965DF"/>
    <w:rsid w:val="00296781"/>
    <w:rsid w:val="0029682C"/>
    <w:rsid w:val="0029696F"/>
    <w:rsid w:val="00296AB9"/>
    <w:rsid w:val="00296C8A"/>
    <w:rsid w:val="00296FE8"/>
    <w:rsid w:val="00297004"/>
    <w:rsid w:val="00297043"/>
    <w:rsid w:val="00297063"/>
    <w:rsid w:val="00297075"/>
    <w:rsid w:val="002971AB"/>
    <w:rsid w:val="002971BA"/>
    <w:rsid w:val="0029731D"/>
    <w:rsid w:val="0029736F"/>
    <w:rsid w:val="002973FC"/>
    <w:rsid w:val="00297456"/>
    <w:rsid w:val="0029747D"/>
    <w:rsid w:val="002974D4"/>
    <w:rsid w:val="00297515"/>
    <w:rsid w:val="0029764E"/>
    <w:rsid w:val="0029783B"/>
    <w:rsid w:val="00297957"/>
    <w:rsid w:val="00297C89"/>
    <w:rsid w:val="00297D41"/>
    <w:rsid w:val="00297D71"/>
    <w:rsid w:val="00297E5A"/>
    <w:rsid w:val="00297E78"/>
    <w:rsid w:val="00297F73"/>
    <w:rsid w:val="002A0178"/>
    <w:rsid w:val="002A0257"/>
    <w:rsid w:val="002A0335"/>
    <w:rsid w:val="002A0384"/>
    <w:rsid w:val="002A03CE"/>
    <w:rsid w:val="002A0487"/>
    <w:rsid w:val="002A04AD"/>
    <w:rsid w:val="002A063F"/>
    <w:rsid w:val="002A072D"/>
    <w:rsid w:val="002A0877"/>
    <w:rsid w:val="002A09C1"/>
    <w:rsid w:val="002A0A7C"/>
    <w:rsid w:val="002A0BD9"/>
    <w:rsid w:val="002A0C63"/>
    <w:rsid w:val="002A0C6F"/>
    <w:rsid w:val="002A0E63"/>
    <w:rsid w:val="002A0FEE"/>
    <w:rsid w:val="002A1266"/>
    <w:rsid w:val="002A127B"/>
    <w:rsid w:val="002A1348"/>
    <w:rsid w:val="002A154A"/>
    <w:rsid w:val="002A1553"/>
    <w:rsid w:val="002A1568"/>
    <w:rsid w:val="002A1593"/>
    <w:rsid w:val="002A1633"/>
    <w:rsid w:val="002A164F"/>
    <w:rsid w:val="002A1651"/>
    <w:rsid w:val="002A165A"/>
    <w:rsid w:val="002A16A6"/>
    <w:rsid w:val="002A180B"/>
    <w:rsid w:val="002A18C8"/>
    <w:rsid w:val="002A197E"/>
    <w:rsid w:val="002A1A73"/>
    <w:rsid w:val="002A1AC2"/>
    <w:rsid w:val="002A1C10"/>
    <w:rsid w:val="002A1FC8"/>
    <w:rsid w:val="002A2001"/>
    <w:rsid w:val="002A2289"/>
    <w:rsid w:val="002A22FF"/>
    <w:rsid w:val="002A23B6"/>
    <w:rsid w:val="002A23D0"/>
    <w:rsid w:val="002A24C1"/>
    <w:rsid w:val="002A26D8"/>
    <w:rsid w:val="002A2747"/>
    <w:rsid w:val="002A2768"/>
    <w:rsid w:val="002A2778"/>
    <w:rsid w:val="002A27FC"/>
    <w:rsid w:val="002A287B"/>
    <w:rsid w:val="002A2881"/>
    <w:rsid w:val="002A2A7D"/>
    <w:rsid w:val="002A2A86"/>
    <w:rsid w:val="002A2A8C"/>
    <w:rsid w:val="002A2B74"/>
    <w:rsid w:val="002A2C44"/>
    <w:rsid w:val="002A2D36"/>
    <w:rsid w:val="002A2DE6"/>
    <w:rsid w:val="002A2E09"/>
    <w:rsid w:val="002A2E2B"/>
    <w:rsid w:val="002A2FBC"/>
    <w:rsid w:val="002A308E"/>
    <w:rsid w:val="002A3146"/>
    <w:rsid w:val="002A322B"/>
    <w:rsid w:val="002A3387"/>
    <w:rsid w:val="002A3779"/>
    <w:rsid w:val="002A37D9"/>
    <w:rsid w:val="002A3815"/>
    <w:rsid w:val="002A39D6"/>
    <w:rsid w:val="002A3A06"/>
    <w:rsid w:val="002A3A1A"/>
    <w:rsid w:val="002A3AE3"/>
    <w:rsid w:val="002A3AF0"/>
    <w:rsid w:val="002A3C2B"/>
    <w:rsid w:val="002A3E20"/>
    <w:rsid w:val="002A3E86"/>
    <w:rsid w:val="002A4009"/>
    <w:rsid w:val="002A4120"/>
    <w:rsid w:val="002A4389"/>
    <w:rsid w:val="002A43F2"/>
    <w:rsid w:val="002A4411"/>
    <w:rsid w:val="002A4474"/>
    <w:rsid w:val="002A459D"/>
    <w:rsid w:val="002A45F8"/>
    <w:rsid w:val="002A4602"/>
    <w:rsid w:val="002A46C1"/>
    <w:rsid w:val="002A46CB"/>
    <w:rsid w:val="002A4747"/>
    <w:rsid w:val="002A47D4"/>
    <w:rsid w:val="002A4890"/>
    <w:rsid w:val="002A48CF"/>
    <w:rsid w:val="002A49EE"/>
    <w:rsid w:val="002A49FD"/>
    <w:rsid w:val="002A4A46"/>
    <w:rsid w:val="002A4B1C"/>
    <w:rsid w:val="002A4C1D"/>
    <w:rsid w:val="002A4C48"/>
    <w:rsid w:val="002A4E5A"/>
    <w:rsid w:val="002A4FBB"/>
    <w:rsid w:val="002A506B"/>
    <w:rsid w:val="002A5162"/>
    <w:rsid w:val="002A520C"/>
    <w:rsid w:val="002A521B"/>
    <w:rsid w:val="002A52F9"/>
    <w:rsid w:val="002A53CF"/>
    <w:rsid w:val="002A5486"/>
    <w:rsid w:val="002A5493"/>
    <w:rsid w:val="002A5495"/>
    <w:rsid w:val="002A54C8"/>
    <w:rsid w:val="002A552D"/>
    <w:rsid w:val="002A56D2"/>
    <w:rsid w:val="002A574F"/>
    <w:rsid w:val="002A5753"/>
    <w:rsid w:val="002A57BB"/>
    <w:rsid w:val="002A58BF"/>
    <w:rsid w:val="002A59D3"/>
    <w:rsid w:val="002A59F0"/>
    <w:rsid w:val="002A5A30"/>
    <w:rsid w:val="002A5B5B"/>
    <w:rsid w:val="002A5B97"/>
    <w:rsid w:val="002A5B9F"/>
    <w:rsid w:val="002A5BD3"/>
    <w:rsid w:val="002A5D2A"/>
    <w:rsid w:val="002A5D9F"/>
    <w:rsid w:val="002A5DA8"/>
    <w:rsid w:val="002A5DC1"/>
    <w:rsid w:val="002A5F3A"/>
    <w:rsid w:val="002A5FF9"/>
    <w:rsid w:val="002A6021"/>
    <w:rsid w:val="002A6067"/>
    <w:rsid w:val="002A6219"/>
    <w:rsid w:val="002A6275"/>
    <w:rsid w:val="002A6285"/>
    <w:rsid w:val="002A62A3"/>
    <w:rsid w:val="002A6578"/>
    <w:rsid w:val="002A664E"/>
    <w:rsid w:val="002A6685"/>
    <w:rsid w:val="002A6691"/>
    <w:rsid w:val="002A68DC"/>
    <w:rsid w:val="002A6930"/>
    <w:rsid w:val="002A6A8C"/>
    <w:rsid w:val="002A6AA0"/>
    <w:rsid w:val="002A6AAC"/>
    <w:rsid w:val="002A6AB2"/>
    <w:rsid w:val="002A6B20"/>
    <w:rsid w:val="002A6D08"/>
    <w:rsid w:val="002A6E70"/>
    <w:rsid w:val="002A6E8F"/>
    <w:rsid w:val="002A6F0A"/>
    <w:rsid w:val="002A6F5F"/>
    <w:rsid w:val="002A6FFE"/>
    <w:rsid w:val="002A7055"/>
    <w:rsid w:val="002A7129"/>
    <w:rsid w:val="002A7143"/>
    <w:rsid w:val="002A742E"/>
    <w:rsid w:val="002A74AB"/>
    <w:rsid w:val="002A74C9"/>
    <w:rsid w:val="002A753C"/>
    <w:rsid w:val="002A7561"/>
    <w:rsid w:val="002A75DA"/>
    <w:rsid w:val="002A75DD"/>
    <w:rsid w:val="002A7673"/>
    <w:rsid w:val="002A79B0"/>
    <w:rsid w:val="002A7B2E"/>
    <w:rsid w:val="002A7B5A"/>
    <w:rsid w:val="002A7B7C"/>
    <w:rsid w:val="002A7B8E"/>
    <w:rsid w:val="002A7BBE"/>
    <w:rsid w:val="002A7BCF"/>
    <w:rsid w:val="002A7BE0"/>
    <w:rsid w:val="002A7C17"/>
    <w:rsid w:val="002A7C1F"/>
    <w:rsid w:val="002A7CB9"/>
    <w:rsid w:val="002A7D7A"/>
    <w:rsid w:val="002A7FA2"/>
    <w:rsid w:val="002B01AA"/>
    <w:rsid w:val="002B01B0"/>
    <w:rsid w:val="002B01E9"/>
    <w:rsid w:val="002B01FB"/>
    <w:rsid w:val="002B036D"/>
    <w:rsid w:val="002B03AA"/>
    <w:rsid w:val="002B045A"/>
    <w:rsid w:val="002B0590"/>
    <w:rsid w:val="002B05A3"/>
    <w:rsid w:val="002B0684"/>
    <w:rsid w:val="002B07DB"/>
    <w:rsid w:val="002B0810"/>
    <w:rsid w:val="002B085E"/>
    <w:rsid w:val="002B0982"/>
    <w:rsid w:val="002B09B1"/>
    <w:rsid w:val="002B0A07"/>
    <w:rsid w:val="002B0A9F"/>
    <w:rsid w:val="002B0DBD"/>
    <w:rsid w:val="002B0EC9"/>
    <w:rsid w:val="002B0FED"/>
    <w:rsid w:val="002B11A4"/>
    <w:rsid w:val="002B11B6"/>
    <w:rsid w:val="002B11F3"/>
    <w:rsid w:val="002B1214"/>
    <w:rsid w:val="002B12A9"/>
    <w:rsid w:val="002B12AA"/>
    <w:rsid w:val="002B13E0"/>
    <w:rsid w:val="002B1523"/>
    <w:rsid w:val="002B155D"/>
    <w:rsid w:val="002B15E7"/>
    <w:rsid w:val="002B1748"/>
    <w:rsid w:val="002B1862"/>
    <w:rsid w:val="002B189D"/>
    <w:rsid w:val="002B18EB"/>
    <w:rsid w:val="002B19BB"/>
    <w:rsid w:val="002B1D53"/>
    <w:rsid w:val="002B1E18"/>
    <w:rsid w:val="002B1E58"/>
    <w:rsid w:val="002B1E5E"/>
    <w:rsid w:val="002B1FCD"/>
    <w:rsid w:val="002B204D"/>
    <w:rsid w:val="002B206D"/>
    <w:rsid w:val="002B209C"/>
    <w:rsid w:val="002B21B4"/>
    <w:rsid w:val="002B21DE"/>
    <w:rsid w:val="002B21DF"/>
    <w:rsid w:val="002B240F"/>
    <w:rsid w:val="002B24C6"/>
    <w:rsid w:val="002B24C7"/>
    <w:rsid w:val="002B26CE"/>
    <w:rsid w:val="002B2B78"/>
    <w:rsid w:val="002B2C2C"/>
    <w:rsid w:val="002B2E60"/>
    <w:rsid w:val="002B2F66"/>
    <w:rsid w:val="002B2FAE"/>
    <w:rsid w:val="002B2FD3"/>
    <w:rsid w:val="002B2FF5"/>
    <w:rsid w:val="002B304F"/>
    <w:rsid w:val="002B30A0"/>
    <w:rsid w:val="002B316C"/>
    <w:rsid w:val="002B3355"/>
    <w:rsid w:val="002B3380"/>
    <w:rsid w:val="002B339D"/>
    <w:rsid w:val="002B3502"/>
    <w:rsid w:val="002B3601"/>
    <w:rsid w:val="002B3740"/>
    <w:rsid w:val="002B3775"/>
    <w:rsid w:val="002B3A33"/>
    <w:rsid w:val="002B3B1C"/>
    <w:rsid w:val="002B3CC7"/>
    <w:rsid w:val="002B3CF5"/>
    <w:rsid w:val="002B3F0D"/>
    <w:rsid w:val="002B4142"/>
    <w:rsid w:val="002B4233"/>
    <w:rsid w:val="002B43D3"/>
    <w:rsid w:val="002B449B"/>
    <w:rsid w:val="002B44AC"/>
    <w:rsid w:val="002B452D"/>
    <w:rsid w:val="002B4600"/>
    <w:rsid w:val="002B46A2"/>
    <w:rsid w:val="002B4781"/>
    <w:rsid w:val="002B4870"/>
    <w:rsid w:val="002B4A8A"/>
    <w:rsid w:val="002B4BA1"/>
    <w:rsid w:val="002B4CCD"/>
    <w:rsid w:val="002B4D0E"/>
    <w:rsid w:val="002B4DBC"/>
    <w:rsid w:val="002B4EC1"/>
    <w:rsid w:val="002B4F86"/>
    <w:rsid w:val="002B4FEB"/>
    <w:rsid w:val="002B505C"/>
    <w:rsid w:val="002B509C"/>
    <w:rsid w:val="002B519D"/>
    <w:rsid w:val="002B5268"/>
    <w:rsid w:val="002B537F"/>
    <w:rsid w:val="002B567B"/>
    <w:rsid w:val="002B5736"/>
    <w:rsid w:val="002B583F"/>
    <w:rsid w:val="002B5916"/>
    <w:rsid w:val="002B5940"/>
    <w:rsid w:val="002B596F"/>
    <w:rsid w:val="002B5975"/>
    <w:rsid w:val="002B59F6"/>
    <w:rsid w:val="002B5A38"/>
    <w:rsid w:val="002B5BCD"/>
    <w:rsid w:val="002B5BCE"/>
    <w:rsid w:val="002B5C0B"/>
    <w:rsid w:val="002B5C13"/>
    <w:rsid w:val="002B5CA1"/>
    <w:rsid w:val="002B5CA2"/>
    <w:rsid w:val="002B5E45"/>
    <w:rsid w:val="002B5F9C"/>
    <w:rsid w:val="002B60D2"/>
    <w:rsid w:val="002B610B"/>
    <w:rsid w:val="002B6508"/>
    <w:rsid w:val="002B663C"/>
    <w:rsid w:val="002B667C"/>
    <w:rsid w:val="002B667E"/>
    <w:rsid w:val="002B67E8"/>
    <w:rsid w:val="002B6B24"/>
    <w:rsid w:val="002B6BD1"/>
    <w:rsid w:val="002B6D45"/>
    <w:rsid w:val="002B6E28"/>
    <w:rsid w:val="002B6F37"/>
    <w:rsid w:val="002B6F88"/>
    <w:rsid w:val="002B6F9E"/>
    <w:rsid w:val="002B7036"/>
    <w:rsid w:val="002B71FD"/>
    <w:rsid w:val="002B7281"/>
    <w:rsid w:val="002B743E"/>
    <w:rsid w:val="002B756B"/>
    <w:rsid w:val="002B75D2"/>
    <w:rsid w:val="002B7602"/>
    <w:rsid w:val="002B7725"/>
    <w:rsid w:val="002B7779"/>
    <w:rsid w:val="002B779C"/>
    <w:rsid w:val="002B79D8"/>
    <w:rsid w:val="002B7A29"/>
    <w:rsid w:val="002B7A96"/>
    <w:rsid w:val="002B7AA8"/>
    <w:rsid w:val="002B7BC9"/>
    <w:rsid w:val="002B7C60"/>
    <w:rsid w:val="002B7F55"/>
    <w:rsid w:val="002B7F7B"/>
    <w:rsid w:val="002C0292"/>
    <w:rsid w:val="002C03FA"/>
    <w:rsid w:val="002C05CE"/>
    <w:rsid w:val="002C0946"/>
    <w:rsid w:val="002C09F7"/>
    <w:rsid w:val="002C0A44"/>
    <w:rsid w:val="002C0BAB"/>
    <w:rsid w:val="002C0CF5"/>
    <w:rsid w:val="002C0DA7"/>
    <w:rsid w:val="002C0DC1"/>
    <w:rsid w:val="002C0DCA"/>
    <w:rsid w:val="002C0DED"/>
    <w:rsid w:val="002C1029"/>
    <w:rsid w:val="002C10C2"/>
    <w:rsid w:val="002C11CE"/>
    <w:rsid w:val="002C11E4"/>
    <w:rsid w:val="002C11E9"/>
    <w:rsid w:val="002C1247"/>
    <w:rsid w:val="002C13EF"/>
    <w:rsid w:val="002C14A7"/>
    <w:rsid w:val="002C1516"/>
    <w:rsid w:val="002C1634"/>
    <w:rsid w:val="002C1683"/>
    <w:rsid w:val="002C1744"/>
    <w:rsid w:val="002C1807"/>
    <w:rsid w:val="002C182E"/>
    <w:rsid w:val="002C187E"/>
    <w:rsid w:val="002C18A8"/>
    <w:rsid w:val="002C1A82"/>
    <w:rsid w:val="002C1B01"/>
    <w:rsid w:val="002C1B24"/>
    <w:rsid w:val="002C1B3B"/>
    <w:rsid w:val="002C1C7E"/>
    <w:rsid w:val="002C1C91"/>
    <w:rsid w:val="002C1F82"/>
    <w:rsid w:val="002C20A8"/>
    <w:rsid w:val="002C20AC"/>
    <w:rsid w:val="002C229A"/>
    <w:rsid w:val="002C2384"/>
    <w:rsid w:val="002C2482"/>
    <w:rsid w:val="002C24D0"/>
    <w:rsid w:val="002C24E8"/>
    <w:rsid w:val="002C2650"/>
    <w:rsid w:val="002C267D"/>
    <w:rsid w:val="002C2756"/>
    <w:rsid w:val="002C27DB"/>
    <w:rsid w:val="002C2929"/>
    <w:rsid w:val="002C2AEF"/>
    <w:rsid w:val="002C2B24"/>
    <w:rsid w:val="002C2BFB"/>
    <w:rsid w:val="002C2C03"/>
    <w:rsid w:val="002C2C59"/>
    <w:rsid w:val="002C2CB0"/>
    <w:rsid w:val="002C2DFD"/>
    <w:rsid w:val="002C2EBB"/>
    <w:rsid w:val="002C2F5F"/>
    <w:rsid w:val="002C30D5"/>
    <w:rsid w:val="002C330F"/>
    <w:rsid w:val="002C3405"/>
    <w:rsid w:val="002C3581"/>
    <w:rsid w:val="002C3BE8"/>
    <w:rsid w:val="002C3C30"/>
    <w:rsid w:val="002C3F49"/>
    <w:rsid w:val="002C4102"/>
    <w:rsid w:val="002C4465"/>
    <w:rsid w:val="002C457D"/>
    <w:rsid w:val="002C45B3"/>
    <w:rsid w:val="002C45C2"/>
    <w:rsid w:val="002C4735"/>
    <w:rsid w:val="002C47BE"/>
    <w:rsid w:val="002C482C"/>
    <w:rsid w:val="002C4A1C"/>
    <w:rsid w:val="002C4B04"/>
    <w:rsid w:val="002C4B26"/>
    <w:rsid w:val="002C4B4C"/>
    <w:rsid w:val="002C4E47"/>
    <w:rsid w:val="002C4E60"/>
    <w:rsid w:val="002C4FD6"/>
    <w:rsid w:val="002C4FE8"/>
    <w:rsid w:val="002C507B"/>
    <w:rsid w:val="002C5171"/>
    <w:rsid w:val="002C52A6"/>
    <w:rsid w:val="002C5418"/>
    <w:rsid w:val="002C5436"/>
    <w:rsid w:val="002C5443"/>
    <w:rsid w:val="002C5505"/>
    <w:rsid w:val="002C5539"/>
    <w:rsid w:val="002C5578"/>
    <w:rsid w:val="002C55EB"/>
    <w:rsid w:val="002C5749"/>
    <w:rsid w:val="002C576A"/>
    <w:rsid w:val="002C5834"/>
    <w:rsid w:val="002C589A"/>
    <w:rsid w:val="002C5A1A"/>
    <w:rsid w:val="002C5A63"/>
    <w:rsid w:val="002C5BCF"/>
    <w:rsid w:val="002C5C5A"/>
    <w:rsid w:val="002C5C89"/>
    <w:rsid w:val="002C601E"/>
    <w:rsid w:val="002C608E"/>
    <w:rsid w:val="002C629F"/>
    <w:rsid w:val="002C6389"/>
    <w:rsid w:val="002C63D0"/>
    <w:rsid w:val="002C65E7"/>
    <w:rsid w:val="002C65F0"/>
    <w:rsid w:val="002C6650"/>
    <w:rsid w:val="002C66F2"/>
    <w:rsid w:val="002C67E7"/>
    <w:rsid w:val="002C68F8"/>
    <w:rsid w:val="002C69D8"/>
    <w:rsid w:val="002C69F0"/>
    <w:rsid w:val="002C6BE1"/>
    <w:rsid w:val="002C6CBF"/>
    <w:rsid w:val="002C6D26"/>
    <w:rsid w:val="002C6D62"/>
    <w:rsid w:val="002C6F27"/>
    <w:rsid w:val="002C70CC"/>
    <w:rsid w:val="002C713F"/>
    <w:rsid w:val="002C7299"/>
    <w:rsid w:val="002C731D"/>
    <w:rsid w:val="002C7359"/>
    <w:rsid w:val="002C744C"/>
    <w:rsid w:val="002C74AA"/>
    <w:rsid w:val="002C74C1"/>
    <w:rsid w:val="002C7638"/>
    <w:rsid w:val="002C7827"/>
    <w:rsid w:val="002C7843"/>
    <w:rsid w:val="002C7936"/>
    <w:rsid w:val="002C7964"/>
    <w:rsid w:val="002C79BD"/>
    <w:rsid w:val="002C7B12"/>
    <w:rsid w:val="002C7C2D"/>
    <w:rsid w:val="002C7C8F"/>
    <w:rsid w:val="002C7D8B"/>
    <w:rsid w:val="002C7DAE"/>
    <w:rsid w:val="002C7E1D"/>
    <w:rsid w:val="002C7FFD"/>
    <w:rsid w:val="002D004F"/>
    <w:rsid w:val="002D005E"/>
    <w:rsid w:val="002D0087"/>
    <w:rsid w:val="002D00CC"/>
    <w:rsid w:val="002D0132"/>
    <w:rsid w:val="002D01C7"/>
    <w:rsid w:val="002D0207"/>
    <w:rsid w:val="002D0212"/>
    <w:rsid w:val="002D02D3"/>
    <w:rsid w:val="002D0331"/>
    <w:rsid w:val="002D0408"/>
    <w:rsid w:val="002D04DF"/>
    <w:rsid w:val="002D052D"/>
    <w:rsid w:val="002D057B"/>
    <w:rsid w:val="002D0644"/>
    <w:rsid w:val="002D076B"/>
    <w:rsid w:val="002D085F"/>
    <w:rsid w:val="002D089F"/>
    <w:rsid w:val="002D095B"/>
    <w:rsid w:val="002D0A76"/>
    <w:rsid w:val="002D0C1D"/>
    <w:rsid w:val="002D0C91"/>
    <w:rsid w:val="002D0CAC"/>
    <w:rsid w:val="002D0FB2"/>
    <w:rsid w:val="002D0FB7"/>
    <w:rsid w:val="002D10F0"/>
    <w:rsid w:val="002D1106"/>
    <w:rsid w:val="002D1268"/>
    <w:rsid w:val="002D12CB"/>
    <w:rsid w:val="002D14AF"/>
    <w:rsid w:val="002D177B"/>
    <w:rsid w:val="002D1B26"/>
    <w:rsid w:val="002D1C73"/>
    <w:rsid w:val="002D1D06"/>
    <w:rsid w:val="002D1D1E"/>
    <w:rsid w:val="002D1F5F"/>
    <w:rsid w:val="002D2015"/>
    <w:rsid w:val="002D202C"/>
    <w:rsid w:val="002D2036"/>
    <w:rsid w:val="002D2148"/>
    <w:rsid w:val="002D21CF"/>
    <w:rsid w:val="002D21DA"/>
    <w:rsid w:val="002D21EF"/>
    <w:rsid w:val="002D2364"/>
    <w:rsid w:val="002D2508"/>
    <w:rsid w:val="002D25AA"/>
    <w:rsid w:val="002D2610"/>
    <w:rsid w:val="002D26AF"/>
    <w:rsid w:val="002D2776"/>
    <w:rsid w:val="002D2787"/>
    <w:rsid w:val="002D27B4"/>
    <w:rsid w:val="002D281F"/>
    <w:rsid w:val="002D2843"/>
    <w:rsid w:val="002D28C7"/>
    <w:rsid w:val="002D2A4F"/>
    <w:rsid w:val="002D2B65"/>
    <w:rsid w:val="002D2BFF"/>
    <w:rsid w:val="002D2C09"/>
    <w:rsid w:val="002D2F28"/>
    <w:rsid w:val="002D2FEF"/>
    <w:rsid w:val="002D32FD"/>
    <w:rsid w:val="002D33C4"/>
    <w:rsid w:val="002D34A0"/>
    <w:rsid w:val="002D385E"/>
    <w:rsid w:val="002D3900"/>
    <w:rsid w:val="002D396F"/>
    <w:rsid w:val="002D3DAC"/>
    <w:rsid w:val="002D3DBE"/>
    <w:rsid w:val="002D3E28"/>
    <w:rsid w:val="002D3FA4"/>
    <w:rsid w:val="002D4150"/>
    <w:rsid w:val="002D439D"/>
    <w:rsid w:val="002D43B0"/>
    <w:rsid w:val="002D44CE"/>
    <w:rsid w:val="002D4583"/>
    <w:rsid w:val="002D4665"/>
    <w:rsid w:val="002D477F"/>
    <w:rsid w:val="002D47A0"/>
    <w:rsid w:val="002D480B"/>
    <w:rsid w:val="002D4B4D"/>
    <w:rsid w:val="002D4BAC"/>
    <w:rsid w:val="002D4C13"/>
    <w:rsid w:val="002D4C19"/>
    <w:rsid w:val="002D4C2F"/>
    <w:rsid w:val="002D4C81"/>
    <w:rsid w:val="002D4CB6"/>
    <w:rsid w:val="002D4CD8"/>
    <w:rsid w:val="002D4CDA"/>
    <w:rsid w:val="002D4E1F"/>
    <w:rsid w:val="002D4E64"/>
    <w:rsid w:val="002D4E7C"/>
    <w:rsid w:val="002D4F48"/>
    <w:rsid w:val="002D4FD1"/>
    <w:rsid w:val="002D4FE3"/>
    <w:rsid w:val="002D5104"/>
    <w:rsid w:val="002D53A5"/>
    <w:rsid w:val="002D53A9"/>
    <w:rsid w:val="002D53D6"/>
    <w:rsid w:val="002D541F"/>
    <w:rsid w:val="002D5443"/>
    <w:rsid w:val="002D5556"/>
    <w:rsid w:val="002D59AC"/>
    <w:rsid w:val="002D5A46"/>
    <w:rsid w:val="002D5DF2"/>
    <w:rsid w:val="002D5EA2"/>
    <w:rsid w:val="002D5F1D"/>
    <w:rsid w:val="002D5F6C"/>
    <w:rsid w:val="002D6095"/>
    <w:rsid w:val="002D621F"/>
    <w:rsid w:val="002D624F"/>
    <w:rsid w:val="002D62CA"/>
    <w:rsid w:val="002D62E1"/>
    <w:rsid w:val="002D651E"/>
    <w:rsid w:val="002D663F"/>
    <w:rsid w:val="002D668D"/>
    <w:rsid w:val="002D66CC"/>
    <w:rsid w:val="002D67A3"/>
    <w:rsid w:val="002D6917"/>
    <w:rsid w:val="002D69A6"/>
    <w:rsid w:val="002D6A5D"/>
    <w:rsid w:val="002D6C75"/>
    <w:rsid w:val="002D6CA6"/>
    <w:rsid w:val="002D6ED8"/>
    <w:rsid w:val="002D72C6"/>
    <w:rsid w:val="002D7301"/>
    <w:rsid w:val="002D73C1"/>
    <w:rsid w:val="002D73CD"/>
    <w:rsid w:val="002D7418"/>
    <w:rsid w:val="002D749A"/>
    <w:rsid w:val="002D74A9"/>
    <w:rsid w:val="002D7520"/>
    <w:rsid w:val="002D7678"/>
    <w:rsid w:val="002D789A"/>
    <w:rsid w:val="002D79F3"/>
    <w:rsid w:val="002D7A11"/>
    <w:rsid w:val="002D7AE6"/>
    <w:rsid w:val="002D7C19"/>
    <w:rsid w:val="002D7C3F"/>
    <w:rsid w:val="002D7C88"/>
    <w:rsid w:val="002D7D28"/>
    <w:rsid w:val="002D7D3E"/>
    <w:rsid w:val="002D7D76"/>
    <w:rsid w:val="002D7DBA"/>
    <w:rsid w:val="002D7E2F"/>
    <w:rsid w:val="002D7E4E"/>
    <w:rsid w:val="002D7EE6"/>
    <w:rsid w:val="002D7F66"/>
    <w:rsid w:val="002E0027"/>
    <w:rsid w:val="002E018E"/>
    <w:rsid w:val="002E02CB"/>
    <w:rsid w:val="002E02E9"/>
    <w:rsid w:val="002E045E"/>
    <w:rsid w:val="002E04A8"/>
    <w:rsid w:val="002E0539"/>
    <w:rsid w:val="002E089C"/>
    <w:rsid w:val="002E0909"/>
    <w:rsid w:val="002E0925"/>
    <w:rsid w:val="002E0A9A"/>
    <w:rsid w:val="002E0B46"/>
    <w:rsid w:val="002E0C1A"/>
    <w:rsid w:val="002E0C2C"/>
    <w:rsid w:val="002E0EE5"/>
    <w:rsid w:val="002E12F8"/>
    <w:rsid w:val="002E1566"/>
    <w:rsid w:val="002E157D"/>
    <w:rsid w:val="002E1595"/>
    <w:rsid w:val="002E166A"/>
    <w:rsid w:val="002E167F"/>
    <w:rsid w:val="002E175A"/>
    <w:rsid w:val="002E1798"/>
    <w:rsid w:val="002E1A02"/>
    <w:rsid w:val="002E1B43"/>
    <w:rsid w:val="002E1D83"/>
    <w:rsid w:val="002E1EA0"/>
    <w:rsid w:val="002E1F04"/>
    <w:rsid w:val="002E1F2A"/>
    <w:rsid w:val="002E2011"/>
    <w:rsid w:val="002E20D5"/>
    <w:rsid w:val="002E2189"/>
    <w:rsid w:val="002E246F"/>
    <w:rsid w:val="002E26A0"/>
    <w:rsid w:val="002E2825"/>
    <w:rsid w:val="002E2996"/>
    <w:rsid w:val="002E2C1B"/>
    <w:rsid w:val="002E2C3C"/>
    <w:rsid w:val="002E2D56"/>
    <w:rsid w:val="002E2F55"/>
    <w:rsid w:val="002E30E0"/>
    <w:rsid w:val="002E31DD"/>
    <w:rsid w:val="002E329C"/>
    <w:rsid w:val="002E34F3"/>
    <w:rsid w:val="002E351D"/>
    <w:rsid w:val="002E35AC"/>
    <w:rsid w:val="002E368C"/>
    <w:rsid w:val="002E38A0"/>
    <w:rsid w:val="002E38B4"/>
    <w:rsid w:val="002E39CE"/>
    <w:rsid w:val="002E3C6B"/>
    <w:rsid w:val="002E3D62"/>
    <w:rsid w:val="002E3EB8"/>
    <w:rsid w:val="002E3EB9"/>
    <w:rsid w:val="002E3ED8"/>
    <w:rsid w:val="002E3F7E"/>
    <w:rsid w:val="002E3FE9"/>
    <w:rsid w:val="002E4043"/>
    <w:rsid w:val="002E40E0"/>
    <w:rsid w:val="002E4176"/>
    <w:rsid w:val="002E41E0"/>
    <w:rsid w:val="002E451C"/>
    <w:rsid w:val="002E4645"/>
    <w:rsid w:val="002E4877"/>
    <w:rsid w:val="002E4919"/>
    <w:rsid w:val="002E4A9B"/>
    <w:rsid w:val="002E4B64"/>
    <w:rsid w:val="002E4DB7"/>
    <w:rsid w:val="002E501E"/>
    <w:rsid w:val="002E5229"/>
    <w:rsid w:val="002E5322"/>
    <w:rsid w:val="002E5360"/>
    <w:rsid w:val="002E53B5"/>
    <w:rsid w:val="002E5462"/>
    <w:rsid w:val="002E564B"/>
    <w:rsid w:val="002E5C0B"/>
    <w:rsid w:val="002E5CEE"/>
    <w:rsid w:val="002E5CFD"/>
    <w:rsid w:val="002E5DCC"/>
    <w:rsid w:val="002E605D"/>
    <w:rsid w:val="002E6169"/>
    <w:rsid w:val="002E6182"/>
    <w:rsid w:val="002E62B9"/>
    <w:rsid w:val="002E644B"/>
    <w:rsid w:val="002E65CC"/>
    <w:rsid w:val="002E67E9"/>
    <w:rsid w:val="002E6B90"/>
    <w:rsid w:val="002E6CE6"/>
    <w:rsid w:val="002E6DBF"/>
    <w:rsid w:val="002E6E22"/>
    <w:rsid w:val="002E6E64"/>
    <w:rsid w:val="002E6FBC"/>
    <w:rsid w:val="002E700F"/>
    <w:rsid w:val="002E70FC"/>
    <w:rsid w:val="002E717C"/>
    <w:rsid w:val="002E72ED"/>
    <w:rsid w:val="002E7346"/>
    <w:rsid w:val="002E73E8"/>
    <w:rsid w:val="002E7417"/>
    <w:rsid w:val="002E75B2"/>
    <w:rsid w:val="002E75E4"/>
    <w:rsid w:val="002E78C1"/>
    <w:rsid w:val="002E7BBE"/>
    <w:rsid w:val="002E7CCB"/>
    <w:rsid w:val="002E7D06"/>
    <w:rsid w:val="002E7E19"/>
    <w:rsid w:val="002E7ED1"/>
    <w:rsid w:val="002E7FF2"/>
    <w:rsid w:val="002F011E"/>
    <w:rsid w:val="002F01EB"/>
    <w:rsid w:val="002F03CA"/>
    <w:rsid w:val="002F0454"/>
    <w:rsid w:val="002F04BD"/>
    <w:rsid w:val="002F04F2"/>
    <w:rsid w:val="002F050F"/>
    <w:rsid w:val="002F0557"/>
    <w:rsid w:val="002F059F"/>
    <w:rsid w:val="002F073D"/>
    <w:rsid w:val="002F07BB"/>
    <w:rsid w:val="002F0845"/>
    <w:rsid w:val="002F09F5"/>
    <w:rsid w:val="002F0AC9"/>
    <w:rsid w:val="002F0CA4"/>
    <w:rsid w:val="002F0D5D"/>
    <w:rsid w:val="002F0EF1"/>
    <w:rsid w:val="002F0FBF"/>
    <w:rsid w:val="002F104A"/>
    <w:rsid w:val="002F1112"/>
    <w:rsid w:val="002F113D"/>
    <w:rsid w:val="002F1183"/>
    <w:rsid w:val="002F1207"/>
    <w:rsid w:val="002F14FE"/>
    <w:rsid w:val="002F16A8"/>
    <w:rsid w:val="002F173B"/>
    <w:rsid w:val="002F175C"/>
    <w:rsid w:val="002F17F0"/>
    <w:rsid w:val="002F184F"/>
    <w:rsid w:val="002F18CA"/>
    <w:rsid w:val="002F1BB3"/>
    <w:rsid w:val="002F1CB9"/>
    <w:rsid w:val="002F1DB8"/>
    <w:rsid w:val="002F1DCD"/>
    <w:rsid w:val="002F1EB3"/>
    <w:rsid w:val="002F1F02"/>
    <w:rsid w:val="002F1FCF"/>
    <w:rsid w:val="002F2003"/>
    <w:rsid w:val="002F2023"/>
    <w:rsid w:val="002F21A0"/>
    <w:rsid w:val="002F227E"/>
    <w:rsid w:val="002F2578"/>
    <w:rsid w:val="002F274E"/>
    <w:rsid w:val="002F2799"/>
    <w:rsid w:val="002F282E"/>
    <w:rsid w:val="002F283D"/>
    <w:rsid w:val="002F2923"/>
    <w:rsid w:val="002F2AB1"/>
    <w:rsid w:val="002F2B11"/>
    <w:rsid w:val="002F2C46"/>
    <w:rsid w:val="002F2D3F"/>
    <w:rsid w:val="002F2E86"/>
    <w:rsid w:val="002F2E99"/>
    <w:rsid w:val="002F2EA3"/>
    <w:rsid w:val="002F2FCC"/>
    <w:rsid w:val="002F302D"/>
    <w:rsid w:val="002F305B"/>
    <w:rsid w:val="002F3146"/>
    <w:rsid w:val="002F32DE"/>
    <w:rsid w:val="002F332A"/>
    <w:rsid w:val="002F335A"/>
    <w:rsid w:val="002F335C"/>
    <w:rsid w:val="002F33A3"/>
    <w:rsid w:val="002F3486"/>
    <w:rsid w:val="002F36CF"/>
    <w:rsid w:val="002F3704"/>
    <w:rsid w:val="002F3746"/>
    <w:rsid w:val="002F384D"/>
    <w:rsid w:val="002F3915"/>
    <w:rsid w:val="002F3930"/>
    <w:rsid w:val="002F3989"/>
    <w:rsid w:val="002F39AE"/>
    <w:rsid w:val="002F3A5A"/>
    <w:rsid w:val="002F3D76"/>
    <w:rsid w:val="002F3E61"/>
    <w:rsid w:val="002F3EFF"/>
    <w:rsid w:val="002F4011"/>
    <w:rsid w:val="002F40B3"/>
    <w:rsid w:val="002F44BB"/>
    <w:rsid w:val="002F45EC"/>
    <w:rsid w:val="002F46C3"/>
    <w:rsid w:val="002F47B1"/>
    <w:rsid w:val="002F4921"/>
    <w:rsid w:val="002F49D0"/>
    <w:rsid w:val="002F4AC5"/>
    <w:rsid w:val="002F4B0F"/>
    <w:rsid w:val="002F4C4A"/>
    <w:rsid w:val="002F4C6C"/>
    <w:rsid w:val="002F4CD4"/>
    <w:rsid w:val="002F4F3A"/>
    <w:rsid w:val="002F5014"/>
    <w:rsid w:val="002F5092"/>
    <w:rsid w:val="002F509D"/>
    <w:rsid w:val="002F50B1"/>
    <w:rsid w:val="002F512F"/>
    <w:rsid w:val="002F5239"/>
    <w:rsid w:val="002F5246"/>
    <w:rsid w:val="002F530D"/>
    <w:rsid w:val="002F5341"/>
    <w:rsid w:val="002F53C5"/>
    <w:rsid w:val="002F54CA"/>
    <w:rsid w:val="002F5534"/>
    <w:rsid w:val="002F562F"/>
    <w:rsid w:val="002F5689"/>
    <w:rsid w:val="002F5719"/>
    <w:rsid w:val="002F579C"/>
    <w:rsid w:val="002F5985"/>
    <w:rsid w:val="002F5B68"/>
    <w:rsid w:val="002F5B8E"/>
    <w:rsid w:val="002F5BF6"/>
    <w:rsid w:val="002F5C0D"/>
    <w:rsid w:val="002F5F56"/>
    <w:rsid w:val="002F6040"/>
    <w:rsid w:val="002F6193"/>
    <w:rsid w:val="002F620F"/>
    <w:rsid w:val="002F63C7"/>
    <w:rsid w:val="002F653C"/>
    <w:rsid w:val="002F6628"/>
    <w:rsid w:val="002F6635"/>
    <w:rsid w:val="002F6737"/>
    <w:rsid w:val="002F6907"/>
    <w:rsid w:val="002F69DC"/>
    <w:rsid w:val="002F6B07"/>
    <w:rsid w:val="002F6B4C"/>
    <w:rsid w:val="002F6B61"/>
    <w:rsid w:val="002F6B9F"/>
    <w:rsid w:val="002F6C2C"/>
    <w:rsid w:val="002F6DEA"/>
    <w:rsid w:val="002F6E59"/>
    <w:rsid w:val="002F6E8F"/>
    <w:rsid w:val="002F78EA"/>
    <w:rsid w:val="002F7A60"/>
    <w:rsid w:val="002F7C4C"/>
    <w:rsid w:val="002F7C54"/>
    <w:rsid w:val="002F7D0C"/>
    <w:rsid w:val="002F7DA4"/>
    <w:rsid w:val="002F7DC8"/>
    <w:rsid w:val="002F7EA1"/>
    <w:rsid w:val="003001A2"/>
    <w:rsid w:val="003002D5"/>
    <w:rsid w:val="0030037F"/>
    <w:rsid w:val="0030044E"/>
    <w:rsid w:val="00300639"/>
    <w:rsid w:val="00300719"/>
    <w:rsid w:val="003007AB"/>
    <w:rsid w:val="003008D6"/>
    <w:rsid w:val="00300A6B"/>
    <w:rsid w:val="00300AFD"/>
    <w:rsid w:val="00300C48"/>
    <w:rsid w:val="00300DC8"/>
    <w:rsid w:val="00300DCC"/>
    <w:rsid w:val="00300E80"/>
    <w:rsid w:val="00300EF4"/>
    <w:rsid w:val="00300FD1"/>
    <w:rsid w:val="00301074"/>
    <w:rsid w:val="00301181"/>
    <w:rsid w:val="00301235"/>
    <w:rsid w:val="00301273"/>
    <w:rsid w:val="003012B7"/>
    <w:rsid w:val="003012BA"/>
    <w:rsid w:val="0030134A"/>
    <w:rsid w:val="00301410"/>
    <w:rsid w:val="00301474"/>
    <w:rsid w:val="0030155D"/>
    <w:rsid w:val="003016B2"/>
    <w:rsid w:val="00301809"/>
    <w:rsid w:val="0030188E"/>
    <w:rsid w:val="00301A5E"/>
    <w:rsid w:val="00301A66"/>
    <w:rsid w:val="00301B9F"/>
    <w:rsid w:val="00301BDA"/>
    <w:rsid w:val="00301C43"/>
    <w:rsid w:val="00301D04"/>
    <w:rsid w:val="00301DFA"/>
    <w:rsid w:val="00301F6F"/>
    <w:rsid w:val="00302244"/>
    <w:rsid w:val="0030225B"/>
    <w:rsid w:val="0030227E"/>
    <w:rsid w:val="003022E4"/>
    <w:rsid w:val="003023C5"/>
    <w:rsid w:val="00302432"/>
    <w:rsid w:val="003024E7"/>
    <w:rsid w:val="0030253A"/>
    <w:rsid w:val="00302591"/>
    <w:rsid w:val="0030271E"/>
    <w:rsid w:val="00302737"/>
    <w:rsid w:val="003028A1"/>
    <w:rsid w:val="00302902"/>
    <w:rsid w:val="00302910"/>
    <w:rsid w:val="00302C69"/>
    <w:rsid w:val="00302D61"/>
    <w:rsid w:val="00302E0A"/>
    <w:rsid w:val="00302E20"/>
    <w:rsid w:val="00302E81"/>
    <w:rsid w:val="00303032"/>
    <w:rsid w:val="0030304C"/>
    <w:rsid w:val="00303089"/>
    <w:rsid w:val="00303157"/>
    <w:rsid w:val="003031B6"/>
    <w:rsid w:val="0030331A"/>
    <w:rsid w:val="00303397"/>
    <w:rsid w:val="0030344D"/>
    <w:rsid w:val="0030357B"/>
    <w:rsid w:val="00303655"/>
    <w:rsid w:val="00303663"/>
    <w:rsid w:val="003036DD"/>
    <w:rsid w:val="0030375C"/>
    <w:rsid w:val="003037C7"/>
    <w:rsid w:val="00303893"/>
    <w:rsid w:val="00303972"/>
    <w:rsid w:val="0030398A"/>
    <w:rsid w:val="00303A28"/>
    <w:rsid w:val="00303A56"/>
    <w:rsid w:val="00303A7D"/>
    <w:rsid w:val="00303B4F"/>
    <w:rsid w:val="00303C72"/>
    <w:rsid w:val="00303D89"/>
    <w:rsid w:val="00303EC8"/>
    <w:rsid w:val="00303F76"/>
    <w:rsid w:val="00303FF3"/>
    <w:rsid w:val="00304297"/>
    <w:rsid w:val="0030431D"/>
    <w:rsid w:val="0030437F"/>
    <w:rsid w:val="0030455D"/>
    <w:rsid w:val="003048B8"/>
    <w:rsid w:val="00304911"/>
    <w:rsid w:val="00304B39"/>
    <w:rsid w:val="00304B4D"/>
    <w:rsid w:val="00304C36"/>
    <w:rsid w:val="00304CE6"/>
    <w:rsid w:val="00304D5E"/>
    <w:rsid w:val="00304D60"/>
    <w:rsid w:val="00304DB0"/>
    <w:rsid w:val="00304DE3"/>
    <w:rsid w:val="00304DF4"/>
    <w:rsid w:val="00304E2F"/>
    <w:rsid w:val="0030508B"/>
    <w:rsid w:val="003050C8"/>
    <w:rsid w:val="00305210"/>
    <w:rsid w:val="0030529C"/>
    <w:rsid w:val="003053AF"/>
    <w:rsid w:val="00305469"/>
    <w:rsid w:val="003054D6"/>
    <w:rsid w:val="003055FC"/>
    <w:rsid w:val="003056FE"/>
    <w:rsid w:val="003058DF"/>
    <w:rsid w:val="0030590B"/>
    <w:rsid w:val="003059A3"/>
    <w:rsid w:val="00305B5D"/>
    <w:rsid w:val="00305C60"/>
    <w:rsid w:val="00305D20"/>
    <w:rsid w:val="003060F8"/>
    <w:rsid w:val="0030635C"/>
    <w:rsid w:val="0030636D"/>
    <w:rsid w:val="003063DD"/>
    <w:rsid w:val="003064D8"/>
    <w:rsid w:val="0030658E"/>
    <w:rsid w:val="00306604"/>
    <w:rsid w:val="003066E3"/>
    <w:rsid w:val="00306702"/>
    <w:rsid w:val="0030678B"/>
    <w:rsid w:val="003067DD"/>
    <w:rsid w:val="00306828"/>
    <w:rsid w:val="00306981"/>
    <w:rsid w:val="00306B29"/>
    <w:rsid w:val="00306B70"/>
    <w:rsid w:val="00306BC9"/>
    <w:rsid w:val="00306C26"/>
    <w:rsid w:val="00306C64"/>
    <w:rsid w:val="00306D9A"/>
    <w:rsid w:val="00306E16"/>
    <w:rsid w:val="00306EA0"/>
    <w:rsid w:val="00306FE2"/>
    <w:rsid w:val="00307118"/>
    <w:rsid w:val="00307344"/>
    <w:rsid w:val="00307356"/>
    <w:rsid w:val="0030746B"/>
    <w:rsid w:val="003076AA"/>
    <w:rsid w:val="0030776D"/>
    <w:rsid w:val="00307994"/>
    <w:rsid w:val="00307A12"/>
    <w:rsid w:val="00307A13"/>
    <w:rsid w:val="00307B1A"/>
    <w:rsid w:val="00307B5E"/>
    <w:rsid w:val="00307B7D"/>
    <w:rsid w:val="00307C74"/>
    <w:rsid w:val="00307D3C"/>
    <w:rsid w:val="00307D87"/>
    <w:rsid w:val="00307DAB"/>
    <w:rsid w:val="00307DE6"/>
    <w:rsid w:val="00307E97"/>
    <w:rsid w:val="00307EC7"/>
    <w:rsid w:val="003100D6"/>
    <w:rsid w:val="003100FC"/>
    <w:rsid w:val="003101B6"/>
    <w:rsid w:val="00310214"/>
    <w:rsid w:val="003102F4"/>
    <w:rsid w:val="003108C6"/>
    <w:rsid w:val="0031090C"/>
    <w:rsid w:val="003109DB"/>
    <w:rsid w:val="00310A2B"/>
    <w:rsid w:val="00310A4A"/>
    <w:rsid w:val="00310BC7"/>
    <w:rsid w:val="00310D60"/>
    <w:rsid w:val="00310F28"/>
    <w:rsid w:val="00310F8A"/>
    <w:rsid w:val="00310FD6"/>
    <w:rsid w:val="00311041"/>
    <w:rsid w:val="003111A9"/>
    <w:rsid w:val="00311259"/>
    <w:rsid w:val="003112DC"/>
    <w:rsid w:val="003113DC"/>
    <w:rsid w:val="00311546"/>
    <w:rsid w:val="003116A1"/>
    <w:rsid w:val="003116E2"/>
    <w:rsid w:val="003117C3"/>
    <w:rsid w:val="003119BE"/>
    <w:rsid w:val="003119FE"/>
    <w:rsid w:val="00311AA6"/>
    <w:rsid w:val="00311C3B"/>
    <w:rsid w:val="00311C5A"/>
    <w:rsid w:val="00311F25"/>
    <w:rsid w:val="00311FBE"/>
    <w:rsid w:val="0031223C"/>
    <w:rsid w:val="003129B5"/>
    <w:rsid w:val="003129E2"/>
    <w:rsid w:val="003129F3"/>
    <w:rsid w:val="00312A6B"/>
    <w:rsid w:val="00312C70"/>
    <w:rsid w:val="00312CDF"/>
    <w:rsid w:val="00312D22"/>
    <w:rsid w:val="00312DA2"/>
    <w:rsid w:val="00312E44"/>
    <w:rsid w:val="00312EAA"/>
    <w:rsid w:val="00312F1D"/>
    <w:rsid w:val="00312F37"/>
    <w:rsid w:val="00313018"/>
    <w:rsid w:val="003130B7"/>
    <w:rsid w:val="00313129"/>
    <w:rsid w:val="003131B7"/>
    <w:rsid w:val="0031336F"/>
    <w:rsid w:val="0031337B"/>
    <w:rsid w:val="00313473"/>
    <w:rsid w:val="003135C8"/>
    <w:rsid w:val="003135D7"/>
    <w:rsid w:val="0031361A"/>
    <w:rsid w:val="0031368C"/>
    <w:rsid w:val="003136CF"/>
    <w:rsid w:val="003138B4"/>
    <w:rsid w:val="0031392C"/>
    <w:rsid w:val="00313A92"/>
    <w:rsid w:val="00313AE4"/>
    <w:rsid w:val="00313C2E"/>
    <w:rsid w:val="00313CE6"/>
    <w:rsid w:val="00313CFD"/>
    <w:rsid w:val="00313D5C"/>
    <w:rsid w:val="00313E20"/>
    <w:rsid w:val="00313F9E"/>
    <w:rsid w:val="00314161"/>
    <w:rsid w:val="0031446C"/>
    <w:rsid w:val="003144F3"/>
    <w:rsid w:val="00314541"/>
    <w:rsid w:val="003145C7"/>
    <w:rsid w:val="003146E3"/>
    <w:rsid w:val="00314702"/>
    <w:rsid w:val="0031472F"/>
    <w:rsid w:val="00314788"/>
    <w:rsid w:val="003147DC"/>
    <w:rsid w:val="00314831"/>
    <w:rsid w:val="00314832"/>
    <w:rsid w:val="0031491F"/>
    <w:rsid w:val="0031493A"/>
    <w:rsid w:val="003149B4"/>
    <w:rsid w:val="003149C0"/>
    <w:rsid w:val="003149C8"/>
    <w:rsid w:val="00314A20"/>
    <w:rsid w:val="00314AED"/>
    <w:rsid w:val="00314B9A"/>
    <w:rsid w:val="00314BD2"/>
    <w:rsid w:val="00314E7B"/>
    <w:rsid w:val="00314F00"/>
    <w:rsid w:val="00314FE5"/>
    <w:rsid w:val="0031503C"/>
    <w:rsid w:val="00315057"/>
    <w:rsid w:val="003150E4"/>
    <w:rsid w:val="0031517B"/>
    <w:rsid w:val="003151EE"/>
    <w:rsid w:val="0031528F"/>
    <w:rsid w:val="003153E7"/>
    <w:rsid w:val="0031546D"/>
    <w:rsid w:val="003154EF"/>
    <w:rsid w:val="00315523"/>
    <w:rsid w:val="00315568"/>
    <w:rsid w:val="0031556B"/>
    <w:rsid w:val="0031557B"/>
    <w:rsid w:val="003155D8"/>
    <w:rsid w:val="00315769"/>
    <w:rsid w:val="00315971"/>
    <w:rsid w:val="00315C81"/>
    <w:rsid w:val="00315D73"/>
    <w:rsid w:val="00315F51"/>
    <w:rsid w:val="00315F71"/>
    <w:rsid w:val="0031605A"/>
    <w:rsid w:val="00316241"/>
    <w:rsid w:val="00316259"/>
    <w:rsid w:val="003162FC"/>
    <w:rsid w:val="0031632F"/>
    <w:rsid w:val="00316355"/>
    <w:rsid w:val="00316460"/>
    <w:rsid w:val="00316497"/>
    <w:rsid w:val="003164C7"/>
    <w:rsid w:val="0031669E"/>
    <w:rsid w:val="00316747"/>
    <w:rsid w:val="0031693E"/>
    <w:rsid w:val="00316A5B"/>
    <w:rsid w:val="00316A79"/>
    <w:rsid w:val="00316ABF"/>
    <w:rsid w:val="00316B89"/>
    <w:rsid w:val="00316DB8"/>
    <w:rsid w:val="00317032"/>
    <w:rsid w:val="00317074"/>
    <w:rsid w:val="003170D3"/>
    <w:rsid w:val="003172D6"/>
    <w:rsid w:val="003172E9"/>
    <w:rsid w:val="00317362"/>
    <w:rsid w:val="0031737A"/>
    <w:rsid w:val="00317449"/>
    <w:rsid w:val="00317546"/>
    <w:rsid w:val="003175CF"/>
    <w:rsid w:val="0031766C"/>
    <w:rsid w:val="0031769B"/>
    <w:rsid w:val="003176F0"/>
    <w:rsid w:val="003178DA"/>
    <w:rsid w:val="00317921"/>
    <w:rsid w:val="00317997"/>
    <w:rsid w:val="003179B0"/>
    <w:rsid w:val="00317AF0"/>
    <w:rsid w:val="00317B1D"/>
    <w:rsid w:val="00317DC7"/>
    <w:rsid w:val="00317E1F"/>
    <w:rsid w:val="00317EF1"/>
    <w:rsid w:val="00317F21"/>
    <w:rsid w:val="00320039"/>
    <w:rsid w:val="0032010B"/>
    <w:rsid w:val="0032015E"/>
    <w:rsid w:val="003201DA"/>
    <w:rsid w:val="003201DB"/>
    <w:rsid w:val="0032020D"/>
    <w:rsid w:val="00320430"/>
    <w:rsid w:val="0032051C"/>
    <w:rsid w:val="00320632"/>
    <w:rsid w:val="0032076C"/>
    <w:rsid w:val="003207C3"/>
    <w:rsid w:val="00320925"/>
    <w:rsid w:val="00320995"/>
    <w:rsid w:val="003209D1"/>
    <w:rsid w:val="00320A4A"/>
    <w:rsid w:val="00320AA2"/>
    <w:rsid w:val="00320F73"/>
    <w:rsid w:val="003210D2"/>
    <w:rsid w:val="003210D4"/>
    <w:rsid w:val="00321153"/>
    <w:rsid w:val="00321305"/>
    <w:rsid w:val="00321612"/>
    <w:rsid w:val="00321773"/>
    <w:rsid w:val="00321793"/>
    <w:rsid w:val="0032181D"/>
    <w:rsid w:val="00321A44"/>
    <w:rsid w:val="00321DC7"/>
    <w:rsid w:val="00321EB1"/>
    <w:rsid w:val="00321ECF"/>
    <w:rsid w:val="00321EF0"/>
    <w:rsid w:val="00321F9E"/>
    <w:rsid w:val="00321FA2"/>
    <w:rsid w:val="00322010"/>
    <w:rsid w:val="00322040"/>
    <w:rsid w:val="00322077"/>
    <w:rsid w:val="00322272"/>
    <w:rsid w:val="003223C2"/>
    <w:rsid w:val="003223EF"/>
    <w:rsid w:val="003224E2"/>
    <w:rsid w:val="003225E3"/>
    <w:rsid w:val="00322685"/>
    <w:rsid w:val="003226FD"/>
    <w:rsid w:val="00322737"/>
    <w:rsid w:val="0032274B"/>
    <w:rsid w:val="0032274E"/>
    <w:rsid w:val="0032299C"/>
    <w:rsid w:val="003229CD"/>
    <w:rsid w:val="00322A27"/>
    <w:rsid w:val="00322B4D"/>
    <w:rsid w:val="00322CE8"/>
    <w:rsid w:val="00322D26"/>
    <w:rsid w:val="00323140"/>
    <w:rsid w:val="0032317A"/>
    <w:rsid w:val="003231D0"/>
    <w:rsid w:val="003231FD"/>
    <w:rsid w:val="00323381"/>
    <w:rsid w:val="003234BB"/>
    <w:rsid w:val="00323589"/>
    <w:rsid w:val="003235BF"/>
    <w:rsid w:val="00323608"/>
    <w:rsid w:val="00323622"/>
    <w:rsid w:val="00323740"/>
    <w:rsid w:val="00323911"/>
    <w:rsid w:val="00323AE3"/>
    <w:rsid w:val="00323B44"/>
    <w:rsid w:val="00323B73"/>
    <w:rsid w:val="00323CAE"/>
    <w:rsid w:val="00323D9E"/>
    <w:rsid w:val="00323E2A"/>
    <w:rsid w:val="00323E44"/>
    <w:rsid w:val="00323F60"/>
    <w:rsid w:val="00323FAA"/>
    <w:rsid w:val="00324073"/>
    <w:rsid w:val="003243A6"/>
    <w:rsid w:val="003244D1"/>
    <w:rsid w:val="0032456E"/>
    <w:rsid w:val="00324637"/>
    <w:rsid w:val="00324685"/>
    <w:rsid w:val="003248F7"/>
    <w:rsid w:val="00324D17"/>
    <w:rsid w:val="00324E15"/>
    <w:rsid w:val="00324E55"/>
    <w:rsid w:val="00324E69"/>
    <w:rsid w:val="00324EC6"/>
    <w:rsid w:val="00324EFB"/>
    <w:rsid w:val="00325145"/>
    <w:rsid w:val="00325187"/>
    <w:rsid w:val="0032523B"/>
    <w:rsid w:val="003252D8"/>
    <w:rsid w:val="003253EC"/>
    <w:rsid w:val="003253FF"/>
    <w:rsid w:val="0032543B"/>
    <w:rsid w:val="00325493"/>
    <w:rsid w:val="003254CB"/>
    <w:rsid w:val="00325541"/>
    <w:rsid w:val="0032555A"/>
    <w:rsid w:val="003255A2"/>
    <w:rsid w:val="00325835"/>
    <w:rsid w:val="00325BD6"/>
    <w:rsid w:val="00325C31"/>
    <w:rsid w:val="00325DBE"/>
    <w:rsid w:val="00325F3F"/>
    <w:rsid w:val="003263A2"/>
    <w:rsid w:val="0032640E"/>
    <w:rsid w:val="0032643A"/>
    <w:rsid w:val="00326583"/>
    <w:rsid w:val="003266E5"/>
    <w:rsid w:val="00326744"/>
    <w:rsid w:val="00326B2B"/>
    <w:rsid w:val="00326DAC"/>
    <w:rsid w:val="00326E76"/>
    <w:rsid w:val="00326F16"/>
    <w:rsid w:val="0032721B"/>
    <w:rsid w:val="00327434"/>
    <w:rsid w:val="00327500"/>
    <w:rsid w:val="003275D9"/>
    <w:rsid w:val="003275E8"/>
    <w:rsid w:val="003275ED"/>
    <w:rsid w:val="00327620"/>
    <w:rsid w:val="00327635"/>
    <w:rsid w:val="00327677"/>
    <w:rsid w:val="003276C8"/>
    <w:rsid w:val="003277A1"/>
    <w:rsid w:val="00327837"/>
    <w:rsid w:val="003278DA"/>
    <w:rsid w:val="003278EC"/>
    <w:rsid w:val="00327901"/>
    <w:rsid w:val="00327954"/>
    <w:rsid w:val="00327C51"/>
    <w:rsid w:val="00327CC7"/>
    <w:rsid w:val="00327FC6"/>
    <w:rsid w:val="00327FE8"/>
    <w:rsid w:val="00330149"/>
    <w:rsid w:val="0033014E"/>
    <w:rsid w:val="0033016B"/>
    <w:rsid w:val="00330216"/>
    <w:rsid w:val="00330468"/>
    <w:rsid w:val="003304C5"/>
    <w:rsid w:val="003305A1"/>
    <w:rsid w:val="00330802"/>
    <w:rsid w:val="00330893"/>
    <w:rsid w:val="00330BDB"/>
    <w:rsid w:val="00330CD5"/>
    <w:rsid w:val="00330DC2"/>
    <w:rsid w:val="00330E75"/>
    <w:rsid w:val="00330F60"/>
    <w:rsid w:val="00330F82"/>
    <w:rsid w:val="00330FA3"/>
    <w:rsid w:val="00331044"/>
    <w:rsid w:val="00331305"/>
    <w:rsid w:val="00331382"/>
    <w:rsid w:val="00331593"/>
    <w:rsid w:val="003315C2"/>
    <w:rsid w:val="00331665"/>
    <w:rsid w:val="0033172A"/>
    <w:rsid w:val="00331741"/>
    <w:rsid w:val="003317A4"/>
    <w:rsid w:val="003318F6"/>
    <w:rsid w:val="00331966"/>
    <w:rsid w:val="00331987"/>
    <w:rsid w:val="00331A97"/>
    <w:rsid w:val="00331AD6"/>
    <w:rsid w:val="00331B30"/>
    <w:rsid w:val="00331DED"/>
    <w:rsid w:val="00331E5C"/>
    <w:rsid w:val="00331F91"/>
    <w:rsid w:val="0033204B"/>
    <w:rsid w:val="003322C2"/>
    <w:rsid w:val="003322D5"/>
    <w:rsid w:val="0033250B"/>
    <w:rsid w:val="00332550"/>
    <w:rsid w:val="00332584"/>
    <w:rsid w:val="0033260E"/>
    <w:rsid w:val="003326F8"/>
    <w:rsid w:val="00332997"/>
    <w:rsid w:val="00332A7B"/>
    <w:rsid w:val="00332A9E"/>
    <w:rsid w:val="00332B6E"/>
    <w:rsid w:val="00332C21"/>
    <w:rsid w:val="00332D61"/>
    <w:rsid w:val="00332DC0"/>
    <w:rsid w:val="00332DC7"/>
    <w:rsid w:val="00332DE0"/>
    <w:rsid w:val="00332F55"/>
    <w:rsid w:val="00333058"/>
    <w:rsid w:val="00333059"/>
    <w:rsid w:val="0033311E"/>
    <w:rsid w:val="003331E2"/>
    <w:rsid w:val="00333274"/>
    <w:rsid w:val="003332BC"/>
    <w:rsid w:val="003333F3"/>
    <w:rsid w:val="00333622"/>
    <w:rsid w:val="003336D4"/>
    <w:rsid w:val="0033392D"/>
    <w:rsid w:val="003339B3"/>
    <w:rsid w:val="00333A5A"/>
    <w:rsid w:val="00333B1E"/>
    <w:rsid w:val="00333BCF"/>
    <w:rsid w:val="00333CE4"/>
    <w:rsid w:val="00333E47"/>
    <w:rsid w:val="00333E59"/>
    <w:rsid w:val="00333EC1"/>
    <w:rsid w:val="00333FEB"/>
    <w:rsid w:val="003342FB"/>
    <w:rsid w:val="003345D5"/>
    <w:rsid w:val="00334603"/>
    <w:rsid w:val="003346CF"/>
    <w:rsid w:val="003347C6"/>
    <w:rsid w:val="0033485C"/>
    <w:rsid w:val="003348CE"/>
    <w:rsid w:val="00334986"/>
    <w:rsid w:val="003349F4"/>
    <w:rsid w:val="00334B7B"/>
    <w:rsid w:val="00334C4B"/>
    <w:rsid w:val="00334CB6"/>
    <w:rsid w:val="00334CC7"/>
    <w:rsid w:val="003351E8"/>
    <w:rsid w:val="003353D5"/>
    <w:rsid w:val="00335403"/>
    <w:rsid w:val="00335488"/>
    <w:rsid w:val="00335529"/>
    <w:rsid w:val="0033553C"/>
    <w:rsid w:val="00335687"/>
    <w:rsid w:val="003357F5"/>
    <w:rsid w:val="003358A7"/>
    <w:rsid w:val="00335A2C"/>
    <w:rsid w:val="00335B95"/>
    <w:rsid w:val="00335E3B"/>
    <w:rsid w:val="00335E7A"/>
    <w:rsid w:val="00335EBE"/>
    <w:rsid w:val="00335EE9"/>
    <w:rsid w:val="00335F39"/>
    <w:rsid w:val="00335F79"/>
    <w:rsid w:val="00335F83"/>
    <w:rsid w:val="00336040"/>
    <w:rsid w:val="00336211"/>
    <w:rsid w:val="00336228"/>
    <w:rsid w:val="0033627F"/>
    <w:rsid w:val="003365CC"/>
    <w:rsid w:val="00336688"/>
    <w:rsid w:val="00336749"/>
    <w:rsid w:val="0033692D"/>
    <w:rsid w:val="00336963"/>
    <w:rsid w:val="00336966"/>
    <w:rsid w:val="003369FA"/>
    <w:rsid w:val="00336EC8"/>
    <w:rsid w:val="00336EED"/>
    <w:rsid w:val="00336F7F"/>
    <w:rsid w:val="003370ED"/>
    <w:rsid w:val="003372B3"/>
    <w:rsid w:val="003373F5"/>
    <w:rsid w:val="0033748A"/>
    <w:rsid w:val="003374DC"/>
    <w:rsid w:val="00337544"/>
    <w:rsid w:val="0033758C"/>
    <w:rsid w:val="00337629"/>
    <w:rsid w:val="003376A7"/>
    <w:rsid w:val="00337762"/>
    <w:rsid w:val="003377A5"/>
    <w:rsid w:val="003377EF"/>
    <w:rsid w:val="00337831"/>
    <w:rsid w:val="0033789D"/>
    <w:rsid w:val="0033793A"/>
    <w:rsid w:val="00337AFA"/>
    <w:rsid w:val="00337CAD"/>
    <w:rsid w:val="00337D77"/>
    <w:rsid w:val="00337D83"/>
    <w:rsid w:val="00337DA0"/>
    <w:rsid w:val="00337DE8"/>
    <w:rsid w:val="00337DFE"/>
    <w:rsid w:val="00337ECA"/>
    <w:rsid w:val="003400DE"/>
    <w:rsid w:val="003400F7"/>
    <w:rsid w:val="0034020A"/>
    <w:rsid w:val="00340284"/>
    <w:rsid w:val="00340301"/>
    <w:rsid w:val="00340370"/>
    <w:rsid w:val="003404A9"/>
    <w:rsid w:val="00340585"/>
    <w:rsid w:val="003405AF"/>
    <w:rsid w:val="003405CE"/>
    <w:rsid w:val="0034067D"/>
    <w:rsid w:val="00340686"/>
    <w:rsid w:val="003406F7"/>
    <w:rsid w:val="00340874"/>
    <w:rsid w:val="00340A43"/>
    <w:rsid w:val="00340AA1"/>
    <w:rsid w:val="00340BA4"/>
    <w:rsid w:val="00340C0D"/>
    <w:rsid w:val="00340D5B"/>
    <w:rsid w:val="00340D67"/>
    <w:rsid w:val="00340ED6"/>
    <w:rsid w:val="00341118"/>
    <w:rsid w:val="00341289"/>
    <w:rsid w:val="003413EA"/>
    <w:rsid w:val="00341552"/>
    <w:rsid w:val="0034160A"/>
    <w:rsid w:val="003416ED"/>
    <w:rsid w:val="003417BD"/>
    <w:rsid w:val="00341858"/>
    <w:rsid w:val="0034187D"/>
    <w:rsid w:val="003418EA"/>
    <w:rsid w:val="00341923"/>
    <w:rsid w:val="00341A26"/>
    <w:rsid w:val="00341C31"/>
    <w:rsid w:val="00341C32"/>
    <w:rsid w:val="00341C7A"/>
    <w:rsid w:val="00341D7C"/>
    <w:rsid w:val="00341D97"/>
    <w:rsid w:val="00341DD6"/>
    <w:rsid w:val="00341DF4"/>
    <w:rsid w:val="00341E0F"/>
    <w:rsid w:val="00342065"/>
    <w:rsid w:val="00342081"/>
    <w:rsid w:val="003421E6"/>
    <w:rsid w:val="0034224F"/>
    <w:rsid w:val="00342370"/>
    <w:rsid w:val="0034240D"/>
    <w:rsid w:val="0034249A"/>
    <w:rsid w:val="003424F0"/>
    <w:rsid w:val="003425AB"/>
    <w:rsid w:val="0034265A"/>
    <w:rsid w:val="00342758"/>
    <w:rsid w:val="003428F7"/>
    <w:rsid w:val="00342913"/>
    <w:rsid w:val="003429A5"/>
    <w:rsid w:val="00342A99"/>
    <w:rsid w:val="00342C9B"/>
    <w:rsid w:val="00342CEC"/>
    <w:rsid w:val="00342D6F"/>
    <w:rsid w:val="00342E1A"/>
    <w:rsid w:val="00342EB8"/>
    <w:rsid w:val="00342F73"/>
    <w:rsid w:val="00343060"/>
    <w:rsid w:val="00343276"/>
    <w:rsid w:val="0034328D"/>
    <w:rsid w:val="003432A7"/>
    <w:rsid w:val="003433FD"/>
    <w:rsid w:val="003434D2"/>
    <w:rsid w:val="00343641"/>
    <w:rsid w:val="0034392F"/>
    <w:rsid w:val="0034396E"/>
    <w:rsid w:val="00343978"/>
    <w:rsid w:val="00343980"/>
    <w:rsid w:val="003439AD"/>
    <w:rsid w:val="00343A8C"/>
    <w:rsid w:val="00343AE5"/>
    <w:rsid w:val="00343B5F"/>
    <w:rsid w:val="00343D41"/>
    <w:rsid w:val="00343DFF"/>
    <w:rsid w:val="00343E64"/>
    <w:rsid w:val="00343F07"/>
    <w:rsid w:val="00343F25"/>
    <w:rsid w:val="0034402E"/>
    <w:rsid w:val="0034408B"/>
    <w:rsid w:val="00344101"/>
    <w:rsid w:val="0034418B"/>
    <w:rsid w:val="00344530"/>
    <w:rsid w:val="00344562"/>
    <w:rsid w:val="00344820"/>
    <w:rsid w:val="00344857"/>
    <w:rsid w:val="0034497C"/>
    <w:rsid w:val="00344C45"/>
    <w:rsid w:val="00344C77"/>
    <w:rsid w:val="00344C7A"/>
    <w:rsid w:val="00344CB2"/>
    <w:rsid w:val="00344CFB"/>
    <w:rsid w:val="00344D11"/>
    <w:rsid w:val="00344D7A"/>
    <w:rsid w:val="00344D7F"/>
    <w:rsid w:val="00344DDF"/>
    <w:rsid w:val="00344E51"/>
    <w:rsid w:val="00344F87"/>
    <w:rsid w:val="0034501C"/>
    <w:rsid w:val="003451A3"/>
    <w:rsid w:val="003452A8"/>
    <w:rsid w:val="003452AB"/>
    <w:rsid w:val="003452E5"/>
    <w:rsid w:val="00345491"/>
    <w:rsid w:val="00345523"/>
    <w:rsid w:val="0034552E"/>
    <w:rsid w:val="003457DC"/>
    <w:rsid w:val="0034584E"/>
    <w:rsid w:val="00345858"/>
    <w:rsid w:val="0034598C"/>
    <w:rsid w:val="00345A62"/>
    <w:rsid w:val="00345B0A"/>
    <w:rsid w:val="00345B94"/>
    <w:rsid w:val="00345C4F"/>
    <w:rsid w:val="00345CAB"/>
    <w:rsid w:val="00345CF9"/>
    <w:rsid w:val="00345DC6"/>
    <w:rsid w:val="00345F75"/>
    <w:rsid w:val="003461D6"/>
    <w:rsid w:val="00346292"/>
    <w:rsid w:val="00346432"/>
    <w:rsid w:val="0034650A"/>
    <w:rsid w:val="00346588"/>
    <w:rsid w:val="00346763"/>
    <w:rsid w:val="0034677C"/>
    <w:rsid w:val="003467E5"/>
    <w:rsid w:val="003467EB"/>
    <w:rsid w:val="00346856"/>
    <w:rsid w:val="00346885"/>
    <w:rsid w:val="0034689A"/>
    <w:rsid w:val="003469D0"/>
    <w:rsid w:val="003469F6"/>
    <w:rsid w:val="00346B6D"/>
    <w:rsid w:val="00346BA1"/>
    <w:rsid w:val="00346C8D"/>
    <w:rsid w:val="00346DF7"/>
    <w:rsid w:val="00346E63"/>
    <w:rsid w:val="00346EF9"/>
    <w:rsid w:val="00346F4F"/>
    <w:rsid w:val="0034708E"/>
    <w:rsid w:val="00347138"/>
    <w:rsid w:val="00347169"/>
    <w:rsid w:val="0034721B"/>
    <w:rsid w:val="00347250"/>
    <w:rsid w:val="0034761E"/>
    <w:rsid w:val="003476C4"/>
    <w:rsid w:val="003477BE"/>
    <w:rsid w:val="003477C8"/>
    <w:rsid w:val="003478B0"/>
    <w:rsid w:val="0034790D"/>
    <w:rsid w:val="00347D17"/>
    <w:rsid w:val="00347D34"/>
    <w:rsid w:val="00347DBD"/>
    <w:rsid w:val="00350037"/>
    <w:rsid w:val="00350063"/>
    <w:rsid w:val="00350085"/>
    <w:rsid w:val="00350087"/>
    <w:rsid w:val="003501E8"/>
    <w:rsid w:val="0035020C"/>
    <w:rsid w:val="0035027E"/>
    <w:rsid w:val="003502DC"/>
    <w:rsid w:val="003503D9"/>
    <w:rsid w:val="003507C3"/>
    <w:rsid w:val="00350899"/>
    <w:rsid w:val="00350920"/>
    <w:rsid w:val="00350BE1"/>
    <w:rsid w:val="00350D1E"/>
    <w:rsid w:val="00350EEE"/>
    <w:rsid w:val="00350F14"/>
    <w:rsid w:val="0035128C"/>
    <w:rsid w:val="0035130A"/>
    <w:rsid w:val="0035151B"/>
    <w:rsid w:val="00351522"/>
    <w:rsid w:val="0035155A"/>
    <w:rsid w:val="003515DE"/>
    <w:rsid w:val="00351633"/>
    <w:rsid w:val="00351709"/>
    <w:rsid w:val="003517BB"/>
    <w:rsid w:val="00351889"/>
    <w:rsid w:val="00351A6E"/>
    <w:rsid w:val="00351ACD"/>
    <w:rsid w:val="00351AD1"/>
    <w:rsid w:val="00351AEB"/>
    <w:rsid w:val="00351BF1"/>
    <w:rsid w:val="00351BFD"/>
    <w:rsid w:val="00351C7F"/>
    <w:rsid w:val="00351CF5"/>
    <w:rsid w:val="00351F47"/>
    <w:rsid w:val="00351F8F"/>
    <w:rsid w:val="0035205C"/>
    <w:rsid w:val="00352149"/>
    <w:rsid w:val="003521A5"/>
    <w:rsid w:val="00352265"/>
    <w:rsid w:val="00352315"/>
    <w:rsid w:val="0035233E"/>
    <w:rsid w:val="00352345"/>
    <w:rsid w:val="003523AC"/>
    <w:rsid w:val="00352416"/>
    <w:rsid w:val="003524FC"/>
    <w:rsid w:val="003526D4"/>
    <w:rsid w:val="003526F8"/>
    <w:rsid w:val="0035273B"/>
    <w:rsid w:val="003528B4"/>
    <w:rsid w:val="0035291E"/>
    <w:rsid w:val="003529BD"/>
    <w:rsid w:val="00352AC0"/>
    <w:rsid w:val="00352B93"/>
    <w:rsid w:val="00352C1F"/>
    <w:rsid w:val="00352C92"/>
    <w:rsid w:val="00352D46"/>
    <w:rsid w:val="00352D84"/>
    <w:rsid w:val="00352D8C"/>
    <w:rsid w:val="00352DD9"/>
    <w:rsid w:val="00352E54"/>
    <w:rsid w:val="00352F62"/>
    <w:rsid w:val="003530C8"/>
    <w:rsid w:val="003532CA"/>
    <w:rsid w:val="0035335E"/>
    <w:rsid w:val="0035348C"/>
    <w:rsid w:val="00353674"/>
    <w:rsid w:val="003536CD"/>
    <w:rsid w:val="0035375E"/>
    <w:rsid w:val="0035381B"/>
    <w:rsid w:val="003538A8"/>
    <w:rsid w:val="0035391A"/>
    <w:rsid w:val="00353956"/>
    <w:rsid w:val="00353A04"/>
    <w:rsid w:val="00353B5C"/>
    <w:rsid w:val="00353B84"/>
    <w:rsid w:val="00353F23"/>
    <w:rsid w:val="00353FD3"/>
    <w:rsid w:val="00354143"/>
    <w:rsid w:val="0035414D"/>
    <w:rsid w:val="0035416B"/>
    <w:rsid w:val="003541C0"/>
    <w:rsid w:val="00354342"/>
    <w:rsid w:val="003544AB"/>
    <w:rsid w:val="003544BA"/>
    <w:rsid w:val="00354592"/>
    <w:rsid w:val="003545EE"/>
    <w:rsid w:val="0035464E"/>
    <w:rsid w:val="003546D2"/>
    <w:rsid w:val="00354714"/>
    <w:rsid w:val="0035495A"/>
    <w:rsid w:val="003549AD"/>
    <w:rsid w:val="00354AC4"/>
    <w:rsid w:val="00354D02"/>
    <w:rsid w:val="00354DE4"/>
    <w:rsid w:val="00354DF5"/>
    <w:rsid w:val="00354E0A"/>
    <w:rsid w:val="00354F29"/>
    <w:rsid w:val="003550B9"/>
    <w:rsid w:val="00355111"/>
    <w:rsid w:val="00355228"/>
    <w:rsid w:val="00355300"/>
    <w:rsid w:val="00355349"/>
    <w:rsid w:val="00355425"/>
    <w:rsid w:val="003555FD"/>
    <w:rsid w:val="00355843"/>
    <w:rsid w:val="003558BA"/>
    <w:rsid w:val="00355B19"/>
    <w:rsid w:val="00355BF0"/>
    <w:rsid w:val="00355C0A"/>
    <w:rsid w:val="00355C43"/>
    <w:rsid w:val="00355CAD"/>
    <w:rsid w:val="00355CD5"/>
    <w:rsid w:val="00355D9B"/>
    <w:rsid w:val="00355DAD"/>
    <w:rsid w:val="00355E1F"/>
    <w:rsid w:val="00356093"/>
    <w:rsid w:val="00356098"/>
    <w:rsid w:val="00356132"/>
    <w:rsid w:val="00356233"/>
    <w:rsid w:val="0035626A"/>
    <w:rsid w:val="00356287"/>
    <w:rsid w:val="003562B6"/>
    <w:rsid w:val="0035636E"/>
    <w:rsid w:val="003563B8"/>
    <w:rsid w:val="0035648F"/>
    <w:rsid w:val="00356641"/>
    <w:rsid w:val="003566AA"/>
    <w:rsid w:val="00356715"/>
    <w:rsid w:val="00356720"/>
    <w:rsid w:val="00356745"/>
    <w:rsid w:val="00356759"/>
    <w:rsid w:val="0035676D"/>
    <w:rsid w:val="00356809"/>
    <w:rsid w:val="003569B7"/>
    <w:rsid w:val="00356A58"/>
    <w:rsid w:val="00356B83"/>
    <w:rsid w:val="00356BDD"/>
    <w:rsid w:val="00356D90"/>
    <w:rsid w:val="00356D96"/>
    <w:rsid w:val="00356FDD"/>
    <w:rsid w:val="003570A2"/>
    <w:rsid w:val="0035727A"/>
    <w:rsid w:val="00357336"/>
    <w:rsid w:val="00357430"/>
    <w:rsid w:val="00357447"/>
    <w:rsid w:val="00357572"/>
    <w:rsid w:val="0035759E"/>
    <w:rsid w:val="003575D9"/>
    <w:rsid w:val="0035763A"/>
    <w:rsid w:val="003576A1"/>
    <w:rsid w:val="003578E5"/>
    <w:rsid w:val="00357996"/>
    <w:rsid w:val="00357A5B"/>
    <w:rsid w:val="00357ADC"/>
    <w:rsid w:val="00357D60"/>
    <w:rsid w:val="00360009"/>
    <w:rsid w:val="003600CE"/>
    <w:rsid w:val="003601D1"/>
    <w:rsid w:val="0036027C"/>
    <w:rsid w:val="00360361"/>
    <w:rsid w:val="003603E8"/>
    <w:rsid w:val="003604DD"/>
    <w:rsid w:val="00360513"/>
    <w:rsid w:val="003608D7"/>
    <w:rsid w:val="00360938"/>
    <w:rsid w:val="00360973"/>
    <w:rsid w:val="003609B1"/>
    <w:rsid w:val="00360ADA"/>
    <w:rsid w:val="00360B3F"/>
    <w:rsid w:val="00360BCE"/>
    <w:rsid w:val="00360BDA"/>
    <w:rsid w:val="00360CB2"/>
    <w:rsid w:val="00360E10"/>
    <w:rsid w:val="00360E2B"/>
    <w:rsid w:val="00360E92"/>
    <w:rsid w:val="00360FDB"/>
    <w:rsid w:val="00361136"/>
    <w:rsid w:val="00361155"/>
    <w:rsid w:val="00361263"/>
    <w:rsid w:val="003612AF"/>
    <w:rsid w:val="003612D6"/>
    <w:rsid w:val="00361354"/>
    <w:rsid w:val="0036137A"/>
    <w:rsid w:val="003614B7"/>
    <w:rsid w:val="00361617"/>
    <w:rsid w:val="00361725"/>
    <w:rsid w:val="00361A54"/>
    <w:rsid w:val="00361A76"/>
    <w:rsid w:val="00361AB2"/>
    <w:rsid w:val="00361C2A"/>
    <w:rsid w:val="00361FDF"/>
    <w:rsid w:val="0036203B"/>
    <w:rsid w:val="003624F2"/>
    <w:rsid w:val="0036253B"/>
    <w:rsid w:val="0036263E"/>
    <w:rsid w:val="00362686"/>
    <w:rsid w:val="00362720"/>
    <w:rsid w:val="00362828"/>
    <w:rsid w:val="003628DD"/>
    <w:rsid w:val="00362B73"/>
    <w:rsid w:val="00362D5B"/>
    <w:rsid w:val="00362DA7"/>
    <w:rsid w:val="00362EC4"/>
    <w:rsid w:val="003631BF"/>
    <w:rsid w:val="003631DF"/>
    <w:rsid w:val="00363228"/>
    <w:rsid w:val="00363528"/>
    <w:rsid w:val="0036357D"/>
    <w:rsid w:val="00363960"/>
    <w:rsid w:val="00363969"/>
    <w:rsid w:val="00363C83"/>
    <w:rsid w:val="00363CBF"/>
    <w:rsid w:val="00363D74"/>
    <w:rsid w:val="00363D94"/>
    <w:rsid w:val="00363EDA"/>
    <w:rsid w:val="00363EF3"/>
    <w:rsid w:val="00363EFD"/>
    <w:rsid w:val="00363F1C"/>
    <w:rsid w:val="00363F92"/>
    <w:rsid w:val="00364093"/>
    <w:rsid w:val="003640DD"/>
    <w:rsid w:val="003640E1"/>
    <w:rsid w:val="00364108"/>
    <w:rsid w:val="0036414A"/>
    <w:rsid w:val="00364176"/>
    <w:rsid w:val="003641C8"/>
    <w:rsid w:val="00364215"/>
    <w:rsid w:val="0036439F"/>
    <w:rsid w:val="003644C6"/>
    <w:rsid w:val="003647BA"/>
    <w:rsid w:val="003648EF"/>
    <w:rsid w:val="00364917"/>
    <w:rsid w:val="00364925"/>
    <w:rsid w:val="00364972"/>
    <w:rsid w:val="003649F3"/>
    <w:rsid w:val="00364A93"/>
    <w:rsid w:val="00364AAF"/>
    <w:rsid w:val="00364AF3"/>
    <w:rsid w:val="00364D1C"/>
    <w:rsid w:val="00364DBC"/>
    <w:rsid w:val="00364EBF"/>
    <w:rsid w:val="00364EE6"/>
    <w:rsid w:val="003651A4"/>
    <w:rsid w:val="003653BB"/>
    <w:rsid w:val="0036545D"/>
    <w:rsid w:val="003654DA"/>
    <w:rsid w:val="00365610"/>
    <w:rsid w:val="00365705"/>
    <w:rsid w:val="0036576F"/>
    <w:rsid w:val="003657C3"/>
    <w:rsid w:val="003657F1"/>
    <w:rsid w:val="00365A0C"/>
    <w:rsid w:val="00365AA6"/>
    <w:rsid w:val="00365B06"/>
    <w:rsid w:val="00365C22"/>
    <w:rsid w:val="00365CF9"/>
    <w:rsid w:val="00365D17"/>
    <w:rsid w:val="00365DC2"/>
    <w:rsid w:val="00365EEE"/>
    <w:rsid w:val="00365F88"/>
    <w:rsid w:val="00366078"/>
    <w:rsid w:val="003660EF"/>
    <w:rsid w:val="003661A9"/>
    <w:rsid w:val="003662D2"/>
    <w:rsid w:val="00366320"/>
    <w:rsid w:val="00366399"/>
    <w:rsid w:val="0036642E"/>
    <w:rsid w:val="003664C5"/>
    <w:rsid w:val="00366536"/>
    <w:rsid w:val="0036657D"/>
    <w:rsid w:val="00366658"/>
    <w:rsid w:val="0036667F"/>
    <w:rsid w:val="00366729"/>
    <w:rsid w:val="00366750"/>
    <w:rsid w:val="00366809"/>
    <w:rsid w:val="0036686D"/>
    <w:rsid w:val="00366AE4"/>
    <w:rsid w:val="00366B56"/>
    <w:rsid w:val="00366B65"/>
    <w:rsid w:val="00366C1E"/>
    <w:rsid w:val="00366C3B"/>
    <w:rsid w:val="00366E03"/>
    <w:rsid w:val="00366E10"/>
    <w:rsid w:val="00366F31"/>
    <w:rsid w:val="00367059"/>
    <w:rsid w:val="00367079"/>
    <w:rsid w:val="00367226"/>
    <w:rsid w:val="00367264"/>
    <w:rsid w:val="003673A4"/>
    <w:rsid w:val="003674C2"/>
    <w:rsid w:val="00367526"/>
    <w:rsid w:val="00367560"/>
    <w:rsid w:val="00367670"/>
    <w:rsid w:val="00367733"/>
    <w:rsid w:val="00367770"/>
    <w:rsid w:val="0036777A"/>
    <w:rsid w:val="0036796A"/>
    <w:rsid w:val="00367C2A"/>
    <w:rsid w:val="00367C35"/>
    <w:rsid w:val="00367C40"/>
    <w:rsid w:val="00367D8A"/>
    <w:rsid w:val="00367D9C"/>
    <w:rsid w:val="00367DF8"/>
    <w:rsid w:val="00367E71"/>
    <w:rsid w:val="00367EE3"/>
    <w:rsid w:val="00367F25"/>
    <w:rsid w:val="00367F8C"/>
    <w:rsid w:val="00370006"/>
    <w:rsid w:val="0037005A"/>
    <w:rsid w:val="00370079"/>
    <w:rsid w:val="003702D7"/>
    <w:rsid w:val="00370329"/>
    <w:rsid w:val="0037049B"/>
    <w:rsid w:val="003705D3"/>
    <w:rsid w:val="003706BF"/>
    <w:rsid w:val="003707A4"/>
    <w:rsid w:val="0037093B"/>
    <w:rsid w:val="0037093D"/>
    <w:rsid w:val="003709F7"/>
    <w:rsid w:val="00370A89"/>
    <w:rsid w:val="00370AF0"/>
    <w:rsid w:val="00370BA7"/>
    <w:rsid w:val="00370C6A"/>
    <w:rsid w:val="00370DA1"/>
    <w:rsid w:val="00370EC3"/>
    <w:rsid w:val="003710EB"/>
    <w:rsid w:val="0037117D"/>
    <w:rsid w:val="003711E5"/>
    <w:rsid w:val="003713DB"/>
    <w:rsid w:val="0037142C"/>
    <w:rsid w:val="00371464"/>
    <w:rsid w:val="0037170C"/>
    <w:rsid w:val="003717EB"/>
    <w:rsid w:val="00371884"/>
    <w:rsid w:val="00371A20"/>
    <w:rsid w:val="00371B8E"/>
    <w:rsid w:val="00371CFC"/>
    <w:rsid w:val="00371D37"/>
    <w:rsid w:val="00371E91"/>
    <w:rsid w:val="00371EBE"/>
    <w:rsid w:val="00371F05"/>
    <w:rsid w:val="00371F3E"/>
    <w:rsid w:val="00372095"/>
    <w:rsid w:val="0037210B"/>
    <w:rsid w:val="003721D8"/>
    <w:rsid w:val="00372322"/>
    <w:rsid w:val="00372341"/>
    <w:rsid w:val="00372392"/>
    <w:rsid w:val="0037263B"/>
    <w:rsid w:val="003726DB"/>
    <w:rsid w:val="00372730"/>
    <w:rsid w:val="003727C1"/>
    <w:rsid w:val="003728A8"/>
    <w:rsid w:val="003729A0"/>
    <w:rsid w:val="00372A8C"/>
    <w:rsid w:val="00372B04"/>
    <w:rsid w:val="00372B06"/>
    <w:rsid w:val="00372D85"/>
    <w:rsid w:val="00372EAB"/>
    <w:rsid w:val="00372F66"/>
    <w:rsid w:val="003731C7"/>
    <w:rsid w:val="003733AF"/>
    <w:rsid w:val="003733ED"/>
    <w:rsid w:val="003733F8"/>
    <w:rsid w:val="0037360A"/>
    <w:rsid w:val="0037384E"/>
    <w:rsid w:val="0037388C"/>
    <w:rsid w:val="003738B5"/>
    <w:rsid w:val="00373993"/>
    <w:rsid w:val="003739B8"/>
    <w:rsid w:val="00373AB8"/>
    <w:rsid w:val="00373E19"/>
    <w:rsid w:val="00373F67"/>
    <w:rsid w:val="003740F4"/>
    <w:rsid w:val="0037473C"/>
    <w:rsid w:val="00374816"/>
    <w:rsid w:val="00374A09"/>
    <w:rsid w:val="00374A5F"/>
    <w:rsid w:val="00374CDE"/>
    <w:rsid w:val="00374D8C"/>
    <w:rsid w:val="00374D90"/>
    <w:rsid w:val="00374E53"/>
    <w:rsid w:val="00374FF6"/>
    <w:rsid w:val="00375073"/>
    <w:rsid w:val="0037509C"/>
    <w:rsid w:val="003750F9"/>
    <w:rsid w:val="00375117"/>
    <w:rsid w:val="00375366"/>
    <w:rsid w:val="0037539D"/>
    <w:rsid w:val="00375442"/>
    <w:rsid w:val="003756FD"/>
    <w:rsid w:val="0037570D"/>
    <w:rsid w:val="003757DE"/>
    <w:rsid w:val="0037589B"/>
    <w:rsid w:val="00375950"/>
    <w:rsid w:val="00375A76"/>
    <w:rsid w:val="00375AA7"/>
    <w:rsid w:val="00375BC4"/>
    <w:rsid w:val="00375BDE"/>
    <w:rsid w:val="00375C56"/>
    <w:rsid w:val="00375D46"/>
    <w:rsid w:val="00375D4B"/>
    <w:rsid w:val="00375FCE"/>
    <w:rsid w:val="00375FF3"/>
    <w:rsid w:val="003762B4"/>
    <w:rsid w:val="00376353"/>
    <w:rsid w:val="00376356"/>
    <w:rsid w:val="0037639D"/>
    <w:rsid w:val="003764B8"/>
    <w:rsid w:val="003764F3"/>
    <w:rsid w:val="00376793"/>
    <w:rsid w:val="003768FE"/>
    <w:rsid w:val="00376916"/>
    <w:rsid w:val="00376937"/>
    <w:rsid w:val="0037695E"/>
    <w:rsid w:val="00376975"/>
    <w:rsid w:val="00376A55"/>
    <w:rsid w:val="00376B30"/>
    <w:rsid w:val="00376B37"/>
    <w:rsid w:val="00376B97"/>
    <w:rsid w:val="00376BC3"/>
    <w:rsid w:val="00376C9C"/>
    <w:rsid w:val="00376CF4"/>
    <w:rsid w:val="00376D73"/>
    <w:rsid w:val="00376DCA"/>
    <w:rsid w:val="00376E14"/>
    <w:rsid w:val="00376F15"/>
    <w:rsid w:val="00376FB6"/>
    <w:rsid w:val="003770C1"/>
    <w:rsid w:val="0037739F"/>
    <w:rsid w:val="003773B8"/>
    <w:rsid w:val="00377590"/>
    <w:rsid w:val="003775A3"/>
    <w:rsid w:val="00377676"/>
    <w:rsid w:val="0037773F"/>
    <w:rsid w:val="00377AF4"/>
    <w:rsid w:val="00377AFB"/>
    <w:rsid w:val="00377B53"/>
    <w:rsid w:val="00377BD1"/>
    <w:rsid w:val="00377C4C"/>
    <w:rsid w:val="00377D9A"/>
    <w:rsid w:val="00377DE1"/>
    <w:rsid w:val="00377F00"/>
    <w:rsid w:val="00377FA5"/>
    <w:rsid w:val="00377FEE"/>
    <w:rsid w:val="0038008C"/>
    <w:rsid w:val="003800A8"/>
    <w:rsid w:val="00380108"/>
    <w:rsid w:val="00380128"/>
    <w:rsid w:val="0038016E"/>
    <w:rsid w:val="003802F4"/>
    <w:rsid w:val="0038032C"/>
    <w:rsid w:val="0038042F"/>
    <w:rsid w:val="00380555"/>
    <w:rsid w:val="003805E8"/>
    <w:rsid w:val="003805FC"/>
    <w:rsid w:val="0038062E"/>
    <w:rsid w:val="00380779"/>
    <w:rsid w:val="0038088F"/>
    <w:rsid w:val="003808A0"/>
    <w:rsid w:val="0038092C"/>
    <w:rsid w:val="00380A25"/>
    <w:rsid w:val="00380BB0"/>
    <w:rsid w:val="00380D14"/>
    <w:rsid w:val="00380E46"/>
    <w:rsid w:val="0038115B"/>
    <w:rsid w:val="0038120F"/>
    <w:rsid w:val="0038122D"/>
    <w:rsid w:val="00381256"/>
    <w:rsid w:val="0038131D"/>
    <w:rsid w:val="0038134B"/>
    <w:rsid w:val="00381479"/>
    <w:rsid w:val="003814E4"/>
    <w:rsid w:val="0038152A"/>
    <w:rsid w:val="00381683"/>
    <w:rsid w:val="003816E5"/>
    <w:rsid w:val="00381811"/>
    <w:rsid w:val="003818AA"/>
    <w:rsid w:val="003819D7"/>
    <w:rsid w:val="00381AEF"/>
    <w:rsid w:val="00381BDB"/>
    <w:rsid w:val="00381D62"/>
    <w:rsid w:val="00381F14"/>
    <w:rsid w:val="00381F23"/>
    <w:rsid w:val="00381FB6"/>
    <w:rsid w:val="00381FCA"/>
    <w:rsid w:val="0038204F"/>
    <w:rsid w:val="0038206F"/>
    <w:rsid w:val="003820E9"/>
    <w:rsid w:val="00382205"/>
    <w:rsid w:val="00382258"/>
    <w:rsid w:val="0038255A"/>
    <w:rsid w:val="0038257D"/>
    <w:rsid w:val="00382649"/>
    <w:rsid w:val="003826A2"/>
    <w:rsid w:val="00382739"/>
    <w:rsid w:val="0038295C"/>
    <w:rsid w:val="003829B2"/>
    <w:rsid w:val="00382C10"/>
    <w:rsid w:val="00382C85"/>
    <w:rsid w:val="00382D93"/>
    <w:rsid w:val="00382F38"/>
    <w:rsid w:val="00382F64"/>
    <w:rsid w:val="0038320F"/>
    <w:rsid w:val="00383389"/>
    <w:rsid w:val="003834B3"/>
    <w:rsid w:val="00383518"/>
    <w:rsid w:val="00383550"/>
    <w:rsid w:val="003835A4"/>
    <w:rsid w:val="003837D0"/>
    <w:rsid w:val="00383844"/>
    <w:rsid w:val="0038390B"/>
    <w:rsid w:val="00383994"/>
    <w:rsid w:val="003839AB"/>
    <w:rsid w:val="00383B25"/>
    <w:rsid w:val="00383B5A"/>
    <w:rsid w:val="00383C22"/>
    <w:rsid w:val="00383CA7"/>
    <w:rsid w:val="00383E1F"/>
    <w:rsid w:val="00383E48"/>
    <w:rsid w:val="00383E65"/>
    <w:rsid w:val="00383E8D"/>
    <w:rsid w:val="00383EC0"/>
    <w:rsid w:val="00383F93"/>
    <w:rsid w:val="0038409C"/>
    <w:rsid w:val="0038417A"/>
    <w:rsid w:val="003841E5"/>
    <w:rsid w:val="003843B5"/>
    <w:rsid w:val="003843D0"/>
    <w:rsid w:val="00384437"/>
    <w:rsid w:val="00384497"/>
    <w:rsid w:val="0038460C"/>
    <w:rsid w:val="00384714"/>
    <w:rsid w:val="00384753"/>
    <w:rsid w:val="003847A4"/>
    <w:rsid w:val="003847E5"/>
    <w:rsid w:val="00384B23"/>
    <w:rsid w:val="00384C26"/>
    <w:rsid w:val="00384C29"/>
    <w:rsid w:val="00384D0F"/>
    <w:rsid w:val="00384D1B"/>
    <w:rsid w:val="00384D25"/>
    <w:rsid w:val="00384E8C"/>
    <w:rsid w:val="00384F18"/>
    <w:rsid w:val="00384F5F"/>
    <w:rsid w:val="00384F6F"/>
    <w:rsid w:val="00384FB2"/>
    <w:rsid w:val="00384FBC"/>
    <w:rsid w:val="00385024"/>
    <w:rsid w:val="00385153"/>
    <w:rsid w:val="0038516C"/>
    <w:rsid w:val="003851A1"/>
    <w:rsid w:val="00385212"/>
    <w:rsid w:val="00385352"/>
    <w:rsid w:val="00385477"/>
    <w:rsid w:val="00385525"/>
    <w:rsid w:val="003855B0"/>
    <w:rsid w:val="0038566C"/>
    <w:rsid w:val="00385710"/>
    <w:rsid w:val="003858CE"/>
    <w:rsid w:val="003859F1"/>
    <w:rsid w:val="00385AAF"/>
    <w:rsid w:val="00385B85"/>
    <w:rsid w:val="00385CC1"/>
    <w:rsid w:val="00385EE8"/>
    <w:rsid w:val="00385F15"/>
    <w:rsid w:val="00385F72"/>
    <w:rsid w:val="00385FAB"/>
    <w:rsid w:val="00385FD2"/>
    <w:rsid w:val="00386028"/>
    <w:rsid w:val="00386038"/>
    <w:rsid w:val="00386172"/>
    <w:rsid w:val="003861D8"/>
    <w:rsid w:val="0038656B"/>
    <w:rsid w:val="003865A4"/>
    <w:rsid w:val="003865DD"/>
    <w:rsid w:val="00386625"/>
    <w:rsid w:val="00386636"/>
    <w:rsid w:val="003868A5"/>
    <w:rsid w:val="003868AE"/>
    <w:rsid w:val="003868B7"/>
    <w:rsid w:val="00386A43"/>
    <w:rsid w:val="00386A5E"/>
    <w:rsid w:val="00386ACB"/>
    <w:rsid w:val="00386C8B"/>
    <w:rsid w:val="00386D9A"/>
    <w:rsid w:val="00386EC0"/>
    <w:rsid w:val="00387024"/>
    <w:rsid w:val="0038706D"/>
    <w:rsid w:val="00387143"/>
    <w:rsid w:val="003871DB"/>
    <w:rsid w:val="003871FE"/>
    <w:rsid w:val="003875AA"/>
    <w:rsid w:val="0038761B"/>
    <w:rsid w:val="0038764C"/>
    <w:rsid w:val="003877D6"/>
    <w:rsid w:val="003878A8"/>
    <w:rsid w:val="003879A4"/>
    <w:rsid w:val="00387B00"/>
    <w:rsid w:val="00387B01"/>
    <w:rsid w:val="00387BBD"/>
    <w:rsid w:val="00387D4F"/>
    <w:rsid w:val="00387D5F"/>
    <w:rsid w:val="00387E98"/>
    <w:rsid w:val="00387FC1"/>
    <w:rsid w:val="00390072"/>
    <w:rsid w:val="00390180"/>
    <w:rsid w:val="003901EF"/>
    <w:rsid w:val="00390461"/>
    <w:rsid w:val="003904A8"/>
    <w:rsid w:val="00390526"/>
    <w:rsid w:val="003905E2"/>
    <w:rsid w:val="003906A7"/>
    <w:rsid w:val="003906CA"/>
    <w:rsid w:val="003907A8"/>
    <w:rsid w:val="003907D2"/>
    <w:rsid w:val="003907FF"/>
    <w:rsid w:val="0039090E"/>
    <w:rsid w:val="00390A55"/>
    <w:rsid w:val="00390ABF"/>
    <w:rsid w:val="00390C9A"/>
    <w:rsid w:val="00390D63"/>
    <w:rsid w:val="003911A1"/>
    <w:rsid w:val="00391213"/>
    <w:rsid w:val="003916A2"/>
    <w:rsid w:val="003916C7"/>
    <w:rsid w:val="0039183C"/>
    <w:rsid w:val="0039184D"/>
    <w:rsid w:val="003918AA"/>
    <w:rsid w:val="0039194C"/>
    <w:rsid w:val="00391B03"/>
    <w:rsid w:val="00391D83"/>
    <w:rsid w:val="00391D89"/>
    <w:rsid w:val="00391DAC"/>
    <w:rsid w:val="00391F9B"/>
    <w:rsid w:val="00391FEE"/>
    <w:rsid w:val="00392057"/>
    <w:rsid w:val="003921A0"/>
    <w:rsid w:val="003921D6"/>
    <w:rsid w:val="003923EE"/>
    <w:rsid w:val="00392559"/>
    <w:rsid w:val="00392655"/>
    <w:rsid w:val="00392C87"/>
    <w:rsid w:val="00392F41"/>
    <w:rsid w:val="00392FD6"/>
    <w:rsid w:val="00393015"/>
    <w:rsid w:val="003930D6"/>
    <w:rsid w:val="00393156"/>
    <w:rsid w:val="00393224"/>
    <w:rsid w:val="003932F9"/>
    <w:rsid w:val="003933D3"/>
    <w:rsid w:val="0039370F"/>
    <w:rsid w:val="00393850"/>
    <w:rsid w:val="003938D6"/>
    <w:rsid w:val="00393950"/>
    <w:rsid w:val="00393B0E"/>
    <w:rsid w:val="00393DC9"/>
    <w:rsid w:val="00393E2C"/>
    <w:rsid w:val="00393EB5"/>
    <w:rsid w:val="00393EFE"/>
    <w:rsid w:val="00393F8E"/>
    <w:rsid w:val="0039403B"/>
    <w:rsid w:val="00394163"/>
    <w:rsid w:val="00394165"/>
    <w:rsid w:val="00394234"/>
    <w:rsid w:val="0039430D"/>
    <w:rsid w:val="0039431A"/>
    <w:rsid w:val="0039440E"/>
    <w:rsid w:val="00394580"/>
    <w:rsid w:val="003945D6"/>
    <w:rsid w:val="00394629"/>
    <w:rsid w:val="003946C2"/>
    <w:rsid w:val="00394896"/>
    <w:rsid w:val="00394909"/>
    <w:rsid w:val="00394995"/>
    <w:rsid w:val="003949B5"/>
    <w:rsid w:val="00394A5F"/>
    <w:rsid w:val="00394AC6"/>
    <w:rsid w:val="00394B1C"/>
    <w:rsid w:val="00394BC4"/>
    <w:rsid w:val="00394C0C"/>
    <w:rsid w:val="00394C88"/>
    <w:rsid w:val="00394DE1"/>
    <w:rsid w:val="00394EA7"/>
    <w:rsid w:val="00394F93"/>
    <w:rsid w:val="0039502E"/>
    <w:rsid w:val="0039506F"/>
    <w:rsid w:val="0039518F"/>
    <w:rsid w:val="003951FB"/>
    <w:rsid w:val="003953C5"/>
    <w:rsid w:val="003954F5"/>
    <w:rsid w:val="00395563"/>
    <w:rsid w:val="0039562B"/>
    <w:rsid w:val="00395639"/>
    <w:rsid w:val="003956F8"/>
    <w:rsid w:val="003957B6"/>
    <w:rsid w:val="003957BA"/>
    <w:rsid w:val="003957FB"/>
    <w:rsid w:val="003958B2"/>
    <w:rsid w:val="00395990"/>
    <w:rsid w:val="00395A5B"/>
    <w:rsid w:val="00395C41"/>
    <w:rsid w:val="00395D77"/>
    <w:rsid w:val="00395E52"/>
    <w:rsid w:val="00395EF4"/>
    <w:rsid w:val="00395F5A"/>
    <w:rsid w:val="00395FBA"/>
    <w:rsid w:val="003960C3"/>
    <w:rsid w:val="003960D7"/>
    <w:rsid w:val="003962AD"/>
    <w:rsid w:val="0039645C"/>
    <w:rsid w:val="0039656B"/>
    <w:rsid w:val="0039660A"/>
    <w:rsid w:val="00396632"/>
    <w:rsid w:val="0039669B"/>
    <w:rsid w:val="0039689E"/>
    <w:rsid w:val="00396AFF"/>
    <w:rsid w:val="00396B0D"/>
    <w:rsid w:val="00396BA9"/>
    <w:rsid w:val="00396BCB"/>
    <w:rsid w:val="00396E59"/>
    <w:rsid w:val="00396E88"/>
    <w:rsid w:val="00396F16"/>
    <w:rsid w:val="00397073"/>
    <w:rsid w:val="00397116"/>
    <w:rsid w:val="00397284"/>
    <w:rsid w:val="00397297"/>
    <w:rsid w:val="00397379"/>
    <w:rsid w:val="003973BA"/>
    <w:rsid w:val="003973C4"/>
    <w:rsid w:val="00397484"/>
    <w:rsid w:val="003974F5"/>
    <w:rsid w:val="00397559"/>
    <w:rsid w:val="00397587"/>
    <w:rsid w:val="003975C6"/>
    <w:rsid w:val="0039787F"/>
    <w:rsid w:val="003978F6"/>
    <w:rsid w:val="00397A4F"/>
    <w:rsid w:val="00397BA8"/>
    <w:rsid w:val="00397D78"/>
    <w:rsid w:val="00397DA7"/>
    <w:rsid w:val="00397DAF"/>
    <w:rsid w:val="00397E56"/>
    <w:rsid w:val="00397F3C"/>
    <w:rsid w:val="003A00DB"/>
    <w:rsid w:val="003A020A"/>
    <w:rsid w:val="003A054B"/>
    <w:rsid w:val="003A06D1"/>
    <w:rsid w:val="003A0701"/>
    <w:rsid w:val="003A089C"/>
    <w:rsid w:val="003A08F0"/>
    <w:rsid w:val="003A0927"/>
    <w:rsid w:val="003A098B"/>
    <w:rsid w:val="003A09A2"/>
    <w:rsid w:val="003A0B04"/>
    <w:rsid w:val="003A0BFA"/>
    <w:rsid w:val="003A0DC9"/>
    <w:rsid w:val="003A0EE1"/>
    <w:rsid w:val="003A106F"/>
    <w:rsid w:val="003A10E5"/>
    <w:rsid w:val="003A1172"/>
    <w:rsid w:val="003A139A"/>
    <w:rsid w:val="003A15F6"/>
    <w:rsid w:val="003A1638"/>
    <w:rsid w:val="003A164F"/>
    <w:rsid w:val="003A1745"/>
    <w:rsid w:val="003A179F"/>
    <w:rsid w:val="003A192D"/>
    <w:rsid w:val="003A1A08"/>
    <w:rsid w:val="003A1B09"/>
    <w:rsid w:val="003A1B1F"/>
    <w:rsid w:val="003A1B63"/>
    <w:rsid w:val="003A1C67"/>
    <w:rsid w:val="003A1F22"/>
    <w:rsid w:val="003A1F63"/>
    <w:rsid w:val="003A1FF1"/>
    <w:rsid w:val="003A2072"/>
    <w:rsid w:val="003A2116"/>
    <w:rsid w:val="003A21A0"/>
    <w:rsid w:val="003A2209"/>
    <w:rsid w:val="003A22BA"/>
    <w:rsid w:val="003A23A9"/>
    <w:rsid w:val="003A2472"/>
    <w:rsid w:val="003A2529"/>
    <w:rsid w:val="003A26B9"/>
    <w:rsid w:val="003A2732"/>
    <w:rsid w:val="003A2908"/>
    <w:rsid w:val="003A292A"/>
    <w:rsid w:val="003A29BD"/>
    <w:rsid w:val="003A2AE1"/>
    <w:rsid w:val="003A2B8C"/>
    <w:rsid w:val="003A2D66"/>
    <w:rsid w:val="003A2E2F"/>
    <w:rsid w:val="003A2EAB"/>
    <w:rsid w:val="003A2F5D"/>
    <w:rsid w:val="003A2F9B"/>
    <w:rsid w:val="003A3041"/>
    <w:rsid w:val="003A30AA"/>
    <w:rsid w:val="003A30B3"/>
    <w:rsid w:val="003A310C"/>
    <w:rsid w:val="003A3126"/>
    <w:rsid w:val="003A31DC"/>
    <w:rsid w:val="003A3298"/>
    <w:rsid w:val="003A36DE"/>
    <w:rsid w:val="003A37F1"/>
    <w:rsid w:val="003A3B38"/>
    <w:rsid w:val="003A3C22"/>
    <w:rsid w:val="003A3ED3"/>
    <w:rsid w:val="003A3F53"/>
    <w:rsid w:val="003A3F5B"/>
    <w:rsid w:val="003A3FFA"/>
    <w:rsid w:val="003A4152"/>
    <w:rsid w:val="003A4159"/>
    <w:rsid w:val="003A4177"/>
    <w:rsid w:val="003A41C3"/>
    <w:rsid w:val="003A4293"/>
    <w:rsid w:val="003A4440"/>
    <w:rsid w:val="003A4530"/>
    <w:rsid w:val="003A4550"/>
    <w:rsid w:val="003A45D0"/>
    <w:rsid w:val="003A46AF"/>
    <w:rsid w:val="003A46DD"/>
    <w:rsid w:val="003A4714"/>
    <w:rsid w:val="003A48DF"/>
    <w:rsid w:val="003A4932"/>
    <w:rsid w:val="003A49C1"/>
    <w:rsid w:val="003A4A0C"/>
    <w:rsid w:val="003A4A1F"/>
    <w:rsid w:val="003A4B43"/>
    <w:rsid w:val="003A4D9A"/>
    <w:rsid w:val="003A4DDD"/>
    <w:rsid w:val="003A4E83"/>
    <w:rsid w:val="003A4EA1"/>
    <w:rsid w:val="003A4F85"/>
    <w:rsid w:val="003A4FA9"/>
    <w:rsid w:val="003A507C"/>
    <w:rsid w:val="003A51A2"/>
    <w:rsid w:val="003A5308"/>
    <w:rsid w:val="003A5516"/>
    <w:rsid w:val="003A5823"/>
    <w:rsid w:val="003A5853"/>
    <w:rsid w:val="003A58A0"/>
    <w:rsid w:val="003A598F"/>
    <w:rsid w:val="003A59EF"/>
    <w:rsid w:val="003A5AF0"/>
    <w:rsid w:val="003A5B72"/>
    <w:rsid w:val="003A5B9C"/>
    <w:rsid w:val="003A5D46"/>
    <w:rsid w:val="003A5DF7"/>
    <w:rsid w:val="003A5FC1"/>
    <w:rsid w:val="003A60B5"/>
    <w:rsid w:val="003A61E4"/>
    <w:rsid w:val="003A6250"/>
    <w:rsid w:val="003A62B6"/>
    <w:rsid w:val="003A63FD"/>
    <w:rsid w:val="003A64DC"/>
    <w:rsid w:val="003A6646"/>
    <w:rsid w:val="003A66C7"/>
    <w:rsid w:val="003A6733"/>
    <w:rsid w:val="003A6772"/>
    <w:rsid w:val="003A68B7"/>
    <w:rsid w:val="003A6A03"/>
    <w:rsid w:val="003A6AE7"/>
    <w:rsid w:val="003A6E68"/>
    <w:rsid w:val="003A6E7E"/>
    <w:rsid w:val="003A6EB3"/>
    <w:rsid w:val="003A6EE3"/>
    <w:rsid w:val="003A6FB1"/>
    <w:rsid w:val="003A70D7"/>
    <w:rsid w:val="003A711F"/>
    <w:rsid w:val="003A727D"/>
    <w:rsid w:val="003A7314"/>
    <w:rsid w:val="003A73B6"/>
    <w:rsid w:val="003A742A"/>
    <w:rsid w:val="003A74E2"/>
    <w:rsid w:val="003A75EB"/>
    <w:rsid w:val="003A76E0"/>
    <w:rsid w:val="003A76E1"/>
    <w:rsid w:val="003A77B4"/>
    <w:rsid w:val="003A785C"/>
    <w:rsid w:val="003A7865"/>
    <w:rsid w:val="003A7912"/>
    <w:rsid w:val="003A7ABD"/>
    <w:rsid w:val="003A7BFB"/>
    <w:rsid w:val="003A7CC3"/>
    <w:rsid w:val="003A7E3C"/>
    <w:rsid w:val="003A7E7F"/>
    <w:rsid w:val="003A92E5"/>
    <w:rsid w:val="003B0099"/>
    <w:rsid w:val="003B022D"/>
    <w:rsid w:val="003B0240"/>
    <w:rsid w:val="003B0272"/>
    <w:rsid w:val="003B03FB"/>
    <w:rsid w:val="003B04B7"/>
    <w:rsid w:val="003B06C1"/>
    <w:rsid w:val="003B0880"/>
    <w:rsid w:val="003B0AA9"/>
    <w:rsid w:val="003B0AB2"/>
    <w:rsid w:val="003B0BB9"/>
    <w:rsid w:val="003B0CAE"/>
    <w:rsid w:val="003B0CCB"/>
    <w:rsid w:val="003B0D7F"/>
    <w:rsid w:val="003B0DA9"/>
    <w:rsid w:val="003B0E03"/>
    <w:rsid w:val="003B1091"/>
    <w:rsid w:val="003B1168"/>
    <w:rsid w:val="003B1190"/>
    <w:rsid w:val="003B1212"/>
    <w:rsid w:val="003B1263"/>
    <w:rsid w:val="003B1271"/>
    <w:rsid w:val="003B1300"/>
    <w:rsid w:val="003B1333"/>
    <w:rsid w:val="003B139C"/>
    <w:rsid w:val="003B143B"/>
    <w:rsid w:val="003B14C4"/>
    <w:rsid w:val="003B154A"/>
    <w:rsid w:val="003B1583"/>
    <w:rsid w:val="003B15C6"/>
    <w:rsid w:val="003B15EF"/>
    <w:rsid w:val="003B1611"/>
    <w:rsid w:val="003B1623"/>
    <w:rsid w:val="003B16BC"/>
    <w:rsid w:val="003B1802"/>
    <w:rsid w:val="003B181F"/>
    <w:rsid w:val="003B1A2B"/>
    <w:rsid w:val="003B1A9D"/>
    <w:rsid w:val="003B1AB0"/>
    <w:rsid w:val="003B1AF1"/>
    <w:rsid w:val="003B1CCB"/>
    <w:rsid w:val="003B1CF7"/>
    <w:rsid w:val="003B1DCF"/>
    <w:rsid w:val="003B1EF5"/>
    <w:rsid w:val="003B1F1E"/>
    <w:rsid w:val="003B1F4B"/>
    <w:rsid w:val="003B1F68"/>
    <w:rsid w:val="003B1F97"/>
    <w:rsid w:val="003B21F6"/>
    <w:rsid w:val="003B22C9"/>
    <w:rsid w:val="003B25EF"/>
    <w:rsid w:val="003B2634"/>
    <w:rsid w:val="003B2765"/>
    <w:rsid w:val="003B27A0"/>
    <w:rsid w:val="003B28E6"/>
    <w:rsid w:val="003B2A66"/>
    <w:rsid w:val="003B2AA3"/>
    <w:rsid w:val="003B2BC1"/>
    <w:rsid w:val="003B2BD5"/>
    <w:rsid w:val="003B2C0F"/>
    <w:rsid w:val="003B2CC3"/>
    <w:rsid w:val="003B2D70"/>
    <w:rsid w:val="003B2D86"/>
    <w:rsid w:val="003B2D96"/>
    <w:rsid w:val="003B2E2E"/>
    <w:rsid w:val="003B2E6F"/>
    <w:rsid w:val="003B30DA"/>
    <w:rsid w:val="003B328C"/>
    <w:rsid w:val="003B32C6"/>
    <w:rsid w:val="003B32F9"/>
    <w:rsid w:val="003B3336"/>
    <w:rsid w:val="003B3370"/>
    <w:rsid w:val="003B33B4"/>
    <w:rsid w:val="003B33D3"/>
    <w:rsid w:val="003B33F2"/>
    <w:rsid w:val="003B347F"/>
    <w:rsid w:val="003B34E3"/>
    <w:rsid w:val="003B350F"/>
    <w:rsid w:val="003B357E"/>
    <w:rsid w:val="003B36A8"/>
    <w:rsid w:val="003B3724"/>
    <w:rsid w:val="003B37D1"/>
    <w:rsid w:val="003B386F"/>
    <w:rsid w:val="003B3958"/>
    <w:rsid w:val="003B3A32"/>
    <w:rsid w:val="003B3C32"/>
    <w:rsid w:val="003B3C35"/>
    <w:rsid w:val="003B3D92"/>
    <w:rsid w:val="003B3EBA"/>
    <w:rsid w:val="003B403E"/>
    <w:rsid w:val="003B40AE"/>
    <w:rsid w:val="003B419A"/>
    <w:rsid w:val="003B41EB"/>
    <w:rsid w:val="003B427E"/>
    <w:rsid w:val="003B437E"/>
    <w:rsid w:val="003B46DF"/>
    <w:rsid w:val="003B4893"/>
    <w:rsid w:val="003B48A2"/>
    <w:rsid w:val="003B48D5"/>
    <w:rsid w:val="003B4965"/>
    <w:rsid w:val="003B49E1"/>
    <w:rsid w:val="003B4AA5"/>
    <w:rsid w:val="003B4AF7"/>
    <w:rsid w:val="003B4D7B"/>
    <w:rsid w:val="003B4E55"/>
    <w:rsid w:val="003B4FB1"/>
    <w:rsid w:val="003B505B"/>
    <w:rsid w:val="003B506B"/>
    <w:rsid w:val="003B5115"/>
    <w:rsid w:val="003B520D"/>
    <w:rsid w:val="003B5424"/>
    <w:rsid w:val="003B5475"/>
    <w:rsid w:val="003B5510"/>
    <w:rsid w:val="003B551F"/>
    <w:rsid w:val="003B558E"/>
    <w:rsid w:val="003B563F"/>
    <w:rsid w:val="003B5A17"/>
    <w:rsid w:val="003B5A85"/>
    <w:rsid w:val="003B5AB2"/>
    <w:rsid w:val="003B5BFB"/>
    <w:rsid w:val="003B5D01"/>
    <w:rsid w:val="003B5E66"/>
    <w:rsid w:val="003B5E77"/>
    <w:rsid w:val="003B5FC7"/>
    <w:rsid w:val="003B5FE4"/>
    <w:rsid w:val="003B607F"/>
    <w:rsid w:val="003B6121"/>
    <w:rsid w:val="003B62A5"/>
    <w:rsid w:val="003B62CD"/>
    <w:rsid w:val="003B6426"/>
    <w:rsid w:val="003B64AF"/>
    <w:rsid w:val="003B64BE"/>
    <w:rsid w:val="003B6560"/>
    <w:rsid w:val="003B662B"/>
    <w:rsid w:val="003B6789"/>
    <w:rsid w:val="003B680B"/>
    <w:rsid w:val="003B6A58"/>
    <w:rsid w:val="003B6AD4"/>
    <w:rsid w:val="003B6D06"/>
    <w:rsid w:val="003B6D29"/>
    <w:rsid w:val="003B6E57"/>
    <w:rsid w:val="003B6EB3"/>
    <w:rsid w:val="003B7046"/>
    <w:rsid w:val="003B70DE"/>
    <w:rsid w:val="003B72AD"/>
    <w:rsid w:val="003B730E"/>
    <w:rsid w:val="003B7337"/>
    <w:rsid w:val="003B74E9"/>
    <w:rsid w:val="003B75BB"/>
    <w:rsid w:val="003B7632"/>
    <w:rsid w:val="003B776C"/>
    <w:rsid w:val="003B7843"/>
    <w:rsid w:val="003B78CE"/>
    <w:rsid w:val="003B794E"/>
    <w:rsid w:val="003B7A3D"/>
    <w:rsid w:val="003B7AF1"/>
    <w:rsid w:val="003B7AF3"/>
    <w:rsid w:val="003B7BA7"/>
    <w:rsid w:val="003B7BD9"/>
    <w:rsid w:val="003B7E13"/>
    <w:rsid w:val="003B7E56"/>
    <w:rsid w:val="003B7F96"/>
    <w:rsid w:val="003B7FDA"/>
    <w:rsid w:val="003C0020"/>
    <w:rsid w:val="003C00FB"/>
    <w:rsid w:val="003C021A"/>
    <w:rsid w:val="003C0232"/>
    <w:rsid w:val="003C0386"/>
    <w:rsid w:val="003C03BB"/>
    <w:rsid w:val="003C05FD"/>
    <w:rsid w:val="003C066D"/>
    <w:rsid w:val="003C0886"/>
    <w:rsid w:val="003C09C5"/>
    <w:rsid w:val="003C0AE0"/>
    <w:rsid w:val="003C0D6B"/>
    <w:rsid w:val="003C0FDF"/>
    <w:rsid w:val="003C0FFF"/>
    <w:rsid w:val="003C1174"/>
    <w:rsid w:val="003C1275"/>
    <w:rsid w:val="003C144C"/>
    <w:rsid w:val="003C145A"/>
    <w:rsid w:val="003C14D6"/>
    <w:rsid w:val="003C163F"/>
    <w:rsid w:val="003C1670"/>
    <w:rsid w:val="003C167E"/>
    <w:rsid w:val="003C17D2"/>
    <w:rsid w:val="003C1A7E"/>
    <w:rsid w:val="003C1C6E"/>
    <w:rsid w:val="003C1DA1"/>
    <w:rsid w:val="003C1F09"/>
    <w:rsid w:val="003C201B"/>
    <w:rsid w:val="003C2145"/>
    <w:rsid w:val="003C2188"/>
    <w:rsid w:val="003C233A"/>
    <w:rsid w:val="003C2378"/>
    <w:rsid w:val="003C2441"/>
    <w:rsid w:val="003C2469"/>
    <w:rsid w:val="003C25C0"/>
    <w:rsid w:val="003C26A1"/>
    <w:rsid w:val="003C273E"/>
    <w:rsid w:val="003C28AA"/>
    <w:rsid w:val="003C28D3"/>
    <w:rsid w:val="003C29A2"/>
    <w:rsid w:val="003C2A76"/>
    <w:rsid w:val="003C2C07"/>
    <w:rsid w:val="003C2D77"/>
    <w:rsid w:val="003C2D90"/>
    <w:rsid w:val="003C2DAD"/>
    <w:rsid w:val="003C2DC7"/>
    <w:rsid w:val="003C3037"/>
    <w:rsid w:val="003C30C7"/>
    <w:rsid w:val="003C327A"/>
    <w:rsid w:val="003C33D8"/>
    <w:rsid w:val="003C3481"/>
    <w:rsid w:val="003C34CB"/>
    <w:rsid w:val="003C355C"/>
    <w:rsid w:val="003C38B0"/>
    <w:rsid w:val="003C3951"/>
    <w:rsid w:val="003C3A6C"/>
    <w:rsid w:val="003C3BBD"/>
    <w:rsid w:val="003C3BDF"/>
    <w:rsid w:val="003C3D8B"/>
    <w:rsid w:val="003C3EA8"/>
    <w:rsid w:val="003C3ECF"/>
    <w:rsid w:val="003C413A"/>
    <w:rsid w:val="003C4164"/>
    <w:rsid w:val="003C41C1"/>
    <w:rsid w:val="003C43B6"/>
    <w:rsid w:val="003C4508"/>
    <w:rsid w:val="003C46E7"/>
    <w:rsid w:val="003C4740"/>
    <w:rsid w:val="003C4741"/>
    <w:rsid w:val="003C4D0D"/>
    <w:rsid w:val="003C4D60"/>
    <w:rsid w:val="003C4DC0"/>
    <w:rsid w:val="003C4E1D"/>
    <w:rsid w:val="003C4F64"/>
    <w:rsid w:val="003C5015"/>
    <w:rsid w:val="003C505B"/>
    <w:rsid w:val="003C51CF"/>
    <w:rsid w:val="003C51E8"/>
    <w:rsid w:val="003C51EC"/>
    <w:rsid w:val="003C525D"/>
    <w:rsid w:val="003C52E3"/>
    <w:rsid w:val="003C5311"/>
    <w:rsid w:val="003C5354"/>
    <w:rsid w:val="003C535C"/>
    <w:rsid w:val="003C543F"/>
    <w:rsid w:val="003C54DB"/>
    <w:rsid w:val="003C555E"/>
    <w:rsid w:val="003C5682"/>
    <w:rsid w:val="003C56FB"/>
    <w:rsid w:val="003C5733"/>
    <w:rsid w:val="003C58C0"/>
    <w:rsid w:val="003C5939"/>
    <w:rsid w:val="003C5A31"/>
    <w:rsid w:val="003C5CEB"/>
    <w:rsid w:val="003C5D05"/>
    <w:rsid w:val="003C5D74"/>
    <w:rsid w:val="003C5DCD"/>
    <w:rsid w:val="003C606E"/>
    <w:rsid w:val="003C61D7"/>
    <w:rsid w:val="003C6284"/>
    <w:rsid w:val="003C632C"/>
    <w:rsid w:val="003C6343"/>
    <w:rsid w:val="003C63B0"/>
    <w:rsid w:val="003C63B4"/>
    <w:rsid w:val="003C6411"/>
    <w:rsid w:val="003C6473"/>
    <w:rsid w:val="003C650A"/>
    <w:rsid w:val="003C671E"/>
    <w:rsid w:val="003C67DB"/>
    <w:rsid w:val="003C68AA"/>
    <w:rsid w:val="003C68F9"/>
    <w:rsid w:val="003C6AA6"/>
    <w:rsid w:val="003C6ABE"/>
    <w:rsid w:val="003C6ABF"/>
    <w:rsid w:val="003C6B35"/>
    <w:rsid w:val="003C6D02"/>
    <w:rsid w:val="003C6D11"/>
    <w:rsid w:val="003C6E3E"/>
    <w:rsid w:val="003C6E97"/>
    <w:rsid w:val="003C6EB0"/>
    <w:rsid w:val="003C70EE"/>
    <w:rsid w:val="003C719A"/>
    <w:rsid w:val="003C731D"/>
    <w:rsid w:val="003C7362"/>
    <w:rsid w:val="003C7636"/>
    <w:rsid w:val="003C7651"/>
    <w:rsid w:val="003C766B"/>
    <w:rsid w:val="003C7677"/>
    <w:rsid w:val="003C76A9"/>
    <w:rsid w:val="003C7944"/>
    <w:rsid w:val="003C7AA0"/>
    <w:rsid w:val="003C7AF6"/>
    <w:rsid w:val="003C7B65"/>
    <w:rsid w:val="003C7BAE"/>
    <w:rsid w:val="003C7BE5"/>
    <w:rsid w:val="003C7DBF"/>
    <w:rsid w:val="003C7ECC"/>
    <w:rsid w:val="003C7FB1"/>
    <w:rsid w:val="003C7FE9"/>
    <w:rsid w:val="003C7FEE"/>
    <w:rsid w:val="003D0075"/>
    <w:rsid w:val="003D0090"/>
    <w:rsid w:val="003D0099"/>
    <w:rsid w:val="003D01BF"/>
    <w:rsid w:val="003D0212"/>
    <w:rsid w:val="003D0334"/>
    <w:rsid w:val="003D0383"/>
    <w:rsid w:val="003D0394"/>
    <w:rsid w:val="003D03FD"/>
    <w:rsid w:val="003D04C0"/>
    <w:rsid w:val="003D06C7"/>
    <w:rsid w:val="003D072F"/>
    <w:rsid w:val="003D0791"/>
    <w:rsid w:val="003D08FB"/>
    <w:rsid w:val="003D0AC8"/>
    <w:rsid w:val="003D0C02"/>
    <w:rsid w:val="003D0D01"/>
    <w:rsid w:val="003D0D3D"/>
    <w:rsid w:val="003D0DBE"/>
    <w:rsid w:val="003D0E2F"/>
    <w:rsid w:val="003D0F99"/>
    <w:rsid w:val="003D1070"/>
    <w:rsid w:val="003D108E"/>
    <w:rsid w:val="003D1222"/>
    <w:rsid w:val="003D1299"/>
    <w:rsid w:val="003D129F"/>
    <w:rsid w:val="003D1418"/>
    <w:rsid w:val="003D1486"/>
    <w:rsid w:val="003D149C"/>
    <w:rsid w:val="003D1514"/>
    <w:rsid w:val="003D1718"/>
    <w:rsid w:val="003D180B"/>
    <w:rsid w:val="003D187D"/>
    <w:rsid w:val="003D1925"/>
    <w:rsid w:val="003D1CBF"/>
    <w:rsid w:val="003D1D55"/>
    <w:rsid w:val="003D1DAD"/>
    <w:rsid w:val="003D1E19"/>
    <w:rsid w:val="003D1E5B"/>
    <w:rsid w:val="003D1F44"/>
    <w:rsid w:val="003D1FE2"/>
    <w:rsid w:val="003D2094"/>
    <w:rsid w:val="003D2258"/>
    <w:rsid w:val="003D2344"/>
    <w:rsid w:val="003D23FA"/>
    <w:rsid w:val="003D2536"/>
    <w:rsid w:val="003D2585"/>
    <w:rsid w:val="003D2876"/>
    <w:rsid w:val="003D29DE"/>
    <w:rsid w:val="003D29FF"/>
    <w:rsid w:val="003D2A17"/>
    <w:rsid w:val="003D2A92"/>
    <w:rsid w:val="003D2D9A"/>
    <w:rsid w:val="003D2F02"/>
    <w:rsid w:val="003D2F05"/>
    <w:rsid w:val="003D2FFD"/>
    <w:rsid w:val="003D3034"/>
    <w:rsid w:val="003D349B"/>
    <w:rsid w:val="003D34CD"/>
    <w:rsid w:val="003D37CE"/>
    <w:rsid w:val="003D3807"/>
    <w:rsid w:val="003D38D6"/>
    <w:rsid w:val="003D38DE"/>
    <w:rsid w:val="003D397E"/>
    <w:rsid w:val="003D39AB"/>
    <w:rsid w:val="003D39DB"/>
    <w:rsid w:val="003D39F0"/>
    <w:rsid w:val="003D3B7E"/>
    <w:rsid w:val="003D3BA1"/>
    <w:rsid w:val="003D3F48"/>
    <w:rsid w:val="003D3F69"/>
    <w:rsid w:val="003D3F82"/>
    <w:rsid w:val="003D3FAB"/>
    <w:rsid w:val="003D4053"/>
    <w:rsid w:val="003D42CF"/>
    <w:rsid w:val="003D42F4"/>
    <w:rsid w:val="003D4367"/>
    <w:rsid w:val="003D4583"/>
    <w:rsid w:val="003D45B8"/>
    <w:rsid w:val="003D46E4"/>
    <w:rsid w:val="003D46ED"/>
    <w:rsid w:val="003D472C"/>
    <w:rsid w:val="003D4733"/>
    <w:rsid w:val="003D4841"/>
    <w:rsid w:val="003D48C1"/>
    <w:rsid w:val="003D48CC"/>
    <w:rsid w:val="003D48D3"/>
    <w:rsid w:val="003D48FE"/>
    <w:rsid w:val="003D4D4E"/>
    <w:rsid w:val="003D4D64"/>
    <w:rsid w:val="003D4DE2"/>
    <w:rsid w:val="003D4F15"/>
    <w:rsid w:val="003D501E"/>
    <w:rsid w:val="003D5076"/>
    <w:rsid w:val="003D5077"/>
    <w:rsid w:val="003D5117"/>
    <w:rsid w:val="003D51B5"/>
    <w:rsid w:val="003D52FA"/>
    <w:rsid w:val="003D534D"/>
    <w:rsid w:val="003D539C"/>
    <w:rsid w:val="003D53D0"/>
    <w:rsid w:val="003D5466"/>
    <w:rsid w:val="003D548C"/>
    <w:rsid w:val="003D553B"/>
    <w:rsid w:val="003D5595"/>
    <w:rsid w:val="003D5718"/>
    <w:rsid w:val="003D5826"/>
    <w:rsid w:val="003D58BA"/>
    <w:rsid w:val="003D59D1"/>
    <w:rsid w:val="003D5A52"/>
    <w:rsid w:val="003D5A7C"/>
    <w:rsid w:val="003D5A8F"/>
    <w:rsid w:val="003D5AA5"/>
    <w:rsid w:val="003D5B39"/>
    <w:rsid w:val="003D5B52"/>
    <w:rsid w:val="003D5C36"/>
    <w:rsid w:val="003D5C5E"/>
    <w:rsid w:val="003D5C80"/>
    <w:rsid w:val="003D5CE3"/>
    <w:rsid w:val="003D5CE5"/>
    <w:rsid w:val="003D5D1A"/>
    <w:rsid w:val="003D5EEF"/>
    <w:rsid w:val="003D60F4"/>
    <w:rsid w:val="003D62AF"/>
    <w:rsid w:val="003D64A1"/>
    <w:rsid w:val="003D651D"/>
    <w:rsid w:val="003D65DC"/>
    <w:rsid w:val="003D65E8"/>
    <w:rsid w:val="003D662D"/>
    <w:rsid w:val="003D670E"/>
    <w:rsid w:val="003D6770"/>
    <w:rsid w:val="003D6776"/>
    <w:rsid w:val="003D6813"/>
    <w:rsid w:val="003D687D"/>
    <w:rsid w:val="003D68B5"/>
    <w:rsid w:val="003D6A44"/>
    <w:rsid w:val="003D6A99"/>
    <w:rsid w:val="003D6AE7"/>
    <w:rsid w:val="003D6C4B"/>
    <w:rsid w:val="003D6CC1"/>
    <w:rsid w:val="003D6D4C"/>
    <w:rsid w:val="003D6DB5"/>
    <w:rsid w:val="003D6E15"/>
    <w:rsid w:val="003D7004"/>
    <w:rsid w:val="003D702E"/>
    <w:rsid w:val="003D710E"/>
    <w:rsid w:val="003D7234"/>
    <w:rsid w:val="003D72F0"/>
    <w:rsid w:val="003D7308"/>
    <w:rsid w:val="003D731F"/>
    <w:rsid w:val="003D73D6"/>
    <w:rsid w:val="003D7599"/>
    <w:rsid w:val="003D7678"/>
    <w:rsid w:val="003D76DD"/>
    <w:rsid w:val="003D7809"/>
    <w:rsid w:val="003D797B"/>
    <w:rsid w:val="003D7A0B"/>
    <w:rsid w:val="003D7A1B"/>
    <w:rsid w:val="003D7A96"/>
    <w:rsid w:val="003D7C75"/>
    <w:rsid w:val="003D7EAB"/>
    <w:rsid w:val="003D7EEB"/>
    <w:rsid w:val="003E000A"/>
    <w:rsid w:val="003E0097"/>
    <w:rsid w:val="003E016C"/>
    <w:rsid w:val="003E0236"/>
    <w:rsid w:val="003E0270"/>
    <w:rsid w:val="003E039C"/>
    <w:rsid w:val="003E03A6"/>
    <w:rsid w:val="003E0525"/>
    <w:rsid w:val="003E054B"/>
    <w:rsid w:val="003E0570"/>
    <w:rsid w:val="003E07D3"/>
    <w:rsid w:val="003E089D"/>
    <w:rsid w:val="003E0917"/>
    <w:rsid w:val="003E0BCB"/>
    <w:rsid w:val="003E0C56"/>
    <w:rsid w:val="003E0CBF"/>
    <w:rsid w:val="003E0E42"/>
    <w:rsid w:val="003E0FAA"/>
    <w:rsid w:val="003E0FE8"/>
    <w:rsid w:val="003E10BE"/>
    <w:rsid w:val="003E10D7"/>
    <w:rsid w:val="003E10DE"/>
    <w:rsid w:val="003E1119"/>
    <w:rsid w:val="003E12DF"/>
    <w:rsid w:val="003E12E2"/>
    <w:rsid w:val="003E1373"/>
    <w:rsid w:val="003E143E"/>
    <w:rsid w:val="003E16E0"/>
    <w:rsid w:val="003E184B"/>
    <w:rsid w:val="003E19B6"/>
    <w:rsid w:val="003E1A3A"/>
    <w:rsid w:val="003E1A5B"/>
    <w:rsid w:val="003E1B26"/>
    <w:rsid w:val="003E1BB3"/>
    <w:rsid w:val="003E1E37"/>
    <w:rsid w:val="003E1E64"/>
    <w:rsid w:val="003E1F73"/>
    <w:rsid w:val="003E1FBF"/>
    <w:rsid w:val="003E1FF0"/>
    <w:rsid w:val="003E200E"/>
    <w:rsid w:val="003E212D"/>
    <w:rsid w:val="003E2144"/>
    <w:rsid w:val="003E2293"/>
    <w:rsid w:val="003E22B4"/>
    <w:rsid w:val="003E23A1"/>
    <w:rsid w:val="003E23E5"/>
    <w:rsid w:val="003E23E7"/>
    <w:rsid w:val="003E2462"/>
    <w:rsid w:val="003E24A8"/>
    <w:rsid w:val="003E25E0"/>
    <w:rsid w:val="003E26FD"/>
    <w:rsid w:val="003E286A"/>
    <w:rsid w:val="003E28F4"/>
    <w:rsid w:val="003E296E"/>
    <w:rsid w:val="003E29A1"/>
    <w:rsid w:val="003E2A45"/>
    <w:rsid w:val="003E2D9C"/>
    <w:rsid w:val="003E2EC0"/>
    <w:rsid w:val="003E2F08"/>
    <w:rsid w:val="003E307C"/>
    <w:rsid w:val="003E3181"/>
    <w:rsid w:val="003E32A7"/>
    <w:rsid w:val="003E3340"/>
    <w:rsid w:val="003E33A5"/>
    <w:rsid w:val="003E3556"/>
    <w:rsid w:val="003E35A3"/>
    <w:rsid w:val="003E35D6"/>
    <w:rsid w:val="003E3633"/>
    <w:rsid w:val="003E36B7"/>
    <w:rsid w:val="003E373D"/>
    <w:rsid w:val="003E3945"/>
    <w:rsid w:val="003E39AF"/>
    <w:rsid w:val="003E3BEA"/>
    <w:rsid w:val="003E3BFC"/>
    <w:rsid w:val="003E3CF7"/>
    <w:rsid w:val="003E3D3B"/>
    <w:rsid w:val="003E3D62"/>
    <w:rsid w:val="003E3E22"/>
    <w:rsid w:val="003E3E99"/>
    <w:rsid w:val="003E3F30"/>
    <w:rsid w:val="003E3F85"/>
    <w:rsid w:val="003E4094"/>
    <w:rsid w:val="003E40E3"/>
    <w:rsid w:val="003E40E9"/>
    <w:rsid w:val="003E41F9"/>
    <w:rsid w:val="003E426A"/>
    <w:rsid w:val="003E43A2"/>
    <w:rsid w:val="003E4406"/>
    <w:rsid w:val="003E4424"/>
    <w:rsid w:val="003E4516"/>
    <w:rsid w:val="003E459C"/>
    <w:rsid w:val="003E4632"/>
    <w:rsid w:val="003E46A1"/>
    <w:rsid w:val="003E4851"/>
    <w:rsid w:val="003E4875"/>
    <w:rsid w:val="003E4A20"/>
    <w:rsid w:val="003E4B05"/>
    <w:rsid w:val="003E4D86"/>
    <w:rsid w:val="003E4EA6"/>
    <w:rsid w:val="003E4ED5"/>
    <w:rsid w:val="003E4F47"/>
    <w:rsid w:val="003E4F8D"/>
    <w:rsid w:val="003E508D"/>
    <w:rsid w:val="003E50C1"/>
    <w:rsid w:val="003E516D"/>
    <w:rsid w:val="003E5200"/>
    <w:rsid w:val="003E532D"/>
    <w:rsid w:val="003E5430"/>
    <w:rsid w:val="003E5434"/>
    <w:rsid w:val="003E54B4"/>
    <w:rsid w:val="003E56E7"/>
    <w:rsid w:val="003E57B5"/>
    <w:rsid w:val="003E57C4"/>
    <w:rsid w:val="003E59AF"/>
    <w:rsid w:val="003E59BB"/>
    <w:rsid w:val="003E5A27"/>
    <w:rsid w:val="003E5C4E"/>
    <w:rsid w:val="003E5C60"/>
    <w:rsid w:val="003E5D0F"/>
    <w:rsid w:val="003E5DA6"/>
    <w:rsid w:val="003E5E3E"/>
    <w:rsid w:val="003E5EE2"/>
    <w:rsid w:val="003E5FF3"/>
    <w:rsid w:val="003E611D"/>
    <w:rsid w:val="003E61B2"/>
    <w:rsid w:val="003E61FA"/>
    <w:rsid w:val="003E62EB"/>
    <w:rsid w:val="003E6318"/>
    <w:rsid w:val="003E63CD"/>
    <w:rsid w:val="003E6462"/>
    <w:rsid w:val="003E649C"/>
    <w:rsid w:val="003E679C"/>
    <w:rsid w:val="003E6844"/>
    <w:rsid w:val="003E6899"/>
    <w:rsid w:val="003E697A"/>
    <w:rsid w:val="003E6998"/>
    <w:rsid w:val="003E6BCB"/>
    <w:rsid w:val="003E6BFC"/>
    <w:rsid w:val="003E6C18"/>
    <w:rsid w:val="003E6C3B"/>
    <w:rsid w:val="003E7034"/>
    <w:rsid w:val="003E718E"/>
    <w:rsid w:val="003E7530"/>
    <w:rsid w:val="003E7595"/>
    <w:rsid w:val="003E7680"/>
    <w:rsid w:val="003E7826"/>
    <w:rsid w:val="003E7904"/>
    <w:rsid w:val="003E7A16"/>
    <w:rsid w:val="003E7AF0"/>
    <w:rsid w:val="003E7B22"/>
    <w:rsid w:val="003E7CF7"/>
    <w:rsid w:val="003E7D39"/>
    <w:rsid w:val="003F005F"/>
    <w:rsid w:val="003F00D6"/>
    <w:rsid w:val="003F014B"/>
    <w:rsid w:val="003F0265"/>
    <w:rsid w:val="003F02C1"/>
    <w:rsid w:val="003F0456"/>
    <w:rsid w:val="003F0496"/>
    <w:rsid w:val="003F0608"/>
    <w:rsid w:val="003F0B8D"/>
    <w:rsid w:val="003F0BE6"/>
    <w:rsid w:val="003F0C05"/>
    <w:rsid w:val="003F0C29"/>
    <w:rsid w:val="003F0C68"/>
    <w:rsid w:val="003F0D72"/>
    <w:rsid w:val="003F0DF0"/>
    <w:rsid w:val="003F10B8"/>
    <w:rsid w:val="003F12BC"/>
    <w:rsid w:val="003F12CE"/>
    <w:rsid w:val="003F150C"/>
    <w:rsid w:val="003F1519"/>
    <w:rsid w:val="003F15D9"/>
    <w:rsid w:val="003F1779"/>
    <w:rsid w:val="003F1802"/>
    <w:rsid w:val="003F1A10"/>
    <w:rsid w:val="003F1A4D"/>
    <w:rsid w:val="003F1A93"/>
    <w:rsid w:val="003F1B10"/>
    <w:rsid w:val="003F1BCE"/>
    <w:rsid w:val="003F1BEF"/>
    <w:rsid w:val="003F1C4B"/>
    <w:rsid w:val="003F1D18"/>
    <w:rsid w:val="003F1D98"/>
    <w:rsid w:val="003F1DDE"/>
    <w:rsid w:val="003F204F"/>
    <w:rsid w:val="003F2139"/>
    <w:rsid w:val="003F2152"/>
    <w:rsid w:val="003F2194"/>
    <w:rsid w:val="003F227C"/>
    <w:rsid w:val="003F23C4"/>
    <w:rsid w:val="003F2450"/>
    <w:rsid w:val="003F24F3"/>
    <w:rsid w:val="003F250A"/>
    <w:rsid w:val="003F25CF"/>
    <w:rsid w:val="003F2667"/>
    <w:rsid w:val="003F2681"/>
    <w:rsid w:val="003F26B7"/>
    <w:rsid w:val="003F26FA"/>
    <w:rsid w:val="003F2763"/>
    <w:rsid w:val="003F27E3"/>
    <w:rsid w:val="003F2880"/>
    <w:rsid w:val="003F28B7"/>
    <w:rsid w:val="003F28DE"/>
    <w:rsid w:val="003F28F1"/>
    <w:rsid w:val="003F28F8"/>
    <w:rsid w:val="003F2909"/>
    <w:rsid w:val="003F29CF"/>
    <w:rsid w:val="003F2DC6"/>
    <w:rsid w:val="003F2E29"/>
    <w:rsid w:val="003F301F"/>
    <w:rsid w:val="003F309F"/>
    <w:rsid w:val="003F3171"/>
    <w:rsid w:val="003F3184"/>
    <w:rsid w:val="003F3247"/>
    <w:rsid w:val="003F328A"/>
    <w:rsid w:val="003F3351"/>
    <w:rsid w:val="003F3359"/>
    <w:rsid w:val="003F3434"/>
    <w:rsid w:val="003F3454"/>
    <w:rsid w:val="003F34C2"/>
    <w:rsid w:val="003F37DB"/>
    <w:rsid w:val="003F37E6"/>
    <w:rsid w:val="003F37E8"/>
    <w:rsid w:val="003F3826"/>
    <w:rsid w:val="003F3872"/>
    <w:rsid w:val="003F38FC"/>
    <w:rsid w:val="003F3B23"/>
    <w:rsid w:val="003F3D96"/>
    <w:rsid w:val="003F3E33"/>
    <w:rsid w:val="003F3E8D"/>
    <w:rsid w:val="003F3F57"/>
    <w:rsid w:val="003F4146"/>
    <w:rsid w:val="003F418F"/>
    <w:rsid w:val="003F4252"/>
    <w:rsid w:val="003F42ED"/>
    <w:rsid w:val="003F4333"/>
    <w:rsid w:val="003F437B"/>
    <w:rsid w:val="003F43DE"/>
    <w:rsid w:val="003F44A9"/>
    <w:rsid w:val="003F4568"/>
    <w:rsid w:val="003F46CE"/>
    <w:rsid w:val="003F4766"/>
    <w:rsid w:val="003F4A87"/>
    <w:rsid w:val="003F4C1D"/>
    <w:rsid w:val="003F4D28"/>
    <w:rsid w:val="003F4D80"/>
    <w:rsid w:val="003F4DE4"/>
    <w:rsid w:val="003F4F36"/>
    <w:rsid w:val="003F4F9D"/>
    <w:rsid w:val="003F50D9"/>
    <w:rsid w:val="003F5254"/>
    <w:rsid w:val="003F52E2"/>
    <w:rsid w:val="003F5307"/>
    <w:rsid w:val="003F539F"/>
    <w:rsid w:val="003F53FC"/>
    <w:rsid w:val="003F547F"/>
    <w:rsid w:val="003F548E"/>
    <w:rsid w:val="003F54DA"/>
    <w:rsid w:val="003F574D"/>
    <w:rsid w:val="003F5811"/>
    <w:rsid w:val="003F5885"/>
    <w:rsid w:val="003F5887"/>
    <w:rsid w:val="003F5923"/>
    <w:rsid w:val="003F5951"/>
    <w:rsid w:val="003F5954"/>
    <w:rsid w:val="003F5988"/>
    <w:rsid w:val="003F59E1"/>
    <w:rsid w:val="003F5DEB"/>
    <w:rsid w:val="003F5DF0"/>
    <w:rsid w:val="003F60F9"/>
    <w:rsid w:val="003F61AB"/>
    <w:rsid w:val="003F61DE"/>
    <w:rsid w:val="003F6294"/>
    <w:rsid w:val="003F62A7"/>
    <w:rsid w:val="003F632B"/>
    <w:rsid w:val="003F6391"/>
    <w:rsid w:val="003F63C8"/>
    <w:rsid w:val="003F6405"/>
    <w:rsid w:val="003F66CC"/>
    <w:rsid w:val="003F691C"/>
    <w:rsid w:val="003F69D7"/>
    <w:rsid w:val="003F6BC4"/>
    <w:rsid w:val="003F6DA6"/>
    <w:rsid w:val="003F6DCA"/>
    <w:rsid w:val="003F6DF8"/>
    <w:rsid w:val="003F6E2B"/>
    <w:rsid w:val="003F6F47"/>
    <w:rsid w:val="003F7044"/>
    <w:rsid w:val="003F71F5"/>
    <w:rsid w:val="003F7343"/>
    <w:rsid w:val="003F74A6"/>
    <w:rsid w:val="003F74B9"/>
    <w:rsid w:val="003F7522"/>
    <w:rsid w:val="003F7538"/>
    <w:rsid w:val="003F75B3"/>
    <w:rsid w:val="003F7698"/>
    <w:rsid w:val="003F769F"/>
    <w:rsid w:val="003F76F5"/>
    <w:rsid w:val="003F788D"/>
    <w:rsid w:val="003F7894"/>
    <w:rsid w:val="003F7A74"/>
    <w:rsid w:val="003F7B24"/>
    <w:rsid w:val="003F7B41"/>
    <w:rsid w:val="003F7B49"/>
    <w:rsid w:val="003F7BB3"/>
    <w:rsid w:val="003F7C17"/>
    <w:rsid w:val="003F7C59"/>
    <w:rsid w:val="003F7CAE"/>
    <w:rsid w:val="003F7D2E"/>
    <w:rsid w:val="003F7E14"/>
    <w:rsid w:val="003F7E1B"/>
    <w:rsid w:val="003F7E25"/>
    <w:rsid w:val="003F7E3B"/>
    <w:rsid w:val="003F7E57"/>
    <w:rsid w:val="003F7FC1"/>
    <w:rsid w:val="0040017B"/>
    <w:rsid w:val="004003C5"/>
    <w:rsid w:val="004004A2"/>
    <w:rsid w:val="00400550"/>
    <w:rsid w:val="00400588"/>
    <w:rsid w:val="00400704"/>
    <w:rsid w:val="00400832"/>
    <w:rsid w:val="00400AA1"/>
    <w:rsid w:val="00400B88"/>
    <w:rsid w:val="00400C7E"/>
    <w:rsid w:val="00400E7F"/>
    <w:rsid w:val="00401132"/>
    <w:rsid w:val="0040125F"/>
    <w:rsid w:val="00401436"/>
    <w:rsid w:val="00401549"/>
    <w:rsid w:val="00401554"/>
    <w:rsid w:val="0040158B"/>
    <w:rsid w:val="00401775"/>
    <w:rsid w:val="004017D1"/>
    <w:rsid w:val="004017EC"/>
    <w:rsid w:val="00401818"/>
    <w:rsid w:val="00401A9C"/>
    <w:rsid w:val="00401C79"/>
    <w:rsid w:val="00401D25"/>
    <w:rsid w:val="00401D79"/>
    <w:rsid w:val="00401FCE"/>
    <w:rsid w:val="0040203D"/>
    <w:rsid w:val="004020E6"/>
    <w:rsid w:val="0040210B"/>
    <w:rsid w:val="004021A2"/>
    <w:rsid w:val="004023CD"/>
    <w:rsid w:val="00402473"/>
    <w:rsid w:val="00402606"/>
    <w:rsid w:val="0040267D"/>
    <w:rsid w:val="00402724"/>
    <w:rsid w:val="0040281E"/>
    <w:rsid w:val="004028BE"/>
    <w:rsid w:val="004028C1"/>
    <w:rsid w:val="00402999"/>
    <w:rsid w:val="00402A40"/>
    <w:rsid w:val="00402B2C"/>
    <w:rsid w:val="00402D45"/>
    <w:rsid w:val="00402E24"/>
    <w:rsid w:val="00402E6E"/>
    <w:rsid w:val="00402E8D"/>
    <w:rsid w:val="00402EBD"/>
    <w:rsid w:val="00402EEB"/>
    <w:rsid w:val="00402FDC"/>
    <w:rsid w:val="00402FE9"/>
    <w:rsid w:val="00403006"/>
    <w:rsid w:val="00403034"/>
    <w:rsid w:val="004030EE"/>
    <w:rsid w:val="004033AA"/>
    <w:rsid w:val="00403584"/>
    <w:rsid w:val="004036B4"/>
    <w:rsid w:val="004036BC"/>
    <w:rsid w:val="004038C0"/>
    <w:rsid w:val="004039CA"/>
    <w:rsid w:val="00403B02"/>
    <w:rsid w:val="00403D57"/>
    <w:rsid w:val="00403DF6"/>
    <w:rsid w:val="00403E36"/>
    <w:rsid w:val="00403F4A"/>
    <w:rsid w:val="00403FD3"/>
    <w:rsid w:val="004040A9"/>
    <w:rsid w:val="0040417A"/>
    <w:rsid w:val="004041BC"/>
    <w:rsid w:val="0040448C"/>
    <w:rsid w:val="0040468D"/>
    <w:rsid w:val="00404808"/>
    <w:rsid w:val="00404810"/>
    <w:rsid w:val="004048CB"/>
    <w:rsid w:val="0040492C"/>
    <w:rsid w:val="00404BA7"/>
    <w:rsid w:val="00404D14"/>
    <w:rsid w:val="00404F19"/>
    <w:rsid w:val="00404F4E"/>
    <w:rsid w:val="00404FE6"/>
    <w:rsid w:val="00405024"/>
    <w:rsid w:val="00405070"/>
    <w:rsid w:val="004050FB"/>
    <w:rsid w:val="00405210"/>
    <w:rsid w:val="00405323"/>
    <w:rsid w:val="0040539E"/>
    <w:rsid w:val="004053D0"/>
    <w:rsid w:val="004053E3"/>
    <w:rsid w:val="0040558F"/>
    <w:rsid w:val="004055BD"/>
    <w:rsid w:val="004055BF"/>
    <w:rsid w:val="004055F1"/>
    <w:rsid w:val="004057CD"/>
    <w:rsid w:val="00405925"/>
    <w:rsid w:val="00405A22"/>
    <w:rsid w:val="00405B8A"/>
    <w:rsid w:val="00405D6E"/>
    <w:rsid w:val="00405FC4"/>
    <w:rsid w:val="0040606C"/>
    <w:rsid w:val="004060E9"/>
    <w:rsid w:val="004061B8"/>
    <w:rsid w:val="00406270"/>
    <w:rsid w:val="0040628D"/>
    <w:rsid w:val="00406297"/>
    <w:rsid w:val="004062A6"/>
    <w:rsid w:val="004062DE"/>
    <w:rsid w:val="00406430"/>
    <w:rsid w:val="004064E5"/>
    <w:rsid w:val="004065E1"/>
    <w:rsid w:val="00406603"/>
    <w:rsid w:val="00406612"/>
    <w:rsid w:val="00406699"/>
    <w:rsid w:val="004067CD"/>
    <w:rsid w:val="004067E2"/>
    <w:rsid w:val="00406B12"/>
    <w:rsid w:val="00406C45"/>
    <w:rsid w:val="00406C4F"/>
    <w:rsid w:val="00406C56"/>
    <w:rsid w:val="00406CFF"/>
    <w:rsid w:val="00406D89"/>
    <w:rsid w:val="00406DFE"/>
    <w:rsid w:val="00406F0F"/>
    <w:rsid w:val="00406F48"/>
    <w:rsid w:val="00406F8E"/>
    <w:rsid w:val="004071F8"/>
    <w:rsid w:val="00407263"/>
    <w:rsid w:val="004072E3"/>
    <w:rsid w:val="004076FF"/>
    <w:rsid w:val="004077CE"/>
    <w:rsid w:val="00407889"/>
    <w:rsid w:val="00407971"/>
    <w:rsid w:val="004079C0"/>
    <w:rsid w:val="00407B31"/>
    <w:rsid w:val="00407B36"/>
    <w:rsid w:val="00407B9F"/>
    <w:rsid w:val="00407BB8"/>
    <w:rsid w:val="00407EBA"/>
    <w:rsid w:val="00410009"/>
    <w:rsid w:val="0041005E"/>
    <w:rsid w:val="004100CC"/>
    <w:rsid w:val="004100CE"/>
    <w:rsid w:val="004100F2"/>
    <w:rsid w:val="004101A5"/>
    <w:rsid w:val="00410414"/>
    <w:rsid w:val="004107A4"/>
    <w:rsid w:val="004107B6"/>
    <w:rsid w:val="004107D1"/>
    <w:rsid w:val="00410834"/>
    <w:rsid w:val="00410AA5"/>
    <w:rsid w:val="00410B82"/>
    <w:rsid w:val="00410C23"/>
    <w:rsid w:val="00410E31"/>
    <w:rsid w:val="00410EBA"/>
    <w:rsid w:val="00410EE9"/>
    <w:rsid w:val="00410FB4"/>
    <w:rsid w:val="0041100E"/>
    <w:rsid w:val="004110E5"/>
    <w:rsid w:val="004112A0"/>
    <w:rsid w:val="00411455"/>
    <w:rsid w:val="004115EC"/>
    <w:rsid w:val="004116E5"/>
    <w:rsid w:val="004116EE"/>
    <w:rsid w:val="0041196D"/>
    <w:rsid w:val="00411A73"/>
    <w:rsid w:val="00411B11"/>
    <w:rsid w:val="00411C9D"/>
    <w:rsid w:val="00411DDF"/>
    <w:rsid w:val="00411E64"/>
    <w:rsid w:val="00411E82"/>
    <w:rsid w:val="00411EA6"/>
    <w:rsid w:val="00411FB6"/>
    <w:rsid w:val="004120AB"/>
    <w:rsid w:val="004120D6"/>
    <w:rsid w:val="00412106"/>
    <w:rsid w:val="00412118"/>
    <w:rsid w:val="0041226F"/>
    <w:rsid w:val="004122BA"/>
    <w:rsid w:val="004123D8"/>
    <w:rsid w:val="00412419"/>
    <w:rsid w:val="004126A0"/>
    <w:rsid w:val="00412903"/>
    <w:rsid w:val="004129F2"/>
    <w:rsid w:val="00412A4C"/>
    <w:rsid w:val="00412A9D"/>
    <w:rsid w:val="00412C79"/>
    <w:rsid w:val="00412D0C"/>
    <w:rsid w:val="00412D68"/>
    <w:rsid w:val="00412EDC"/>
    <w:rsid w:val="00412EE0"/>
    <w:rsid w:val="00412F00"/>
    <w:rsid w:val="00413117"/>
    <w:rsid w:val="00413158"/>
    <w:rsid w:val="00413439"/>
    <w:rsid w:val="0041354E"/>
    <w:rsid w:val="00413572"/>
    <w:rsid w:val="004136C2"/>
    <w:rsid w:val="00413744"/>
    <w:rsid w:val="0041379D"/>
    <w:rsid w:val="004138F1"/>
    <w:rsid w:val="004138F7"/>
    <w:rsid w:val="00413B39"/>
    <w:rsid w:val="00413C0B"/>
    <w:rsid w:val="00413C86"/>
    <w:rsid w:val="00413ED8"/>
    <w:rsid w:val="00413EED"/>
    <w:rsid w:val="004140A5"/>
    <w:rsid w:val="00414187"/>
    <w:rsid w:val="0041427C"/>
    <w:rsid w:val="00414456"/>
    <w:rsid w:val="00414457"/>
    <w:rsid w:val="00414497"/>
    <w:rsid w:val="004146A4"/>
    <w:rsid w:val="004146D5"/>
    <w:rsid w:val="0041475B"/>
    <w:rsid w:val="0041479D"/>
    <w:rsid w:val="00414821"/>
    <w:rsid w:val="004148BA"/>
    <w:rsid w:val="00414955"/>
    <w:rsid w:val="0041496B"/>
    <w:rsid w:val="00414D3B"/>
    <w:rsid w:val="00414F29"/>
    <w:rsid w:val="00414FB2"/>
    <w:rsid w:val="00414FBA"/>
    <w:rsid w:val="004151F6"/>
    <w:rsid w:val="004152C1"/>
    <w:rsid w:val="0041541B"/>
    <w:rsid w:val="00415547"/>
    <w:rsid w:val="004157C4"/>
    <w:rsid w:val="00415822"/>
    <w:rsid w:val="0041582B"/>
    <w:rsid w:val="0041582D"/>
    <w:rsid w:val="004159CD"/>
    <w:rsid w:val="00415B99"/>
    <w:rsid w:val="00415BEB"/>
    <w:rsid w:val="00415C9F"/>
    <w:rsid w:val="00415D6E"/>
    <w:rsid w:val="00415DD7"/>
    <w:rsid w:val="00415E30"/>
    <w:rsid w:val="00415EB7"/>
    <w:rsid w:val="00415F60"/>
    <w:rsid w:val="00416017"/>
    <w:rsid w:val="00416098"/>
    <w:rsid w:val="0041614D"/>
    <w:rsid w:val="00416207"/>
    <w:rsid w:val="004162AC"/>
    <w:rsid w:val="00416588"/>
    <w:rsid w:val="004165E7"/>
    <w:rsid w:val="00416653"/>
    <w:rsid w:val="004166B8"/>
    <w:rsid w:val="00416700"/>
    <w:rsid w:val="00416726"/>
    <w:rsid w:val="00416774"/>
    <w:rsid w:val="00416795"/>
    <w:rsid w:val="00416806"/>
    <w:rsid w:val="0041695C"/>
    <w:rsid w:val="0041696C"/>
    <w:rsid w:val="00416991"/>
    <w:rsid w:val="00416A0A"/>
    <w:rsid w:val="00416CBF"/>
    <w:rsid w:val="00417145"/>
    <w:rsid w:val="0041731F"/>
    <w:rsid w:val="00417361"/>
    <w:rsid w:val="00417412"/>
    <w:rsid w:val="004174D6"/>
    <w:rsid w:val="00417561"/>
    <w:rsid w:val="00417562"/>
    <w:rsid w:val="004175AB"/>
    <w:rsid w:val="004175F8"/>
    <w:rsid w:val="00417B8A"/>
    <w:rsid w:val="00417B8E"/>
    <w:rsid w:val="00417CB8"/>
    <w:rsid w:val="00417F38"/>
    <w:rsid w:val="00417FB5"/>
    <w:rsid w:val="00417FE7"/>
    <w:rsid w:val="004200A9"/>
    <w:rsid w:val="0042017A"/>
    <w:rsid w:val="004203C5"/>
    <w:rsid w:val="00420454"/>
    <w:rsid w:val="004204FE"/>
    <w:rsid w:val="004204FF"/>
    <w:rsid w:val="004205D4"/>
    <w:rsid w:val="004208BC"/>
    <w:rsid w:val="0042090F"/>
    <w:rsid w:val="0042096D"/>
    <w:rsid w:val="004209C3"/>
    <w:rsid w:val="00420A4E"/>
    <w:rsid w:val="00420CF6"/>
    <w:rsid w:val="00420E0D"/>
    <w:rsid w:val="00420E76"/>
    <w:rsid w:val="00420EF4"/>
    <w:rsid w:val="004210AE"/>
    <w:rsid w:val="00421174"/>
    <w:rsid w:val="004211F2"/>
    <w:rsid w:val="00421252"/>
    <w:rsid w:val="0042135B"/>
    <w:rsid w:val="00421422"/>
    <w:rsid w:val="0042145B"/>
    <w:rsid w:val="00421490"/>
    <w:rsid w:val="004214A7"/>
    <w:rsid w:val="0042151D"/>
    <w:rsid w:val="004215D5"/>
    <w:rsid w:val="004217D6"/>
    <w:rsid w:val="00421864"/>
    <w:rsid w:val="004219FA"/>
    <w:rsid w:val="00421A2C"/>
    <w:rsid w:val="00421ADA"/>
    <w:rsid w:val="00421C40"/>
    <w:rsid w:val="00421C4E"/>
    <w:rsid w:val="00421D5E"/>
    <w:rsid w:val="00421D89"/>
    <w:rsid w:val="00421DDD"/>
    <w:rsid w:val="00421EEE"/>
    <w:rsid w:val="004220E0"/>
    <w:rsid w:val="00422229"/>
    <w:rsid w:val="004222EC"/>
    <w:rsid w:val="0042248E"/>
    <w:rsid w:val="00422502"/>
    <w:rsid w:val="00422511"/>
    <w:rsid w:val="00422566"/>
    <w:rsid w:val="0042261B"/>
    <w:rsid w:val="00422661"/>
    <w:rsid w:val="0042269A"/>
    <w:rsid w:val="004226F3"/>
    <w:rsid w:val="00422884"/>
    <w:rsid w:val="00422988"/>
    <w:rsid w:val="00422BC1"/>
    <w:rsid w:val="00422C9B"/>
    <w:rsid w:val="00422CC8"/>
    <w:rsid w:val="00422CEE"/>
    <w:rsid w:val="00422E14"/>
    <w:rsid w:val="00422E1A"/>
    <w:rsid w:val="00422F4A"/>
    <w:rsid w:val="0042301D"/>
    <w:rsid w:val="0042311C"/>
    <w:rsid w:val="00423174"/>
    <w:rsid w:val="004232ED"/>
    <w:rsid w:val="004233B8"/>
    <w:rsid w:val="00423419"/>
    <w:rsid w:val="00423474"/>
    <w:rsid w:val="00423553"/>
    <w:rsid w:val="004235B4"/>
    <w:rsid w:val="004237E2"/>
    <w:rsid w:val="00423820"/>
    <w:rsid w:val="00423940"/>
    <w:rsid w:val="00423A58"/>
    <w:rsid w:val="00423AAB"/>
    <w:rsid w:val="00423AC5"/>
    <w:rsid w:val="00423C57"/>
    <w:rsid w:val="00423C84"/>
    <w:rsid w:val="00423FBE"/>
    <w:rsid w:val="0042400D"/>
    <w:rsid w:val="00424018"/>
    <w:rsid w:val="00424157"/>
    <w:rsid w:val="00424218"/>
    <w:rsid w:val="0042445C"/>
    <w:rsid w:val="004245AD"/>
    <w:rsid w:val="004245F5"/>
    <w:rsid w:val="0042472D"/>
    <w:rsid w:val="00424834"/>
    <w:rsid w:val="00424881"/>
    <w:rsid w:val="004248ED"/>
    <w:rsid w:val="00424998"/>
    <w:rsid w:val="004249A5"/>
    <w:rsid w:val="00424CE7"/>
    <w:rsid w:val="00424DED"/>
    <w:rsid w:val="00425001"/>
    <w:rsid w:val="00425003"/>
    <w:rsid w:val="0042508A"/>
    <w:rsid w:val="004250BA"/>
    <w:rsid w:val="004250BE"/>
    <w:rsid w:val="00425269"/>
    <w:rsid w:val="00425368"/>
    <w:rsid w:val="0042561C"/>
    <w:rsid w:val="004256B5"/>
    <w:rsid w:val="0042582B"/>
    <w:rsid w:val="004258E0"/>
    <w:rsid w:val="00425949"/>
    <w:rsid w:val="00425CED"/>
    <w:rsid w:val="00425D7C"/>
    <w:rsid w:val="00425E41"/>
    <w:rsid w:val="00425FB9"/>
    <w:rsid w:val="00426092"/>
    <w:rsid w:val="00426161"/>
    <w:rsid w:val="00426381"/>
    <w:rsid w:val="004264B8"/>
    <w:rsid w:val="0042654E"/>
    <w:rsid w:val="004265EF"/>
    <w:rsid w:val="00426633"/>
    <w:rsid w:val="004266A1"/>
    <w:rsid w:val="004266D7"/>
    <w:rsid w:val="00426883"/>
    <w:rsid w:val="00426932"/>
    <w:rsid w:val="00426970"/>
    <w:rsid w:val="00426982"/>
    <w:rsid w:val="004269A7"/>
    <w:rsid w:val="00426A76"/>
    <w:rsid w:val="00426A9C"/>
    <w:rsid w:val="00426C0A"/>
    <w:rsid w:val="00426C62"/>
    <w:rsid w:val="00426CB2"/>
    <w:rsid w:val="00426D34"/>
    <w:rsid w:val="00426DE2"/>
    <w:rsid w:val="0042706D"/>
    <w:rsid w:val="00427092"/>
    <w:rsid w:val="00427178"/>
    <w:rsid w:val="0042726A"/>
    <w:rsid w:val="004272E2"/>
    <w:rsid w:val="00427338"/>
    <w:rsid w:val="004273CB"/>
    <w:rsid w:val="00427498"/>
    <w:rsid w:val="004274B4"/>
    <w:rsid w:val="00427523"/>
    <w:rsid w:val="00427539"/>
    <w:rsid w:val="004276E5"/>
    <w:rsid w:val="00427788"/>
    <w:rsid w:val="00427847"/>
    <w:rsid w:val="004278B8"/>
    <w:rsid w:val="00427941"/>
    <w:rsid w:val="004279AA"/>
    <w:rsid w:val="00427A09"/>
    <w:rsid w:val="00427A1C"/>
    <w:rsid w:val="00427AC9"/>
    <w:rsid w:val="00427B23"/>
    <w:rsid w:val="00427BEE"/>
    <w:rsid w:val="00427E9D"/>
    <w:rsid w:val="00427F07"/>
    <w:rsid w:val="00430074"/>
    <w:rsid w:val="00430177"/>
    <w:rsid w:val="0043026C"/>
    <w:rsid w:val="0043027E"/>
    <w:rsid w:val="004302B1"/>
    <w:rsid w:val="004305A3"/>
    <w:rsid w:val="00430659"/>
    <w:rsid w:val="004306AF"/>
    <w:rsid w:val="004307DC"/>
    <w:rsid w:val="00430828"/>
    <w:rsid w:val="00430923"/>
    <w:rsid w:val="004309F0"/>
    <w:rsid w:val="00430BB1"/>
    <w:rsid w:val="00430C8A"/>
    <w:rsid w:val="00430D60"/>
    <w:rsid w:val="00430E4D"/>
    <w:rsid w:val="004310C9"/>
    <w:rsid w:val="0043117A"/>
    <w:rsid w:val="00431278"/>
    <w:rsid w:val="00431293"/>
    <w:rsid w:val="00431314"/>
    <w:rsid w:val="00431404"/>
    <w:rsid w:val="0043142B"/>
    <w:rsid w:val="00431464"/>
    <w:rsid w:val="00431554"/>
    <w:rsid w:val="0043157F"/>
    <w:rsid w:val="0043188D"/>
    <w:rsid w:val="00431999"/>
    <w:rsid w:val="004319A1"/>
    <w:rsid w:val="004319BB"/>
    <w:rsid w:val="00431A47"/>
    <w:rsid w:val="00431C60"/>
    <w:rsid w:val="00431C64"/>
    <w:rsid w:val="00431C8F"/>
    <w:rsid w:val="00431D20"/>
    <w:rsid w:val="00431E01"/>
    <w:rsid w:val="00431E27"/>
    <w:rsid w:val="00431F08"/>
    <w:rsid w:val="00432003"/>
    <w:rsid w:val="0043200B"/>
    <w:rsid w:val="0043204E"/>
    <w:rsid w:val="00432064"/>
    <w:rsid w:val="004323B3"/>
    <w:rsid w:val="00432419"/>
    <w:rsid w:val="00432635"/>
    <w:rsid w:val="00432739"/>
    <w:rsid w:val="004327E3"/>
    <w:rsid w:val="004327FC"/>
    <w:rsid w:val="00432960"/>
    <w:rsid w:val="00432A05"/>
    <w:rsid w:val="00432A9B"/>
    <w:rsid w:val="00432AF4"/>
    <w:rsid w:val="00432B3E"/>
    <w:rsid w:val="00432CE0"/>
    <w:rsid w:val="00432D7D"/>
    <w:rsid w:val="00432D81"/>
    <w:rsid w:val="00432E14"/>
    <w:rsid w:val="00432E30"/>
    <w:rsid w:val="00432E95"/>
    <w:rsid w:val="00432EC0"/>
    <w:rsid w:val="00432F01"/>
    <w:rsid w:val="00432FAA"/>
    <w:rsid w:val="004330C1"/>
    <w:rsid w:val="004331EF"/>
    <w:rsid w:val="004332FA"/>
    <w:rsid w:val="004333EF"/>
    <w:rsid w:val="0043347F"/>
    <w:rsid w:val="00433506"/>
    <w:rsid w:val="0043357F"/>
    <w:rsid w:val="004335F9"/>
    <w:rsid w:val="004336F4"/>
    <w:rsid w:val="00433788"/>
    <w:rsid w:val="00433908"/>
    <w:rsid w:val="00433ADC"/>
    <w:rsid w:val="00433AF8"/>
    <w:rsid w:val="00433B5D"/>
    <w:rsid w:val="00433C73"/>
    <w:rsid w:val="00433D2F"/>
    <w:rsid w:val="00433EFD"/>
    <w:rsid w:val="00433F1B"/>
    <w:rsid w:val="00434115"/>
    <w:rsid w:val="004341AE"/>
    <w:rsid w:val="00434235"/>
    <w:rsid w:val="00434365"/>
    <w:rsid w:val="0043436C"/>
    <w:rsid w:val="004343EB"/>
    <w:rsid w:val="00434695"/>
    <w:rsid w:val="004346A3"/>
    <w:rsid w:val="0043489C"/>
    <w:rsid w:val="004349A5"/>
    <w:rsid w:val="004349C2"/>
    <w:rsid w:val="00434A7A"/>
    <w:rsid w:val="00434AB1"/>
    <w:rsid w:val="00434B11"/>
    <w:rsid w:val="00434CBE"/>
    <w:rsid w:val="00434D9E"/>
    <w:rsid w:val="00434E34"/>
    <w:rsid w:val="00434EA7"/>
    <w:rsid w:val="00434F6F"/>
    <w:rsid w:val="00434FAB"/>
    <w:rsid w:val="00434FFF"/>
    <w:rsid w:val="00435293"/>
    <w:rsid w:val="004353CA"/>
    <w:rsid w:val="00435423"/>
    <w:rsid w:val="00435542"/>
    <w:rsid w:val="0043555B"/>
    <w:rsid w:val="00435605"/>
    <w:rsid w:val="004356F4"/>
    <w:rsid w:val="00435714"/>
    <w:rsid w:val="00435ADE"/>
    <w:rsid w:val="00435ADF"/>
    <w:rsid w:val="00435AE2"/>
    <w:rsid w:val="00435B15"/>
    <w:rsid w:val="00435B57"/>
    <w:rsid w:val="00435C8F"/>
    <w:rsid w:val="00435DFE"/>
    <w:rsid w:val="00435E55"/>
    <w:rsid w:val="00435E95"/>
    <w:rsid w:val="00436136"/>
    <w:rsid w:val="004361D7"/>
    <w:rsid w:val="00436294"/>
    <w:rsid w:val="00436327"/>
    <w:rsid w:val="00436455"/>
    <w:rsid w:val="004366ED"/>
    <w:rsid w:val="004367A9"/>
    <w:rsid w:val="0043692F"/>
    <w:rsid w:val="0043699D"/>
    <w:rsid w:val="00436CC6"/>
    <w:rsid w:val="00436D68"/>
    <w:rsid w:val="00436E9D"/>
    <w:rsid w:val="00436FAA"/>
    <w:rsid w:val="004370EE"/>
    <w:rsid w:val="004370F4"/>
    <w:rsid w:val="004370FE"/>
    <w:rsid w:val="004371F5"/>
    <w:rsid w:val="0043729E"/>
    <w:rsid w:val="004373E2"/>
    <w:rsid w:val="004374FA"/>
    <w:rsid w:val="004375F9"/>
    <w:rsid w:val="004377A1"/>
    <w:rsid w:val="004378C5"/>
    <w:rsid w:val="004378D0"/>
    <w:rsid w:val="00437959"/>
    <w:rsid w:val="00437B03"/>
    <w:rsid w:val="00437C04"/>
    <w:rsid w:val="00437E36"/>
    <w:rsid w:val="00437E4B"/>
    <w:rsid w:val="00437EA9"/>
    <w:rsid w:val="00437EAA"/>
    <w:rsid w:val="00437F29"/>
    <w:rsid w:val="0044004F"/>
    <w:rsid w:val="00440122"/>
    <w:rsid w:val="0044022C"/>
    <w:rsid w:val="00440235"/>
    <w:rsid w:val="004403C3"/>
    <w:rsid w:val="00440460"/>
    <w:rsid w:val="004404AD"/>
    <w:rsid w:val="00440600"/>
    <w:rsid w:val="00440601"/>
    <w:rsid w:val="00440648"/>
    <w:rsid w:val="004406BB"/>
    <w:rsid w:val="004406DE"/>
    <w:rsid w:val="004406FE"/>
    <w:rsid w:val="0044081F"/>
    <w:rsid w:val="00440857"/>
    <w:rsid w:val="0044088E"/>
    <w:rsid w:val="00440961"/>
    <w:rsid w:val="00440A1E"/>
    <w:rsid w:val="00440A71"/>
    <w:rsid w:val="00440AFA"/>
    <w:rsid w:val="00440BFA"/>
    <w:rsid w:val="00440CE4"/>
    <w:rsid w:val="00440D0E"/>
    <w:rsid w:val="00440D23"/>
    <w:rsid w:val="00440E3D"/>
    <w:rsid w:val="00440EB2"/>
    <w:rsid w:val="00440FDB"/>
    <w:rsid w:val="00441007"/>
    <w:rsid w:val="0044103D"/>
    <w:rsid w:val="004410A6"/>
    <w:rsid w:val="0044117B"/>
    <w:rsid w:val="0044118C"/>
    <w:rsid w:val="00441453"/>
    <w:rsid w:val="00441544"/>
    <w:rsid w:val="00441783"/>
    <w:rsid w:val="00441B4E"/>
    <w:rsid w:val="00441EF4"/>
    <w:rsid w:val="00442026"/>
    <w:rsid w:val="00442029"/>
    <w:rsid w:val="004420A7"/>
    <w:rsid w:val="00442110"/>
    <w:rsid w:val="00442139"/>
    <w:rsid w:val="004421A7"/>
    <w:rsid w:val="0044225F"/>
    <w:rsid w:val="00442297"/>
    <w:rsid w:val="00442303"/>
    <w:rsid w:val="00442396"/>
    <w:rsid w:val="0044240D"/>
    <w:rsid w:val="0044243D"/>
    <w:rsid w:val="0044246D"/>
    <w:rsid w:val="00442511"/>
    <w:rsid w:val="004425CA"/>
    <w:rsid w:val="00442726"/>
    <w:rsid w:val="004427A7"/>
    <w:rsid w:val="004427C8"/>
    <w:rsid w:val="004428DB"/>
    <w:rsid w:val="00442936"/>
    <w:rsid w:val="00442A58"/>
    <w:rsid w:val="00442AEF"/>
    <w:rsid w:val="00442C46"/>
    <w:rsid w:val="00442C9C"/>
    <w:rsid w:val="00442CED"/>
    <w:rsid w:val="00442CF4"/>
    <w:rsid w:val="00442D1D"/>
    <w:rsid w:val="00442DCD"/>
    <w:rsid w:val="00442F02"/>
    <w:rsid w:val="00443005"/>
    <w:rsid w:val="0044303C"/>
    <w:rsid w:val="0044315F"/>
    <w:rsid w:val="00443264"/>
    <w:rsid w:val="004433AF"/>
    <w:rsid w:val="00443489"/>
    <w:rsid w:val="0044355A"/>
    <w:rsid w:val="0044358F"/>
    <w:rsid w:val="00443799"/>
    <w:rsid w:val="004439D6"/>
    <w:rsid w:val="00443B28"/>
    <w:rsid w:val="00443B4E"/>
    <w:rsid w:val="00443BE9"/>
    <w:rsid w:val="00443D14"/>
    <w:rsid w:val="00443D7D"/>
    <w:rsid w:val="00443E54"/>
    <w:rsid w:val="00443F1E"/>
    <w:rsid w:val="0044402F"/>
    <w:rsid w:val="0044407F"/>
    <w:rsid w:val="004440B1"/>
    <w:rsid w:val="00444113"/>
    <w:rsid w:val="00444281"/>
    <w:rsid w:val="004442D3"/>
    <w:rsid w:val="004443EB"/>
    <w:rsid w:val="004444E5"/>
    <w:rsid w:val="004445B1"/>
    <w:rsid w:val="0044468D"/>
    <w:rsid w:val="004446C5"/>
    <w:rsid w:val="004446CE"/>
    <w:rsid w:val="00444718"/>
    <w:rsid w:val="00444768"/>
    <w:rsid w:val="0044479C"/>
    <w:rsid w:val="0044491B"/>
    <w:rsid w:val="0044492E"/>
    <w:rsid w:val="00444AB3"/>
    <w:rsid w:val="00444AB6"/>
    <w:rsid w:val="00444B95"/>
    <w:rsid w:val="00444BE7"/>
    <w:rsid w:val="00444C92"/>
    <w:rsid w:val="00444D89"/>
    <w:rsid w:val="00444E21"/>
    <w:rsid w:val="00444E8D"/>
    <w:rsid w:val="00444FE0"/>
    <w:rsid w:val="00445192"/>
    <w:rsid w:val="004452D1"/>
    <w:rsid w:val="004452EC"/>
    <w:rsid w:val="004454A2"/>
    <w:rsid w:val="004454BD"/>
    <w:rsid w:val="0044556C"/>
    <w:rsid w:val="00445635"/>
    <w:rsid w:val="00445736"/>
    <w:rsid w:val="004458B7"/>
    <w:rsid w:val="004458D7"/>
    <w:rsid w:val="0044595F"/>
    <w:rsid w:val="004459DD"/>
    <w:rsid w:val="00445AD6"/>
    <w:rsid w:val="00445B69"/>
    <w:rsid w:val="00445CF6"/>
    <w:rsid w:val="00445D0A"/>
    <w:rsid w:val="00445D85"/>
    <w:rsid w:val="00445E7F"/>
    <w:rsid w:val="00445EF7"/>
    <w:rsid w:val="00445F0A"/>
    <w:rsid w:val="00445F17"/>
    <w:rsid w:val="00445F5E"/>
    <w:rsid w:val="00445FD5"/>
    <w:rsid w:val="004461B8"/>
    <w:rsid w:val="004461EB"/>
    <w:rsid w:val="004463AF"/>
    <w:rsid w:val="00446405"/>
    <w:rsid w:val="004464A2"/>
    <w:rsid w:val="0044651F"/>
    <w:rsid w:val="0044678D"/>
    <w:rsid w:val="0044688A"/>
    <w:rsid w:val="0044688E"/>
    <w:rsid w:val="00446906"/>
    <w:rsid w:val="00446909"/>
    <w:rsid w:val="004469CE"/>
    <w:rsid w:val="00446AAD"/>
    <w:rsid w:val="00446B5B"/>
    <w:rsid w:val="00446D24"/>
    <w:rsid w:val="00446EF0"/>
    <w:rsid w:val="00446F1E"/>
    <w:rsid w:val="00446FA1"/>
    <w:rsid w:val="0044701D"/>
    <w:rsid w:val="004470BB"/>
    <w:rsid w:val="00447157"/>
    <w:rsid w:val="0044724F"/>
    <w:rsid w:val="0044729F"/>
    <w:rsid w:val="0044749B"/>
    <w:rsid w:val="004474C2"/>
    <w:rsid w:val="004475C5"/>
    <w:rsid w:val="00447602"/>
    <w:rsid w:val="00447844"/>
    <w:rsid w:val="004478EA"/>
    <w:rsid w:val="0044794C"/>
    <w:rsid w:val="00447AB7"/>
    <w:rsid w:val="00447BEB"/>
    <w:rsid w:val="00447CA6"/>
    <w:rsid w:val="00447D80"/>
    <w:rsid w:val="00447EB8"/>
    <w:rsid w:val="00447EE0"/>
    <w:rsid w:val="00447F14"/>
    <w:rsid w:val="00447FEF"/>
    <w:rsid w:val="004501B1"/>
    <w:rsid w:val="00450212"/>
    <w:rsid w:val="0045031E"/>
    <w:rsid w:val="0045043D"/>
    <w:rsid w:val="00450572"/>
    <w:rsid w:val="00450835"/>
    <w:rsid w:val="00450900"/>
    <w:rsid w:val="0045090F"/>
    <w:rsid w:val="00450922"/>
    <w:rsid w:val="0045099E"/>
    <w:rsid w:val="00450A5A"/>
    <w:rsid w:val="00450C86"/>
    <w:rsid w:val="00450E7B"/>
    <w:rsid w:val="00450F3C"/>
    <w:rsid w:val="00450F4D"/>
    <w:rsid w:val="0045112A"/>
    <w:rsid w:val="0045120A"/>
    <w:rsid w:val="004513B1"/>
    <w:rsid w:val="00451649"/>
    <w:rsid w:val="00451816"/>
    <w:rsid w:val="0045184B"/>
    <w:rsid w:val="004519DE"/>
    <w:rsid w:val="00451A25"/>
    <w:rsid w:val="00451A8E"/>
    <w:rsid w:val="00451B71"/>
    <w:rsid w:val="00451C14"/>
    <w:rsid w:val="00451E07"/>
    <w:rsid w:val="00451E63"/>
    <w:rsid w:val="00451FD3"/>
    <w:rsid w:val="00452074"/>
    <w:rsid w:val="00452192"/>
    <w:rsid w:val="0045225B"/>
    <w:rsid w:val="004522BC"/>
    <w:rsid w:val="00452337"/>
    <w:rsid w:val="00452432"/>
    <w:rsid w:val="00452474"/>
    <w:rsid w:val="00452713"/>
    <w:rsid w:val="004527C2"/>
    <w:rsid w:val="0045283E"/>
    <w:rsid w:val="00452AE1"/>
    <w:rsid w:val="00452B06"/>
    <w:rsid w:val="00452C00"/>
    <w:rsid w:val="00452C4E"/>
    <w:rsid w:val="00452DC9"/>
    <w:rsid w:val="00452DF1"/>
    <w:rsid w:val="00452E0F"/>
    <w:rsid w:val="00452F86"/>
    <w:rsid w:val="00452FB5"/>
    <w:rsid w:val="00452FBA"/>
    <w:rsid w:val="00453068"/>
    <w:rsid w:val="0045319F"/>
    <w:rsid w:val="004531D1"/>
    <w:rsid w:val="004533A7"/>
    <w:rsid w:val="004534F6"/>
    <w:rsid w:val="0045360D"/>
    <w:rsid w:val="0045362F"/>
    <w:rsid w:val="0045375C"/>
    <w:rsid w:val="0045386F"/>
    <w:rsid w:val="0045399F"/>
    <w:rsid w:val="00453A50"/>
    <w:rsid w:val="00453C37"/>
    <w:rsid w:val="00453D94"/>
    <w:rsid w:val="00453EDE"/>
    <w:rsid w:val="004541F4"/>
    <w:rsid w:val="0045428C"/>
    <w:rsid w:val="004542FD"/>
    <w:rsid w:val="004544E6"/>
    <w:rsid w:val="004546CF"/>
    <w:rsid w:val="00454710"/>
    <w:rsid w:val="00454AA7"/>
    <w:rsid w:val="00454ACF"/>
    <w:rsid w:val="00454B98"/>
    <w:rsid w:val="00454BEC"/>
    <w:rsid w:val="00454D27"/>
    <w:rsid w:val="00454DB4"/>
    <w:rsid w:val="00454F58"/>
    <w:rsid w:val="004550B9"/>
    <w:rsid w:val="00455328"/>
    <w:rsid w:val="004553A8"/>
    <w:rsid w:val="0045542F"/>
    <w:rsid w:val="0045555B"/>
    <w:rsid w:val="004557E6"/>
    <w:rsid w:val="0045592D"/>
    <w:rsid w:val="0045599A"/>
    <w:rsid w:val="00455A80"/>
    <w:rsid w:val="00455B99"/>
    <w:rsid w:val="00455BEE"/>
    <w:rsid w:val="00455C17"/>
    <w:rsid w:val="00455D9D"/>
    <w:rsid w:val="00455F68"/>
    <w:rsid w:val="004561D6"/>
    <w:rsid w:val="00456320"/>
    <w:rsid w:val="0045638A"/>
    <w:rsid w:val="00456518"/>
    <w:rsid w:val="00456567"/>
    <w:rsid w:val="00456568"/>
    <w:rsid w:val="004565B5"/>
    <w:rsid w:val="004565DE"/>
    <w:rsid w:val="00456718"/>
    <w:rsid w:val="00456846"/>
    <w:rsid w:val="004569CC"/>
    <w:rsid w:val="00456A47"/>
    <w:rsid w:val="00456BE5"/>
    <w:rsid w:val="00456C1C"/>
    <w:rsid w:val="00456CF4"/>
    <w:rsid w:val="00456D05"/>
    <w:rsid w:val="00456DCE"/>
    <w:rsid w:val="00456E1A"/>
    <w:rsid w:val="00456F14"/>
    <w:rsid w:val="00456F33"/>
    <w:rsid w:val="00456F41"/>
    <w:rsid w:val="00456FD0"/>
    <w:rsid w:val="00457086"/>
    <w:rsid w:val="0045710F"/>
    <w:rsid w:val="0045723F"/>
    <w:rsid w:val="0045739C"/>
    <w:rsid w:val="004574CF"/>
    <w:rsid w:val="0045754B"/>
    <w:rsid w:val="004575A1"/>
    <w:rsid w:val="00457706"/>
    <w:rsid w:val="00457A65"/>
    <w:rsid w:val="00457C2A"/>
    <w:rsid w:val="00457DAA"/>
    <w:rsid w:val="00457E07"/>
    <w:rsid w:val="00457FC8"/>
    <w:rsid w:val="004600C1"/>
    <w:rsid w:val="004603AE"/>
    <w:rsid w:val="0046059D"/>
    <w:rsid w:val="00460602"/>
    <w:rsid w:val="00460611"/>
    <w:rsid w:val="004606B6"/>
    <w:rsid w:val="00460715"/>
    <w:rsid w:val="00460915"/>
    <w:rsid w:val="00460A1C"/>
    <w:rsid w:val="00460AAF"/>
    <w:rsid w:val="00460AE7"/>
    <w:rsid w:val="00460B19"/>
    <w:rsid w:val="00460B2F"/>
    <w:rsid w:val="00460C1C"/>
    <w:rsid w:val="00460DE0"/>
    <w:rsid w:val="00460EE7"/>
    <w:rsid w:val="00460F22"/>
    <w:rsid w:val="00460FA5"/>
    <w:rsid w:val="00460FB0"/>
    <w:rsid w:val="004610DA"/>
    <w:rsid w:val="00461106"/>
    <w:rsid w:val="0046114B"/>
    <w:rsid w:val="0046119D"/>
    <w:rsid w:val="00461428"/>
    <w:rsid w:val="004614A6"/>
    <w:rsid w:val="0046157B"/>
    <w:rsid w:val="0046164B"/>
    <w:rsid w:val="00461654"/>
    <w:rsid w:val="004616A2"/>
    <w:rsid w:val="004617A6"/>
    <w:rsid w:val="004617D1"/>
    <w:rsid w:val="004617F8"/>
    <w:rsid w:val="0046191E"/>
    <w:rsid w:val="00461952"/>
    <w:rsid w:val="004619CB"/>
    <w:rsid w:val="00461A5E"/>
    <w:rsid w:val="00461A8D"/>
    <w:rsid w:val="00461ABC"/>
    <w:rsid w:val="00461B17"/>
    <w:rsid w:val="00461BCF"/>
    <w:rsid w:val="00461D87"/>
    <w:rsid w:val="00461DF9"/>
    <w:rsid w:val="00461E1B"/>
    <w:rsid w:val="00461EB8"/>
    <w:rsid w:val="00461EEF"/>
    <w:rsid w:val="00461F10"/>
    <w:rsid w:val="0046222F"/>
    <w:rsid w:val="004622C0"/>
    <w:rsid w:val="004622E1"/>
    <w:rsid w:val="0046245D"/>
    <w:rsid w:val="004624CA"/>
    <w:rsid w:val="0046257B"/>
    <w:rsid w:val="004625DE"/>
    <w:rsid w:val="004626C5"/>
    <w:rsid w:val="004626C8"/>
    <w:rsid w:val="00462700"/>
    <w:rsid w:val="00462848"/>
    <w:rsid w:val="004628CA"/>
    <w:rsid w:val="004628E3"/>
    <w:rsid w:val="00462AD2"/>
    <w:rsid w:val="00462E2B"/>
    <w:rsid w:val="00462FDA"/>
    <w:rsid w:val="0046304E"/>
    <w:rsid w:val="004630CB"/>
    <w:rsid w:val="00463123"/>
    <w:rsid w:val="004632D5"/>
    <w:rsid w:val="0046346F"/>
    <w:rsid w:val="00463522"/>
    <w:rsid w:val="00463554"/>
    <w:rsid w:val="004635FD"/>
    <w:rsid w:val="004637B0"/>
    <w:rsid w:val="0046382C"/>
    <w:rsid w:val="00463843"/>
    <w:rsid w:val="00463856"/>
    <w:rsid w:val="00463895"/>
    <w:rsid w:val="004638BB"/>
    <w:rsid w:val="0046393E"/>
    <w:rsid w:val="004639D1"/>
    <w:rsid w:val="00463B59"/>
    <w:rsid w:val="00463B5A"/>
    <w:rsid w:val="00463C77"/>
    <w:rsid w:val="00463D7B"/>
    <w:rsid w:val="00463D96"/>
    <w:rsid w:val="00463E6C"/>
    <w:rsid w:val="00463EB9"/>
    <w:rsid w:val="00463F7F"/>
    <w:rsid w:val="004640A2"/>
    <w:rsid w:val="004640AF"/>
    <w:rsid w:val="004640B7"/>
    <w:rsid w:val="004642A4"/>
    <w:rsid w:val="00464383"/>
    <w:rsid w:val="004643C7"/>
    <w:rsid w:val="00464451"/>
    <w:rsid w:val="00464485"/>
    <w:rsid w:val="0046458C"/>
    <w:rsid w:val="004645BD"/>
    <w:rsid w:val="0046462F"/>
    <w:rsid w:val="00464689"/>
    <w:rsid w:val="0046470B"/>
    <w:rsid w:val="0046470E"/>
    <w:rsid w:val="00464875"/>
    <w:rsid w:val="004648A8"/>
    <w:rsid w:val="004648AA"/>
    <w:rsid w:val="00464B86"/>
    <w:rsid w:val="00464BA5"/>
    <w:rsid w:val="00464C4C"/>
    <w:rsid w:val="00464D56"/>
    <w:rsid w:val="00464DA1"/>
    <w:rsid w:val="00464E5E"/>
    <w:rsid w:val="004652AB"/>
    <w:rsid w:val="004653C0"/>
    <w:rsid w:val="004653C2"/>
    <w:rsid w:val="004654A4"/>
    <w:rsid w:val="00465638"/>
    <w:rsid w:val="004656B9"/>
    <w:rsid w:val="004656EB"/>
    <w:rsid w:val="004659B3"/>
    <w:rsid w:val="00465C19"/>
    <w:rsid w:val="00465CD4"/>
    <w:rsid w:val="00465CDA"/>
    <w:rsid w:val="00465E1C"/>
    <w:rsid w:val="00465E75"/>
    <w:rsid w:val="004662A5"/>
    <w:rsid w:val="004662CD"/>
    <w:rsid w:val="00466396"/>
    <w:rsid w:val="004663BD"/>
    <w:rsid w:val="004665A6"/>
    <w:rsid w:val="0046664D"/>
    <w:rsid w:val="004666D5"/>
    <w:rsid w:val="00466708"/>
    <w:rsid w:val="0046671A"/>
    <w:rsid w:val="00466745"/>
    <w:rsid w:val="00466895"/>
    <w:rsid w:val="00466946"/>
    <w:rsid w:val="004669D8"/>
    <w:rsid w:val="00466B98"/>
    <w:rsid w:val="00466C13"/>
    <w:rsid w:val="00466C5B"/>
    <w:rsid w:val="00466EFE"/>
    <w:rsid w:val="00466F09"/>
    <w:rsid w:val="00466F19"/>
    <w:rsid w:val="00466FA8"/>
    <w:rsid w:val="00466FE5"/>
    <w:rsid w:val="00467152"/>
    <w:rsid w:val="00467162"/>
    <w:rsid w:val="0046729D"/>
    <w:rsid w:val="004672C6"/>
    <w:rsid w:val="00467384"/>
    <w:rsid w:val="004673C5"/>
    <w:rsid w:val="00467449"/>
    <w:rsid w:val="004674E3"/>
    <w:rsid w:val="00467602"/>
    <w:rsid w:val="004676EA"/>
    <w:rsid w:val="004677E4"/>
    <w:rsid w:val="004679E1"/>
    <w:rsid w:val="004679E9"/>
    <w:rsid w:val="00467A42"/>
    <w:rsid w:val="00467A86"/>
    <w:rsid w:val="00467AA6"/>
    <w:rsid w:val="00467B1D"/>
    <w:rsid w:val="00467B3B"/>
    <w:rsid w:val="00467B4E"/>
    <w:rsid w:val="00467B64"/>
    <w:rsid w:val="00467C99"/>
    <w:rsid w:val="00467CB6"/>
    <w:rsid w:val="00467E39"/>
    <w:rsid w:val="00467FEB"/>
    <w:rsid w:val="0047001F"/>
    <w:rsid w:val="004701BA"/>
    <w:rsid w:val="004702C0"/>
    <w:rsid w:val="004704D2"/>
    <w:rsid w:val="004704D3"/>
    <w:rsid w:val="004705E4"/>
    <w:rsid w:val="0047068B"/>
    <w:rsid w:val="0047069C"/>
    <w:rsid w:val="004706A5"/>
    <w:rsid w:val="004708F1"/>
    <w:rsid w:val="00470A4B"/>
    <w:rsid w:val="00470A7F"/>
    <w:rsid w:val="00470B29"/>
    <w:rsid w:val="00470E73"/>
    <w:rsid w:val="00470F86"/>
    <w:rsid w:val="00470FC3"/>
    <w:rsid w:val="00471023"/>
    <w:rsid w:val="00471171"/>
    <w:rsid w:val="004711BD"/>
    <w:rsid w:val="004711C5"/>
    <w:rsid w:val="0047131E"/>
    <w:rsid w:val="00471392"/>
    <w:rsid w:val="004716EF"/>
    <w:rsid w:val="00471767"/>
    <w:rsid w:val="00471A25"/>
    <w:rsid w:val="00471C36"/>
    <w:rsid w:val="00471CD3"/>
    <w:rsid w:val="00471D30"/>
    <w:rsid w:val="00471D62"/>
    <w:rsid w:val="00471EB7"/>
    <w:rsid w:val="00471F0F"/>
    <w:rsid w:val="00471FAA"/>
    <w:rsid w:val="004721F8"/>
    <w:rsid w:val="004723AE"/>
    <w:rsid w:val="004724AE"/>
    <w:rsid w:val="004726A2"/>
    <w:rsid w:val="00472794"/>
    <w:rsid w:val="004727C1"/>
    <w:rsid w:val="004728E5"/>
    <w:rsid w:val="00472926"/>
    <w:rsid w:val="00472942"/>
    <w:rsid w:val="00472ADA"/>
    <w:rsid w:val="00472BC8"/>
    <w:rsid w:val="00472BE7"/>
    <w:rsid w:val="00472C1C"/>
    <w:rsid w:val="00472D1B"/>
    <w:rsid w:val="00472D99"/>
    <w:rsid w:val="00472E17"/>
    <w:rsid w:val="00472E44"/>
    <w:rsid w:val="00472EC7"/>
    <w:rsid w:val="0047306E"/>
    <w:rsid w:val="004730A9"/>
    <w:rsid w:val="004730E7"/>
    <w:rsid w:val="00473225"/>
    <w:rsid w:val="004732B3"/>
    <w:rsid w:val="004732D0"/>
    <w:rsid w:val="00473312"/>
    <w:rsid w:val="004733BD"/>
    <w:rsid w:val="00473479"/>
    <w:rsid w:val="0047348F"/>
    <w:rsid w:val="004734BE"/>
    <w:rsid w:val="00473528"/>
    <w:rsid w:val="0047359C"/>
    <w:rsid w:val="004735EB"/>
    <w:rsid w:val="00473649"/>
    <w:rsid w:val="0047366A"/>
    <w:rsid w:val="00473808"/>
    <w:rsid w:val="00473825"/>
    <w:rsid w:val="00473868"/>
    <w:rsid w:val="00473B14"/>
    <w:rsid w:val="00473B39"/>
    <w:rsid w:val="00473C69"/>
    <w:rsid w:val="00473CC7"/>
    <w:rsid w:val="00473DBA"/>
    <w:rsid w:val="00473E43"/>
    <w:rsid w:val="00473FF2"/>
    <w:rsid w:val="004740FC"/>
    <w:rsid w:val="00474142"/>
    <w:rsid w:val="0047419A"/>
    <w:rsid w:val="004741FB"/>
    <w:rsid w:val="00474200"/>
    <w:rsid w:val="0047422F"/>
    <w:rsid w:val="00474331"/>
    <w:rsid w:val="00474399"/>
    <w:rsid w:val="0047456A"/>
    <w:rsid w:val="00474587"/>
    <w:rsid w:val="00474646"/>
    <w:rsid w:val="0047464A"/>
    <w:rsid w:val="00474736"/>
    <w:rsid w:val="004747A0"/>
    <w:rsid w:val="004747A8"/>
    <w:rsid w:val="00474932"/>
    <w:rsid w:val="0047496C"/>
    <w:rsid w:val="0047498F"/>
    <w:rsid w:val="00474AC8"/>
    <w:rsid w:val="00474BD2"/>
    <w:rsid w:val="00474D4B"/>
    <w:rsid w:val="00474EE5"/>
    <w:rsid w:val="00474F78"/>
    <w:rsid w:val="00475027"/>
    <w:rsid w:val="004750D1"/>
    <w:rsid w:val="00475152"/>
    <w:rsid w:val="004752F9"/>
    <w:rsid w:val="0047532E"/>
    <w:rsid w:val="0047534B"/>
    <w:rsid w:val="00475414"/>
    <w:rsid w:val="00475467"/>
    <w:rsid w:val="00475550"/>
    <w:rsid w:val="00475625"/>
    <w:rsid w:val="004757FF"/>
    <w:rsid w:val="0047587A"/>
    <w:rsid w:val="004758A4"/>
    <w:rsid w:val="004758AD"/>
    <w:rsid w:val="004758DE"/>
    <w:rsid w:val="00475965"/>
    <w:rsid w:val="00475B03"/>
    <w:rsid w:val="00475B1A"/>
    <w:rsid w:val="00475BA1"/>
    <w:rsid w:val="00475BAD"/>
    <w:rsid w:val="00475D3C"/>
    <w:rsid w:val="00475E5C"/>
    <w:rsid w:val="00475EAF"/>
    <w:rsid w:val="00475F4A"/>
    <w:rsid w:val="0047601E"/>
    <w:rsid w:val="0047608C"/>
    <w:rsid w:val="004761A3"/>
    <w:rsid w:val="00476203"/>
    <w:rsid w:val="004762CA"/>
    <w:rsid w:val="0047632D"/>
    <w:rsid w:val="0047636B"/>
    <w:rsid w:val="0047642E"/>
    <w:rsid w:val="004764CF"/>
    <w:rsid w:val="00476521"/>
    <w:rsid w:val="00476551"/>
    <w:rsid w:val="004765FD"/>
    <w:rsid w:val="0047665F"/>
    <w:rsid w:val="004766E0"/>
    <w:rsid w:val="0047686E"/>
    <w:rsid w:val="004768CA"/>
    <w:rsid w:val="00476940"/>
    <w:rsid w:val="004769DA"/>
    <w:rsid w:val="00476A4C"/>
    <w:rsid w:val="00476A97"/>
    <w:rsid w:val="00476B16"/>
    <w:rsid w:val="00476B8A"/>
    <w:rsid w:val="00476D5E"/>
    <w:rsid w:val="00476E41"/>
    <w:rsid w:val="00476EC5"/>
    <w:rsid w:val="00476F74"/>
    <w:rsid w:val="00476FC2"/>
    <w:rsid w:val="00476FE3"/>
    <w:rsid w:val="00477003"/>
    <w:rsid w:val="00477066"/>
    <w:rsid w:val="00477127"/>
    <w:rsid w:val="004771B9"/>
    <w:rsid w:val="004774EB"/>
    <w:rsid w:val="00477532"/>
    <w:rsid w:val="004775DE"/>
    <w:rsid w:val="0047762B"/>
    <w:rsid w:val="0047768A"/>
    <w:rsid w:val="004776CA"/>
    <w:rsid w:val="00477730"/>
    <w:rsid w:val="0047777A"/>
    <w:rsid w:val="0047777E"/>
    <w:rsid w:val="004778E1"/>
    <w:rsid w:val="00477946"/>
    <w:rsid w:val="00477B0D"/>
    <w:rsid w:val="00477BD8"/>
    <w:rsid w:val="00477C4D"/>
    <w:rsid w:val="00477CBC"/>
    <w:rsid w:val="00477CE1"/>
    <w:rsid w:val="00477D76"/>
    <w:rsid w:val="00477E49"/>
    <w:rsid w:val="00477EC5"/>
    <w:rsid w:val="004800C4"/>
    <w:rsid w:val="00480197"/>
    <w:rsid w:val="004805AB"/>
    <w:rsid w:val="00480607"/>
    <w:rsid w:val="00480627"/>
    <w:rsid w:val="004806D1"/>
    <w:rsid w:val="0048073E"/>
    <w:rsid w:val="0048080E"/>
    <w:rsid w:val="00480994"/>
    <w:rsid w:val="00480C23"/>
    <w:rsid w:val="00480C41"/>
    <w:rsid w:val="00480CA5"/>
    <w:rsid w:val="00480CEA"/>
    <w:rsid w:val="00480DE7"/>
    <w:rsid w:val="00480E64"/>
    <w:rsid w:val="00480F63"/>
    <w:rsid w:val="00480F64"/>
    <w:rsid w:val="00480FB8"/>
    <w:rsid w:val="004811E2"/>
    <w:rsid w:val="004812A5"/>
    <w:rsid w:val="004812F4"/>
    <w:rsid w:val="004813E6"/>
    <w:rsid w:val="004814D2"/>
    <w:rsid w:val="004815CB"/>
    <w:rsid w:val="004816B4"/>
    <w:rsid w:val="00481838"/>
    <w:rsid w:val="00481A1B"/>
    <w:rsid w:val="00481C0D"/>
    <w:rsid w:val="00481CC2"/>
    <w:rsid w:val="00481D9F"/>
    <w:rsid w:val="00481DFE"/>
    <w:rsid w:val="00481F16"/>
    <w:rsid w:val="00481F9C"/>
    <w:rsid w:val="004820F4"/>
    <w:rsid w:val="004821C1"/>
    <w:rsid w:val="0048220A"/>
    <w:rsid w:val="0048242C"/>
    <w:rsid w:val="00482562"/>
    <w:rsid w:val="004826DC"/>
    <w:rsid w:val="0048277D"/>
    <w:rsid w:val="004827CE"/>
    <w:rsid w:val="00482801"/>
    <w:rsid w:val="0048284B"/>
    <w:rsid w:val="004828F8"/>
    <w:rsid w:val="00482927"/>
    <w:rsid w:val="00482963"/>
    <w:rsid w:val="00482970"/>
    <w:rsid w:val="00482B79"/>
    <w:rsid w:val="00482D68"/>
    <w:rsid w:val="00482DFA"/>
    <w:rsid w:val="00482E11"/>
    <w:rsid w:val="0048319B"/>
    <w:rsid w:val="0048354B"/>
    <w:rsid w:val="004835A1"/>
    <w:rsid w:val="00483637"/>
    <w:rsid w:val="0048380D"/>
    <w:rsid w:val="004839A2"/>
    <w:rsid w:val="00483A32"/>
    <w:rsid w:val="00483BE2"/>
    <w:rsid w:val="00483C57"/>
    <w:rsid w:val="00483DD2"/>
    <w:rsid w:val="00483E67"/>
    <w:rsid w:val="00483F36"/>
    <w:rsid w:val="004841BE"/>
    <w:rsid w:val="00484252"/>
    <w:rsid w:val="00484424"/>
    <w:rsid w:val="00484440"/>
    <w:rsid w:val="00484457"/>
    <w:rsid w:val="004844D6"/>
    <w:rsid w:val="004844E3"/>
    <w:rsid w:val="00484602"/>
    <w:rsid w:val="0048460D"/>
    <w:rsid w:val="004848F5"/>
    <w:rsid w:val="004848FD"/>
    <w:rsid w:val="0048495E"/>
    <w:rsid w:val="00484A2E"/>
    <w:rsid w:val="00484AF4"/>
    <w:rsid w:val="00484BBD"/>
    <w:rsid w:val="00484CFC"/>
    <w:rsid w:val="00484D09"/>
    <w:rsid w:val="00484DDF"/>
    <w:rsid w:val="00484DF5"/>
    <w:rsid w:val="00484FF0"/>
    <w:rsid w:val="00485141"/>
    <w:rsid w:val="004851D7"/>
    <w:rsid w:val="00485274"/>
    <w:rsid w:val="004852E6"/>
    <w:rsid w:val="004854A4"/>
    <w:rsid w:val="00485646"/>
    <w:rsid w:val="004858D4"/>
    <w:rsid w:val="004858F8"/>
    <w:rsid w:val="00485A0A"/>
    <w:rsid w:val="00485A51"/>
    <w:rsid w:val="00485B9A"/>
    <w:rsid w:val="00485C53"/>
    <w:rsid w:val="00485C6D"/>
    <w:rsid w:val="00485E32"/>
    <w:rsid w:val="00485F57"/>
    <w:rsid w:val="00486040"/>
    <w:rsid w:val="00486055"/>
    <w:rsid w:val="00486064"/>
    <w:rsid w:val="00486350"/>
    <w:rsid w:val="004863B2"/>
    <w:rsid w:val="004864C6"/>
    <w:rsid w:val="004864ED"/>
    <w:rsid w:val="00486542"/>
    <w:rsid w:val="00486563"/>
    <w:rsid w:val="004865B0"/>
    <w:rsid w:val="004865FC"/>
    <w:rsid w:val="00486727"/>
    <w:rsid w:val="004867EF"/>
    <w:rsid w:val="0048681C"/>
    <w:rsid w:val="00486835"/>
    <w:rsid w:val="00486899"/>
    <w:rsid w:val="00486909"/>
    <w:rsid w:val="00486A66"/>
    <w:rsid w:val="00486B5A"/>
    <w:rsid w:val="00486B5E"/>
    <w:rsid w:val="00486C56"/>
    <w:rsid w:val="00486C8A"/>
    <w:rsid w:val="00486CAF"/>
    <w:rsid w:val="00486CCD"/>
    <w:rsid w:val="00486D63"/>
    <w:rsid w:val="00486D91"/>
    <w:rsid w:val="00486E7C"/>
    <w:rsid w:val="00486ECE"/>
    <w:rsid w:val="00486ED7"/>
    <w:rsid w:val="0048717B"/>
    <w:rsid w:val="00487318"/>
    <w:rsid w:val="00487344"/>
    <w:rsid w:val="004873CD"/>
    <w:rsid w:val="00487459"/>
    <w:rsid w:val="00487695"/>
    <w:rsid w:val="004876C1"/>
    <w:rsid w:val="004877B5"/>
    <w:rsid w:val="004878B2"/>
    <w:rsid w:val="00487A03"/>
    <w:rsid w:val="00487A89"/>
    <w:rsid w:val="00487CD7"/>
    <w:rsid w:val="00487D55"/>
    <w:rsid w:val="00487D80"/>
    <w:rsid w:val="00487D8C"/>
    <w:rsid w:val="00487E32"/>
    <w:rsid w:val="00487ECE"/>
    <w:rsid w:val="00487ED7"/>
    <w:rsid w:val="00487EDC"/>
    <w:rsid w:val="00487EEF"/>
    <w:rsid w:val="00487F98"/>
    <w:rsid w:val="00487FAE"/>
    <w:rsid w:val="00487FB3"/>
    <w:rsid w:val="00490098"/>
    <w:rsid w:val="004900DF"/>
    <w:rsid w:val="004902DB"/>
    <w:rsid w:val="004903C2"/>
    <w:rsid w:val="00490503"/>
    <w:rsid w:val="0049057A"/>
    <w:rsid w:val="004905BB"/>
    <w:rsid w:val="004906EB"/>
    <w:rsid w:val="0049074C"/>
    <w:rsid w:val="004907CF"/>
    <w:rsid w:val="00490823"/>
    <w:rsid w:val="00490931"/>
    <w:rsid w:val="004909B7"/>
    <w:rsid w:val="00490C77"/>
    <w:rsid w:val="00490D16"/>
    <w:rsid w:val="00490D66"/>
    <w:rsid w:val="00490DFC"/>
    <w:rsid w:val="00490EA5"/>
    <w:rsid w:val="00490FD8"/>
    <w:rsid w:val="00490FED"/>
    <w:rsid w:val="00491483"/>
    <w:rsid w:val="0049155E"/>
    <w:rsid w:val="0049165F"/>
    <w:rsid w:val="00491678"/>
    <w:rsid w:val="004916B2"/>
    <w:rsid w:val="004917ED"/>
    <w:rsid w:val="004918C4"/>
    <w:rsid w:val="00491965"/>
    <w:rsid w:val="004919DC"/>
    <w:rsid w:val="00491AA7"/>
    <w:rsid w:val="00491AD5"/>
    <w:rsid w:val="00491B49"/>
    <w:rsid w:val="00491BC7"/>
    <w:rsid w:val="00491C5D"/>
    <w:rsid w:val="00491C8F"/>
    <w:rsid w:val="00491E12"/>
    <w:rsid w:val="00491F0B"/>
    <w:rsid w:val="00492198"/>
    <w:rsid w:val="00492205"/>
    <w:rsid w:val="004924EC"/>
    <w:rsid w:val="0049259E"/>
    <w:rsid w:val="004925E6"/>
    <w:rsid w:val="00492656"/>
    <w:rsid w:val="00492665"/>
    <w:rsid w:val="004927C0"/>
    <w:rsid w:val="00492813"/>
    <w:rsid w:val="0049290D"/>
    <w:rsid w:val="00492A31"/>
    <w:rsid w:val="00492A97"/>
    <w:rsid w:val="00492AF7"/>
    <w:rsid w:val="00492DEC"/>
    <w:rsid w:val="00492E7A"/>
    <w:rsid w:val="00492F9D"/>
    <w:rsid w:val="0049318D"/>
    <w:rsid w:val="004933A9"/>
    <w:rsid w:val="00493433"/>
    <w:rsid w:val="0049348D"/>
    <w:rsid w:val="004936AE"/>
    <w:rsid w:val="00493743"/>
    <w:rsid w:val="00493779"/>
    <w:rsid w:val="004937DB"/>
    <w:rsid w:val="0049395D"/>
    <w:rsid w:val="004939A5"/>
    <w:rsid w:val="004939C9"/>
    <w:rsid w:val="004939F3"/>
    <w:rsid w:val="00493AD5"/>
    <w:rsid w:val="00493B6C"/>
    <w:rsid w:val="00493C84"/>
    <w:rsid w:val="00493EDB"/>
    <w:rsid w:val="00493F38"/>
    <w:rsid w:val="00493F8F"/>
    <w:rsid w:val="00493FBE"/>
    <w:rsid w:val="00494004"/>
    <w:rsid w:val="00494034"/>
    <w:rsid w:val="00494657"/>
    <w:rsid w:val="0049467A"/>
    <w:rsid w:val="00494698"/>
    <w:rsid w:val="00494713"/>
    <w:rsid w:val="00494725"/>
    <w:rsid w:val="00494788"/>
    <w:rsid w:val="004948A8"/>
    <w:rsid w:val="004948CC"/>
    <w:rsid w:val="004948CF"/>
    <w:rsid w:val="00494969"/>
    <w:rsid w:val="00494B68"/>
    <w:rsid w:val="00494C09"/>
    <w:rsid w:val="00494C46"/>
    <w:rsid w:val="00494D48"/>
    <w:rsid w:val="00494DF1"/>
    <w:rsid w:val="00494F6F"/>
    <w:rsid w:val="00494F98"/>
    <w:rsid w:val="00495051"/>
    <w:rsid w:val="00495120"/>
    <w:rsid w:val="0049516B"/>
    <w:rsid w:val="004951F1"/>
    <w:rsid w:val="00495226"/>
    <w:rsid w:val="00495303"/>
    <w:rsid w:val="00495347"/>
    <w:rsid w:val="0049576A"/>
    <w:rsid w:val="00495834"/>
    <w:rsid w:val="00495AE7"/>
    <w:rsid w:val="00495C34"/>
    <w:rsid w:val="00495E09"/>
    <w:rsid w:val="00495FCD"/>
    <w:rsid w:val="00495FFC"/>
    <w:rsid w:val="0049618C"/>
    <w:rsid w:val="004962C1"/>
    <w:rsid w:val="00496461"/>
    <w:rsid w:val="00496534"/>
    <w:rsid w:val="0049658F"/>
    <w:rsid w:val="00496617"/>
    <w:rsid w:val="00496774"/>
    <w:rsid w:val="00496786"/>
    <w:rsid w:val="004967D6"/>
    <w:rsid w:val="004967E5"/>
    <w:rsid w:val="00496853"/>
    <w:rsid w:val="00496921"/>
    <w:rsid w:val="0049695C"/>
    <w:rsid w:val="00496A43"/>
    <w:rsid w:val="00496B91"/>
    <w:rsid w:val="00496BFD"/>
    <w:rsid w:val="00496C11"/>
    <w:rsid w:val="00496C3D"/>
    <w:rsid w:val="00496CB4"/>
    <w:rsid w:val="00496DCA"/>
    <w:rsid w:val="00496E86"/>
    <w:rsid w:val="00496FA8"/>
    <w:rsid w:val="00497027"/>
    <w:rsid w:val="0049719E"/>
    <w:rsid w:val="0049735D"/>
    <w:rsid w:val="00497418"/>
    <w:rsid w:val="004975C5"/>
    <w:rsid w:val="00497608"/>
    <w:rsid w:val="00497777"/>
    <w:rsid w:val="0049788C"/>
    <w:rsid w:val="004978AC"/>
    <w:rsid w:val="004978C2"/>
    <w:rsid w:val="004978F3"/>
    <w:rsid w:val="004978FC"/>
    <w:rsid w:val="00497966"/>
    <w:rsid w:val="004979B0"/>
    <w:rsid w:val="00497A32"/>
    <w:rsid w:val="00497AEB"/>
    <w:rsid w:val="00497B94"/>
    <w:rsid w:val="00497BBA"/>
    <w:rsid w:val="00497E7B"/>
    <w:rsid w:val="00497EE0"/>
    <w:rsid w:val="00497F0A"/>
    <w:rsid w:val="00497F1C"/>
    <w:rsid w:val="004A027F"/>
    <w:rsid w:val="004A0306"/>
    <w:rsid w:val="004A056C"/>
    <w:rsid w:val="004A05A1"/>
    <w:rsid w:val="004A05DB"/>
    <w:rsid w:val="004A0673"/>
    <w:rsid w:val="004A069B"/>
    <w:rsid w:val="004A07D8"/>
    <w:rsid w:val="004A0910"/>
    <w:rsid w:val="004A094D"/>
    <w:rsid w:val="004A09BF"/>
    <w:rsid w:val="004A09C9"/>
    <w:rsid w:val="004A0A05"/>
    <w:rsid w:val="004A0A06"/>
    <w:rsid w:val="004A0DFA"/>
    <w:rsid w:val="004A0E6F"/>
    <w:rsid w:val="004A0ED3"/>
    <w:rsid w:val="004A0EFF"/>
    <w:rsid w:val="004A0F05"/>
    <w:rsid w:val="004A11BE"/>
    <w:rsid w:val="004A1320"/>
    <w:rsid w:val="004A1391"/>
    <w:rsid w:val="004A1396"/>
    <w:rsid w:val="004A14EC"/>
    <w:rsid w:val="004A1514"/>
    <w:rsid w:val="004A1549"/>
    <w:rsid w:val="004A158E"/>
    <w:rsid w:val="004A1736"/>
    <w:rsid w:val="004A176D"/>
    <w:rsid w:val="004A1898"/>
    <w:rsid w:val="004A18CB"/>
    <w:rsid w:val="004A18E9"/>
    <w:rsid w:val="004A191D"/>
    <w:rsid w:val="004A1BFE"/>
    <w:rsid w:val="004A1C79"/>
    <w:rsid w:val="004A1C87"/>
    <w:rsid w:val="004A1DD8"/>
    <w:rsid w:val="004A2149"/>
    <w:rsid w:val="004A23B3"/>
    <w:rsid w:val="004A23E9"/>
    <w:rsid w:val="004A248A"/>
    <w:rsid w:val="004A256C"/>
    <w:rsid w:val="004A2613"/>
    <w:rsid w:val="004A26B0"/>
    <w:rsid w:val="004A2804"/>
    <w:rsid w:val="004A28A6"/>
    <w:rsid w:val="004A2A8C"/>
    <w:rsid w:val="004A2E90"/>
    <w:rsid w:val="004A2EB9"/>
    <w:rsid w:val="004A3029"/>
    <w:rsid w:val="004A312C"/>
    <w:rsid w:val="004A313D"/>
    <w:rsid w:val="004A3263"/>
    <w:rsid w:val="004A32EA"/>
    <w:rsid w:val="004A348B"/>
    <w:rsid w:val="004A3613"/>
    <w:rsid w:val="004A3615"/>
    <w:rsid w:val="004A3684"/>
    <w:rsid w:val="004A3868"/>
    <w:rsid w:val="004A3878"/>
    <w:rsid w:val="004A38F3"/>
    <w:rsid w:val="004A3933"/>
    <w:rsid w:val="004A3A24"/>
    <w:rsid w:val="004A3AA3"/>
    <w:rsid w:val="004A3AB8"/>
    <w:rsid w:val="004A3CA3"/>
    <w:rsid w:val="004A3D42"/>
    <w:rsid w:val="004A3D56"/>
    <w:rsid w:val="004A3DCE"/>
    <w:rsid w:val="004A3F5F"/>
    <w:rsid w:val="004A42C2"/>
    <w:rsid w:val="004A42CB"/>
    <w:rsid w:val="004A44DA"/>
    <w:rsid w:val="004A45AB"/>
    <w:rsid w:val="004A45D4"/>
    <w:rsid w:val="004A4640"/>
    <w:rsid w:val="004A46A7"/>
    <w:rsid w:val="004A473C"/>
    <w:rsid w:val="004A4772"/>
    <w:rsid w:val="004A4842"/>
    <w:rsid w:val="004A48D7"/>
    <w:rsid w:val="004A4A32"/>
    <w:rsid w:val="004A4AAA"/>
    <w:rsid w:val="004A4CA7"/>
    <w:rsid w:val="004A4CFC"/>
    <w:rsid w:val="004A4E70"/>
    <w:rsid w:val="004A4F3E"/>
    <w:rsid w:val="004A5005"/>
    <w:rsid w:val="004A5082"/>
    <w:rsid w:val="004A5109"/>
    <w:rsid w:val="004A522A"/>
    <w:rsid w:val="004A53C9"/>
    <w:rsid w:val="004A542E"/>
    <w:rsid w:val="004A57ED"/>
    <w:rsid w:val="004A5B36"/>
    <w:rsid w:val="004A5B37"/>
    <w:rsid w:val="004A5CC6"/>
    <w:rsid w:val="004A5D5F"/>
    <w:rsid w:val="004A5E4A"/>
    <w:rsid w:val="004A5FDA"/>
    <w:rsid w:val="004A60C9"/>
    <w:rsid w:val="004A6157"/>
    <w:rsid w:val="004A61E3"/>
    <w:rsid w:val="004A626A"/>
    <w:rsid w:val="004A648B"/>
    <w:rsid w:val="004A649C"/>
    <w:rsid w:val="004A64B9"/>
    <w:rsid w:val="004A659B"/>
    <w:rsid w:val="004A6654"/>
    <w:rsid w:val="004A6707"/>
    <w:rsid w:val="004A6777"/>
    <w:rsid w:val="004A6809"/>
    <w:rsid w:val="004A6833"/>
    <w:rsid w:val="004A6855"/>
    <w:rsid w:val="004A68AE"/>
    <w:rsid w:val="004A6B59"/>
    <w:rsid w:val="004A6C2C"/>
    <w:rsid w:val="004A6C7A"/>
    <w:rsid w:val="004A6CD0"/>
    <w:rsid w:val="004A6DE4"/>
    <w:rsid w:val="004A6DEF"/>
    <w:rsid w:val="004A6E39"/>
    <w:rsid w:val="004A6EB5"/>
    <w:rsid w:val="004A6F53"/>
    <w:rsid w:val="004A6FFC"/>
    <w:rsid w:val="004A7070"/>
    <w:rsid w:val="004A7116"/>
    <w:rsid w:val="004A7152"/>
    <w:rsid w:val="004A7293"/>
    <w:rsid w:val="004A7304"/>
    <w:rsid w:val="004A733F"/>
    <w:rsid w:val="004A75B4"/>
    <w:rsid w:val="004A7616"/>
    <w:rsid w:val="004A7662"/>
    <w:rsid w:val="004A7699"/>
    <w:rsid w:val="004A76B3"/>
    <w:rsid w:val="004A76D3"/>
    <w:rsid w:val="004A76F4"/>
    <w:rsid w:val="004A7882"/>
    <w:rsid w:val="004A78A7"/>
    <w:rsid w:val="004A7A05"/>
    <w:rsid w:val="004A7A4A"/>
    <w:rsid w:val="004A7A5A"/>
    <w:rsid w:val="004A7E0B"/>
    <w:rsid w:val="004A7E56"/>
    <w:rsid w:val="004A7FCD"/>
    <w:rsid w:val="004B00BE"/>
    <w:rsid w:val="004B0438"/>
    <w:rsid w:val="004B04EA"/>
    <w:rsid w:val="004B04FA"/>
    <w:rsid w:val="004B05E5"/>
    <w:rsid w:val="004B0614"/>
    <w:rsid w:val="004B06B5"/>
    <w:rsid w:val="004B06D8"/>
    <w:rsid w:val="004B073F"/>
    <w:rsid w:val="004B079B"/>
    <w:rsid w:val="004B0901"/>
    <w:rsid w:val="004B0928"/>
    <w:rsid w:val="004B0AB6"/>
    <w:rsid w:val="004B0ADB"/>
    <w:rsid w:val="004B0BB6"/>
    <w:rsid w:val="004B0C04"/>
    <w:rsid w:val="004B0E23"/>
    <w:rsid w:val="004B0F0A"/>
    <w:rsid w:val="004B0F92"/>
    <w:rsid w:val="004B0F98"/>
    <w:rsid w:val="004B1041"/>
    <w:rsid w:val="004B116F"/>
    <w:rsid w:val="004B1193"/>
    <w:rsid w:val="004B13A9"/>
    <w:rsid w:val="004B15B4"/>
    <w:rsid w:val="004B175A"/>
    <w:rsid w:val="004B187D"/>
    <w:rsid w:val="004B18E7"/>
    <w:rsid w:val="004B196A"/>
    <w:rsid w:val="004B19E2"/>
    <w:rsid w:val="004B1B5C"/>
    <w:rsid w:val="004B1BE7"/>
    <w:rsid w:val="004B1C11"/>
    <w:rsid w:val="004B1E93"/>
    <w:rsid w:val="004B1F6A"/>
    <w:rsid w:val="004B1FEA"/>
    <w:rsid w:val="004B202F"/>
    <w:rsid w:val="004B2036"/>
    <w:rsid w:val="004B207B"/>
    <w:rsid w:val="004B2090"/>
    <w:rsid w:val="004B2163"/>
    <w:rsid w:val="004B21E7"/>
    <w:rsid w:val="004B2308"/>
    <w:rsid w:val="004B232F"/>
    <w:rsid w:val="004B23EB"/>
    <w:rsid w:val="004B2487"/>
    <w:rsid w:val="004B24BF"/>
    <w:rsid w:val="004B2584"/>
    <w:rsid w:val="004B25A9"/>
    <w:rsid w:val="004B25C9"/>
    <w:rsid w:val="004B2625"/>
    <w:rsid w:val="004B26F0"/>
    <w:rsid w:val="004B2721"/>
    <w:rsid w:val="004B2769"/>
    <w:rsid w:val="004B27EC"/>
    <w:rsid w:val="004B28C9"/>
    <w:rsid w:val="004B2934"/>
    <w:rsid w:val="004B293A"/>
    <w:rsid w:val="004B2B06"/>
    <w:rsid w:val="004B2B54"/>
    <w:rsid w:val="004B2BA1"/>
    <w:rsid w:val="004B2BC4"/>
    <w:rsid w:val="004B2C4D"/>
    <w:rsid w:val="004B2F0D"/>
    <w:rsid w:val="004B2F11"/>
    <w:rsid w:val="004B2FC4"/>
    <w:rsid w:val="004B302D"/>
    <w:rsid w:val="004B304C"/>
    <w:rsid w:val="004B30E3"/>
    <w:rsid w:val="004B3259"/>
    <w:rsid w:val="004B341C"/>
    <w:rsid w:val="004B34C2"/>
    <w:rsid w:val="004B3502"/>
    <w:rsid w:val="004B35E9"/>
    <w:rsid w:val="004B35EB"/>
    <w:rsid w:val="004B3616"/>
    <w:rsid w:val="004B364D"/>
    <w:rsid w:val="004B3668"/>
    <w:rsid w:val="004B36D4"/>
    <w:rsid w:val="004B373C"/>
    <w:rsid w:val="004B3836"/>
    <w:rsid w:val="004B3870"/>
    <w:rsid w:val="004B3920"/>
    <w:rsid w:val="004B39E8"/>
    <w:rsid w:val="004B3B17"/>
    <w:rsid w:val="004B3B9A"/>
    <w:rsid w:val="004B3BDA"/>
    <w:rsid w:val="004B3C7A"/>
    <w:rsid w:val="004B3CE8"/>
    <w:rsid w:val="004B3D66"/>
    <w:rsid w:val="004B4020"/>
    <w:rsid w:val="004B403E"/>
    <w:rsid w:val="004B40CC"/>
    <w:rsid w:val="004B40CE"/>
    <w:rsid w:val="004B415B"/>
    <w:rsid w:val="004B425A"/>
    <w:rsid w:val="004B42C6"/>
    <w:rsid w:val="004B4629"/>
    <w:rsid w:val="004B4659"/>
    <w:rsid w:val="004B4752"/>
    <w:rsid w:val="004B4784"/>
    <w:rsid w:val="004B4876"/>
    <w:rsid w:val="004B487D"/>
    <w:rsid w:val="004B48FC"/>
    <w:rsid w:val="004B4960"/>
    <w:rsid w:val="004B4998"/>
    <w:rsid w:val="004B49C1"/>
    <w:rsid w:val="004B4A4E"/>
    <w:rsid w:val="004B4C3F"/>
    <w:rsid w:val="004B4D57"/>
    <w:rsid w:val="004B4D6F"/>
    <w:rsid w:val="004B4F27"/>
    <w:rsid w:val="004B4FA5"/>
    <w:rsid w:val="004B4FCC"/>
    <w:rsid w:val="004B4FE1"/>
    <w:rsid w:val="004B54A7"/>
    <w:rsid w:val="004B5540"/>
    <w:rsid w:val="004B55D4"/>
    <w:rsid w:val="004B57B7"/>
    <w:rsid w:val="004B58EB"/>
    <w:rsid w:val="004B5976"/>
    <w:rsid w:val="004B5A83"/>
    <w:rsid w:val="004B5B04"/>
    <w:rsid w:val="004B5B49"/>
    <w:rsid w:val="004B5DA0"/>
    <w:rsid w:val="004B5DC9"/>
    <w:rsid w:val="004B5F73"/>
    <w:rsid w:val="004B6118"/>
    <w:rsid w:val="004B61E0"/>
    <w:rsid w:val="004B6244"/>
    <w:rsid w:val="004B6361"/>
    <w:rsid w:val="004B63B6"/>
    <w:rsid w:val="004B6448"/>
    <w:rsid w:val="004B646B"/>
    <w:rsid w:val="004B667F"/>
    <w:rsid w:val="004B6765"/>
    <w:rsid w:val="004B677A"/>
    <w:rsid w:val="004B6789"/>
    <w:rsid w:val="004B69FE"/>
    <w:rsid w:val="004B6A58"/>
    <w:rsid w:val="004B6C1F"/>
    <w:rsid w:val="004B6C6A"/>
    <w:rsid w:val="004B6D7A"/>
    <w:rsid w:val="004B6DCE"/>
    <w:rsid w:val="004B6DE8"/>
    <w:rsid w:val="004B6FEC"/>
    <w:rsid w:val="004B7114"/>
    <w:rsid w:val="004B7121"/>
    <w:rsid w:val="004B7129"/>
    <w:rsid w:val="004B7140"/>
    <w:rsid w:val="004B72A2"/>
    <w:rsid w:val="004B72E1"/>
    <w:rsid w:val="004B7407"/>
    <w:rsid w:val="004B7413"/>
    <w:rsid w:val="004B74CF"/>
    <w:rsid w:val="004B750F"/>
    <w:rsid w:val="004B77D2"/>
    <w:rsid w:val="004B7818"/>
    <w:rsid w:val="004B7827"/>
    <w:rsid w:val="004B7857"/>
    <w:rsid w:val="004B7873"/>
    <w:rsid w:val="004B791A"/>
    <w:rsid w:val="004B7AC2"/>
    <w:rsid w:val="004B7AE3"/>
    <w:rsid w:val="004B7C27"/>
    <w:rsid w:val="004C0156"/>
    <w:rsid w:val="004C0235"/>
    <w:rsid w:val="004C0320"/>
    <w:rsid w:val="004C0399"/>
    <w:rsid w:val="004C03AA"/>
    <w:rsid w:val="004C0414"/>
    <w:rsid w:val="004C042A"/>
    <w:rsid w:val="004C050B"/>
    <w:rsid w:val="004C05F1"/>
    <w:rsid w:val="004C0693"/>
    <w:rsid w:val="004C071D"/>
    <w:rsid w:val="004C078D"/>
    <w:rsid w:val="004C083F"/>
    <w:rsid w:val="004C0977"/>
    <w:rsid w:val="004C0CE6"/>
    <w:rsid w:val="004C0DAD"/>
    <w:rsid w:val="004C0E40"/>
    <w:rsid w:val="004C0E59"/>
    <w:rsid w:val="004C107A"/>
    <w:rsid w:val="004C120D"/>
    <w:rsid w:val="004C1699"/>
    <w:rsid w:val="004C18F6"/>
    <w:rsid w:val="004C1A27"/>
    <w:rsid w:val="004C1B38"/>
    <w:rsid w:val="004C1C54"/>
    <w:rsid w:val="004C1D28"/>
    <w:rsid w:val="004C1D44"/>
    <w:rsid w:val="004C1D8D"/>
    <w:rsid w:val="004C1FBC"/>
    <w:rsid w:val="004C1FC8"/>
    <w:rsid w:val="004C206C"/>
    <w:rsid w:val="004C208B"/>
    <w:rsid w:val="004C20AB"/>
    <w:rsid w:val="004C21F3"/>
    <w:rsid w:val="004C22E4"/>
    <w:rsid w:val="004C235A"/>
    <w:rsid w:val="004C2442"/>
    <w:rsid w:val="004C24D1"/>
    <w:rsid w:val="004C24F8"/>
    <w:rsid w:val="004C254D"/>
    <w:rsid w:val="004C2605"/>
    <w:rsid w:val="004C2817"/>
    <w:rsid w:val="004C2878"/>
    <w:rsid w:val="004C28F9"/>
    <w:rsid w:val="004C2AF9"/>
    <w:rsid w:val="004C2B0E"/>
    <w:rsid w:val="004C2B37"/>
    <w:rsid w:val="004C2C41"/>
    <w:rsid w:val="004C2E25"/>
    <w:rsid w:val="004C2E53"/>
    <w:rsid w:val="004C2EA2"/>
    <w:rsid w:val="004C2EEF"/>
    <w:rsid w:val="004C2FBF"/>
    <w:rsid w:val="004C3024"/>
    <w:rsid w:val="004C3121"/>
    <w:rsid w:val="004C3324"/>
    <w:rsid w:val="004C33C5"/>
    <w:rsid w:val="004C3490"/>
    <w:rsid w:val="004C34D2"/>
    <w:rsid w:val="004C363E"/>
    <w:rsid w:val="004C3A43"/>
    <w:rsid w:val="004C3A61"/>
    <w:rsid w:val="004C3AD2"/>
    <w:rsid w:val="004C3D88"/>
    <w:rsid w:val="004C3D8D"/>
    <w:rsid w:val="004C3F95"/>
    <w:rsid w:val="004C40C1"/>
    <w:rsid w:val="004C4169"/>
    <w:rsid w:val="004C419A"/>
    <w:rsid w:val="004C4457"/>
    <w:rsid w:val="004C474A"/>
    <w:rsid w:val="004C48E8"/>
    <w:rsid w:val="004C499A"/>
    <w:rsid w:val="004C4B87"/>
    <w:rsid w:val="004C4C65"/>
    <w:rsid w:val="004C4DCC"/>
    <w:rsid w:val="004C4F81"/>
    <w:rsid w:val="004C5309"/>
    <w:rsid w:val="004C5362"/>
    <w:rsid w:val="004C5390"/>
    <w:rsid w:val="004C53DE"/>
    <w:rsid w:val="004C542E"/>
    <w:rsid w:val="004C5456"/>
    <w:rsid w:val="004C5573"/>
    <w:rsid w:val="004C55B5"/>
    <w:rsid w:val="004C56E6"/>
    <w:rsid w:val="004C56ED"/>
    <w:rsid w:val="004C56F6"/>
    <w:rsid w:val="004C581E"/>
    <w:rsid w:val="004C5859"/>
    <w:rsid w:val="004C585D"/>
    <w:rsid w:val="004C590F"/>
    <w:rsid w:val="004C59C6"/>
    <w:rsid w:val="004C5A5F"/>
    <w:rsid w:val="004C5AF2"/>
    <w:rsid w:val="004C5AF3"/>
    <w:rsid w:val="004C5D4A"/>
    <w:rsid w:val="004C5F0C"/>
    <w:rsid w:val="004C5F41"/>
    <w:rsid w:val="004C601E"/>
    <w:rsid w:val="004C64E8"/>
    <w:rsid w:val="004C64EE"/>
    <w:rsid w:val="004C6529"/>
    <w:rsid w:val="004C6543"/>
    <w:rsid w:val="004C65CC"/>
    <w:rsid w:val="004C664C"/>
    <w:rsid w:val="004C66FB"/>
    <w:rsid w:val="004C6757"/>
    <w:rsid w:val="004C6A20"/>
    <w:rsid w:val="004C6A48"/>
    <w:rsid w:val="004C6AE0"/>
    <w:rsid w:val="004C6B70"/>
    <w:rsid w:val="004C6C55"/>
    <w:rsid w:val="004C6D69"/>
    <w:rsid w:val="004C6E57"/>
    <w:rsid w:val="004C6E78"/>
    <w:rsid w:val="004C6FA0"/>
    <w:rsid w:val="004C7020"/>
    <w:rsid w:val="004C7030"/>
    <w:rsid w:val="004C71D2"/>
    <w:rsid w:val="004C73AD"/>
    <w:rsid w:val="004C7469"/>
    <w:rsid w:val="004C77D4"/>
    <w:rsid w:val="004C77D8"/>
    <w:rsid w:val="004C77EA"/>
    <w:rsid w:val="004C78AD"/>
    <w:rsid w:val="004C78C0"/>
    <w:rsid w:val="004C799B"/>
    <w:rsid w:val="004C79D8"/>
    <w:rsid w:val="004C7A17"/>
    <w:rsid w:val="004C7A56"/>
    <w:rsid w:val="004C7D18"/>
    <w:rsid w:val="004C7EEF"/>
    <w:rsid w:val="004D02EE"/>
    <w:rsid w:val="004D0309"/>
    <w:rsid w:val="004D051F"/>
    <w:rsid w:val="004D078D"/>
    <w:rsid w:val="004D0853"/>
    <w:rsid w:val="004D08B1"/>
    <w:rsid w:val="004D08D0"/>
    <w:rsid w:val="004D092E"/>
    <w:rsid w:val="004D0B9C"/>
    <w:rsid w:val="004D0C39"/>
    <w:rsid w:val="004D0C77"/>
    <w:rsid w:val="004D0D1F"/>
    <w:rsid w:val="004D0D8A"/>
    <w:rsid w:val="004D0DF6"/>
    <w:rsid w:val="004D0E9F"/>
    <w:rsid w:val="004D0EF3"/>
    <w:rsid w:val="004D0F07"/>
    <w:rsid w:val="004D105C"/>
    <w:rsid w:val="004D12C7"/>
    <w:rsid w:val="004D1607"/>
    <w:rsid w:val="004D164B"/>
    <w:rsid w:val="004D1668"/>
    <w:rsid w:val="004D1677"/>
    <w:rsid w:val="004D16E9"/>
    <w:rsid w:val="004D17D0"/>
    <w:rsid w:val="004D17D8"/>
    <w:rsid w:val="004D181C"/>
    <w:rsid w:val="004D1940"/>
    <w:rsid w:val="004D199D"/>
    <w:rsid w:val="004D19C0"/>
    <w:rsid w:val="004D1B27"/>
    <w:rsid w:val="004D1BA1"/>
    <w:rsid w:val="004D1CA5"/>
    <w:rsid w:val="004D1D20"/>
    <w:rsid w:val="004D1DB1"/>
    <w:rsid w:val="004D1DCF"/>
    <w:rsid w:val="004D1DFA"/>
    <w:rsid w:val="004D1E9A"/>
    <w:rsid w:val="004D1ED0"/>
    <w:rsid w:val="004D20C0"/>
    <w:rsid w:val="004D20DC"/>
    <w:rsid w:val="004D2122"/>
    <w:rsid w:val="004D220B"/>
    <w:rsid w:val="004D2224"/>
    <w:rsid w:val="004D224A"/>
    <w:rsid w:val="004D225C"/>
    <w:rsid w:val="004D2333"/>
    <w:rsid w:val="004D23C1"/>
    <w:rsid w:val="004D25E6"/>
    <w:rsid w:val="004D2610"/>
    <w:rsid w:val="004D2632"/>
    <w:rsid w:val="004D2694"/>
    <w:rsid w:val="004D275C"/>
    <w:rsid w:val="004D2772"/>
    <w:rsid w:val="004D285C"/>
    <w:rsid w:val="004D2AD1"/>
    <w:rsid w:val="004D2D1C"/>
    <w:rsid w:val="004D2D61"/>
    <w:rsid w:val="004D2F57"/>
    <w:rsid w:val="004D2F9D"/>
    <w:rsid w:val="004D2FC6"/>
    <w:rsid w:val="004D322E"/>
    <w:rsid w:val="004D3288"/>
    <w:rsid w:val="004D32D9"/>
    <w:rsid w:val="004D366E"/>
    <w:rsid w:val="004D369C"/>
    <w:rsid w:val="004D369E"/>
    <w:rsid w:val="004D3804"/>
    <w:rsid w:val="004D38B1"/>
    <w:rsid w:val="004D3A59"/>
    <w:rsid w:val="004D3A77"/>
    <w:rsid w:val="004D3A9C"/>
    <w:rsid w:val="004D3AAD"/>
    <w:rsid w:val="004D3B1F"/>
    <w:rsid w:val="004D3B93"/>
    <w:rsid w:val="004D3D8B"/>
    <w:rsid w:val="004D3DC4"/>
    <w:rsid w:val="004D3DD2"/>
    <w:rsid w:val="004D3FA0"/>
    <w:rsid w:val="004D3FB6"/>
    <w:rsid w:val="004D4242"/>
    <w:rsid w:val="004D431E"/>
    <w:rsid w:val="004D432A"/>
    <w:rsid w:val="004D43A7"/>
    <w:rsid w:val="004D43B7"/>
    <w:rsid w:val="004D4522"/>
    <w:rsid w:val="004D4532"/>
    <w:rsid w:val="004D4534"/>
    <w:rsid w:val="004D45D8"/>
    <w:rsid w:val="004D4677"/>
    <w:rsid w:val="004D46CB"/>
    <w:rsid w:val="004D472F"/>
    <w:rsid w:val="004D47F8"/>
    <w:rsid w:val="004D4AAE"/>
    <w:rsid w:val="004D4B50"/>
    <w:rsid w:val="004D4C80"/>
    <w:rsid w:val="004D4EE7"/>
    <w:rsid w:val="004D4EF4"/>
    <w:rsid w:val="004D4F9F"/>
    <w:rsid w:val="004D4FA8"/>
    <w:rsid w:val="004D5129"/>
    <w:rsid w:val="004D5132"/>
    <w:rsid w:val="004D5138"/>
    <w:rsid w:val="004D5165"/>
    <w:rsid w:val="004D51B3"/>
    <w:rsid w:val="004D51C4"/>
    <w:rsid w:val="004D5214"/>
    <w:rsid w:val="004D52D4"/>
    <w:rsid w:val="004D53C2"/>
    <w:rsid w:val="004D53EC"/>
    <w:rsid w:val="004D5506"/>
    <w:rsid w:val="004D55A5"/>
    <w:rsid w:val="004D55FA"/>
    <w:rsid w:val="004D565D"/>
    <w:rsid w:val="004D5706"/>
    <w:rsid w:val="004D579D"/>
    <w:rsid w:val="004D595E"/>
    <w:rsid w:val="004D59BB"/>
    <w:rsid w:val="004D59C6"/>
    <w:rsid w:val="004D5A5C"/>
    <w:rsid w:val="004D5B4C"/>
    <w:rsid w:val="004D5BFE"/>
    <w:rsid w:val="004D60E8"/>
    <w:rsid w:val="004D60F3"/>
    <w:rsid w:val="004D6162"/>
    <w:rsid w:val="004D61A0"/>
    <w:rsid w:val="004D61D5"/>
    <w:rsid w:val="004D61FB"/>
    <w:rsid w:val="004D630A"/>
    <w:rsid w:val="004D64D8"/>
    <w:rsid w:val="004D65B8"/>
    <w:rsid w:val="004D6816"/>
    <w:rsid w:val="004D68C5"/>
    <w:rsid w:val="004D6A37"/>
    <w:rsid w:val="004D6ADA"/>
    <w:rsid w:val="004D6B06"/>
    <w:rsid w:val="004D6E4C"/>
    <w:rsid w:val="004D70AE"/>
    <w:rsid w:val="004D70F5"/>
    <w:rsid w:val="004D71D0"/>
    <w:rsid w:val="004D7344"/>
    <w:rsid w:val="004D7403"/>
    <w:rsid w:val="004D745D"/>
    <w:rsid w:val="004D7515"/>
    <w:rsid w:val="004D7696"/>
    <w:rsid w:val="004D76D7"/>
    <w:rsid w:val="004D7746"/>
    <w:rsid w:val="004D7750"/>
    <w:rsid w:val="004D7763"/>
    <w:rsid w:val="004D78C8"/>
    <w:rsid w:val="004D794E"/>
    <w:rsid w:val="004D7990"/>
    <w:rsid w:val="004D7C7D"/>
    <w:rsid w:val="004D7CE4"/>
    <w:rsid w:val="004D7D3D"/>
    <w:rsid w:val="004D7E05"/>
    <w:rsid w:val="004D7E25"/>
    <w:rsid w:val="004D7EAE"/>
    <w:rsid w:val="004D7EC8"/>
    <w:rsid w:val="004D7EF5"/>
    <w:rsid w:val="004D7F30"/>
    <w:rsid w:val="004E0230"/>
    <w:rsid w:val="004E0407"/>
    <w:rsid w:val="004E052E"/>
    <w:rsid w:val="004E0555"/>
    <w:rsid w:val="004E05C3"/>
    <w:rsid w:val="004E061D"/>
    <w:rsid w:val="004E0741"/>
    <w:rsid w:val="004E0785"/>
    <w:rsid w:val="004E079B"/>
    <w:rsid w:val="004E0976"/>
    <w:rsid w:val="004E09B6"/>
    <w:rsid w:val="004E0A3D"/>
    <w:rsid w:val="004E0A72"/>
    <w:rsid w:val="004E0B06"/>
    <w:rsid w:val="004E0BAD"/>
    <w:rsid w:val="004E0DA7"/>
    <w:rsid w:val="004E11F9"/>
    <w:rsid w:val="004E13ED"/>
    <w:rsid w:val="004E15EF"/>
    <w:rsid w:val="004E164C"/>
    <w:rsid w:val="004E1665"/>
    <w:rsid w:val="004E16F0"/>
    <w:rsid w:val="004E1728"/>
    <w:rsid w:val="004E1736"/>
    <w:rsid w:val="004E177B"/>
    <w:rsid w:val="004E1834"/>
    <w:rsid w:val="004E193A"/>
    <w:rsid w:val="004E19F2"/>
    <w:rsid w:val="004E1A40"/>
    <w:rsid w:val="004E1BE1"/>
    <w:rsid w:val="004E1C42"/>
    <w:rsid w:val="004E1C9E"/>
    <w:rsid w:val="004E1CA8"/>
    <w:rsid w:val="004E1D38"/>
    <w:rsid w:val="004E21B4"/>
    <w:rsid w:val="004E21D7"/>
    <w:rsid w:val="004E22DB"/>
    <w:rsid w:val="004E22F5"/>
    <w:rsid w:val="004E2390"/>
    <w:rsid w:val="004E244C"/>
    <w:rsid w:val="004E2591"/>
    <w:rsid w:val="004E2671"/>
    <w:rsid w:val="004E2713"/>
    <w:rsid w:val="004E2876"/>
    <w:rsid w:val="004E28FA"/>
    <w:rsid w:val="004E2A1D"/>
    <w:rsid w:val="004E2B96"/>
    <w:rsid w:val="004E2BCD"/>
    <w:rsid w:val="004E2F47"/>
    <w:rsid w:val="004E2F63"/>
    <w:rsid w:val="004E2FFD"/>
    <w:rsid w:val="004E33F3"/>
    <w:rsid w:val="004E349C"/>
    <w:rsid w:val="004E352F"/>
    <w:rsid w:val="004E3663"/>
    <w:rsid w:val="004E3794"/>
    <w:rsid w:val="004E38A9"/>
    <w:rsid w:val="004E39C0"/>
    <w:rsid w:val="004E3B3C"/>
    <w:rsid w:val="004E3B8F"/>
    <w:rsid w:val="004E3C32"/>
    <w:rsid w:val="004E3E6D"/>
    <w:rsid w:val="004E3E85"/>
    <w:rsid w:val="004E3EDC"/>
    <w:rsid w:val="004E3F16"/>
    <w:rsid w:val="004E3F63"/>
    <w:rsid w:val="004E3F7C"/>
    <w:rsid w:val="004E3FC6"/>
    <w:rsid w:val="004E40F4"/>
    <w:rsid w:val="004E4130"/>
    <w:rsid w:val="004E41C7"/>
    <w:rsid w:val="004E4217"/>
    <w:rsid w:val="004E4307"/>
    <w:rsid w:val="004E44C7"/>
    <w:rsid w:val="004E4659"/>
    <w:rsid w:val="004E4738"/>
    <w:rsid w:val="004E4AC1"/>
    <w:rsid w:val="004E4B50"/>
    <w:rsid w:val="004E4D7C"/>
    <w:rsid w:val="004E4E02"/>
    <w:rsid w:val="004E4EB8"/>
    <w:rsid w:val="004E4EBF"/>
    <w:rsid w:val="004E4F0C"/>
    <w:rsid w:val="004E50B6"/>
    <w:rsid w:val="004E5354"/>
    <w:rsid w:val="004E538D"/>
    <w:rsid w:val="004E5660"/>
    <w:rsid w:val="004E5690"/>
    <w:rsid w:val="004E5720"/>
    <w:rsid w:val="004E57EE"/>
    <w:rsid w:val="004E5837"/>
    <w:rsid w:val="004E5A0B"/>
    <w:rsid w:val="004E5A27"/>
    <w:rsid w:val="004E5D44"/>
    <w:rsid w:val="004E5D83"/>
    <w:rsid w:val="004E5E79"/>
    <w:rsid w:val="004E5E84"/>
    <w:rsid w:val="004E5FBD"/>
    <w:rsid w:val="004E6082"/>
    <w:rsid w:val="004E63C5"/>
    <w:rsid w:val="004E645B"/>
    <w:rsid w:val="004E64D5"/>
    <w:rsid w:val="004E6512"/>
    <w:rsid w:val="004E65C3"/>
    <w:rsid w:val="004E66E4"/>
    <w:rsid w:val="004E68E5"/>
    <w:rsid w:val="004E69DB"/>
    <w:rsid w:val="004E6B52"/>
    <w:rsid w:val="004E6BAF"/>
    <w:rsid w:val="004E6C53"/>
    <w:rsid w:val="004E6D3C"/>
    <w:rsid w:val="004E6FEA"/>
    <w:rsid w:val="004E7026"/>
    <w:rsid w:val="004E702F"/>
    <w:rsid w:val="004E70BA"/>
    <w:rsid w:val="004E71E4"/>
    <w:rsid w:val="004E7219"/>
    <w:rsid w:val="004E7536"/>
    <w:rsid w:val="004E7543"/>
    <w:rsid w:val="004E7560"/>
    <w:rsid w:val="004E7610"/>
    <w:rsid w:val="004E77C5"/>
    <w:rsid w:val="004E792B"/>
    <w:rsid w:val="004E7965"/>
    <w:rsid w:val="004E7975"/>
    <w:rsid w:val="004E7989"/>
    <w:rsid w:val="004E798E"/>
    <w:rsid w:val="004E7E2D"/>
    <w:rsid w:val="004E7EE5"/>
    <w:rsid w:val="004F0048"/>
    <w:rsid w:val="004F01C2"/>
    <w:rsid w:val="004F05DE"/>
    <w:rsid w:val="004F0671"/>
    <w:rsid w:val="004F06CD"/>
    <w:rsid w:val="004F0748"/>
    <w:rsid w:val="004F0749"/>
    <w:rsid w:val="004F074F"/>
    <w:rsid w:val="004F07D9"/>
    <w:rsid w:val="004F083F"/>
    <w:rsid w:val="004F08A7"/>
    <w:rsid w:val="004F0973"/>
    <w:rsid w:val="004F09A0"/>
    <w:rsid w:val="004F0AF7"/>
    <w:rsid w:val="004F0BCA"/>
    <w:rsid w:val="004F0C54"/>
    <w:rsid w:val="004F0D37"/>
    <w:rsid w:val="004F0E16"/>
    <w:rsid w:val="004F0E35"/>
    <w:rsid w:val="004F0F20"/>
    <w:rsid w:val="004F0FA5"/>
    <w:rsid w:val="004F0FD0"/>
    <w:rsid w:val="004F109F"/>
    <w:rsid w:val="004F10C1"/>
    <w:rsid w:val="004F11DD"/>
    <w:rsid w:val="004F12FE"/>
    <w:rsid w:val="004F136E"/>
    <w:rsid w:val="004F14B5"/>
    <w:rsid w:val="004F15AD"/>
    <w:rsid w:val="004F1779"/>
    <w:rsid w:val="004F17A8"/>
    <w:rsid w:val="004F17EF"/>
    <w:rsid w:val="004F1950"/>
    <w:rsid w:val="004F1C39"/>
    <w:rsid w:val="004F1F02"/>
    <w:rsid w:val="004F1F5A"/>
    <w:rsid w:val="004F2027"/>
    <w:rsid w:val="004F204E"/>
    <w:rsid w:val="004F2060"/>
    <w:rsid w:val="004F221D"/>
    <w:rsid w:val="004F2281"/>
    <w:rsid w:val="004F230A"/>
    <w:rsid w:val="004F2586"/>
    <w:rsid w:val="004F2693"/>
    <w:rsid w:val="004F26C5"/>
    <w:rsid w:val="004F288F"/>
    <w:rsid w:val="004F2959"/>
    <w:rsid w:val="004F29DB"/>
    <w:rsid w:val="004F2ABC"/>
    <w:rsid w:val="004F2AD8"/>
    <w:rsid w:val="004F2B14"/>
    <w:rsid w:val="004F2B76"/>
    <w:rsid w:val="004F2BF9"/>
    <w:rsid w:val="004F2C69"/>
    <w:rsid w:val="004F2C6B"/>
    <w:rsid w:val="004F2D0D"/>
    <w:rsid w:val="004F2D56"/>
    <w:rsid w:val="004F2DBA"/>
    <w:rsid w:val="004F2E8A"/>
    <w:rsid w:val="004F300D"/>
    <w:rsid w:val="004F3046"/>
    <w:rsid w:val="004F3099"/>
    <w:rsid w:val="004F321A"/>
    <w:rsid w:val="004F326D"/>
    <w:rsid w:val="004F33CA"/>
    <w:rsid w:val="004F3899"/>
    <w:rsid w:val="004F38D8"/>
    <w:rsid w:val="004F38F2"/>
    <w:rsid w:val="004F390D"/>
    <w:rsid w:val="004F3B03"/>
    <w:rsid w:val="004F3B3C"/>
    <w:rsid w:val="004F3BE4"/>
    <w:rsid w:val="004F3CCB"/>
    <w:rsid w:val="004F3D62"/>
    <w:rsid w:val="004F3D81"/>
    <w:rsid w:val="004F3DE6"/>
    <w:rsid w:val="004F3E0F"/>
    <w:rsid w:val="004F3FC0"/>
    <w:rsid w:val="004F4023"/>
    <w:rsid w:val="004F40E6"/>
    <w:rsid w:val="004F4240"/>
    <w:rsid w:val="004F4302"/>
    <w:rsid w:val="004F432E"/>
    <w:rsid w:val="004F43D4"/>
    <w:rsid w:val="004F4625"/>
    <w:rsid w:val="004F46D2"/>
    <w:rsid w:val="004F474C"/>
    <w:rsid w:val="004F487B"/>
    <w:rsid w:val="004F48A9"/>
    <w:rsid w:val="004F4AFA"/>
    <w:rsid w:val="004F4B07"/>
    <w:rsid w:val="004F4C3A"/>
    <w:rsid w:val="004F4D06"/>
    <w:rsid w:val="004F4E66"/>
    <w:rsid w:val="004F4EA6"/>
    <w:rsid w:val="004F4EA8"/>
    <w:rsid w:val="004F502B"/>
    <w:rsid w:val="004F5036"/>
    <w:rsid w:val="004F527E"/>
    <w:rsid w:val="004F5289"/>
    <w:rsid w:val="004F5305"/>
    <w:rsid w:val="004F5463"/>
    <w:rsid w:val="004F5530"/>
    <w:rsid w:val="004F5679"/>
    <w:rsid w:val="004F56CF"/>
    <w:rsid w:val="004F579F"/>
    <w:rsid w:val="004F5994"/>
    <w:rsid w:val="004F5A9D"/>
    <w:rsid w:val="004F5C88"/>
    <w:rsid w:val="004F5C9D"/>
    <w:rsid w:val="004F5D85"/>
    <w:rsid w:val="004F5DE5"/>
    <w:rsid w:val="004F5E18"/>
    <w:rsid w:val="004F5EE7"/>
    <w:rsid w:val="004F5F50"/>
    <w:rsid w:val="004F5F5F"/>
    <w:rsid w:val="004F6230"/>
    <w:rsid w:val="004F6373"/>
    <w:rsid w:val="004F63DA"/>
    <w:rsid w:val="004F63F6"/>
    <w:rsid w:val="004F649A"/>
    <w:rsid w:val="004F64C7"/>
    <w:rsid w:val="004F65C6"/>
    <w:rsid w:val="004F6608"/>
    <w:rsid w:val="004F6646"/>
    <w:rsid w:val="004F6758"/>
    <w:rsid w:val="004F6973"/>
    <w:rsid w:val="004F69C0"/>
    <w:rsid w:val="004F6A19"/>
    <w:rsid w:val="004F6A72"/>
    <w:rsid w:val="004F6ACF"/>
    <w:rsid w:val="004F6B41"/>
    <w:rsid w:val="004F6B57"/>
    <w:rsid w:val="004F6E6D"/>
    <w:rsid w:val="004F6E7A"/>
    <w:rsid w:val="004F6E93"/>
    <w:rsid w:val="004F6EB5"/>
    <w:rsid w:val="004F6EC7"/>
    <w:rsid w:val="004F710C"/>
    <w:rsid w:val="004F71C3"/>
    <w:rsid w:val="004F7203"/>
    <w:rsid w:val="004F7234"/>
    <w:rsid w:val="004F7268"/>
    <w:rsid w:val="004F73A1"/>
    <w:rsid w:val="004F740F"/>
    <w:rsid w:val="004F7433"/>
    <w:rsid w:val="004F753A"/>
    <w:rsid w:val="004F7561"/>
    <w:rsid w:val="004F75D9"/>
    <w:rsid w:val="004F7840"/>
    <w:rsid w:val="004F7936"/>
    <w:rsid w:val="004F7944"/>
    <w:rsid w:val="004F799E"/>
    <w:rsid w:val="004F79C3"/>
    <w:rsid w:val="004F7C74"/>
    <w:rsid w:val="004F7E43"/>
    <w:rsid w:val="004F7F30"/>
    <w:rsid w:val="004F7F7B"/>
    <w:rsid w:val="004F7FF9"/>
    <w:rsid w:val="005000CC"/>
    <w:rsid w:val="00500141"/>
    <w:rsid w:val="0050022D"/>
    <w:rsid w:val="0050023E"/>
    <w:rsid w:val="00500257"/>
    <w:rsid w:val="005003D1"/>
    <w:rsid w:val="00500422"/>
    <w:rsid w:val="00500534"/>
    <w:rsid w:val="0050058F"/>
    <w:rsid w:val="005006AE"/>
    <w:rsid w:val="00500748"/>
    <w:rsid w:val="00500846"/>
    <w:rsid w:val="00500919"/>
    <w:rsid w:val="005009A1"/>
    <w:rsid w:val="00500CC2"/>
    <w:rsid w:val="00500CFE"/>
    <w:rsid w:val="00500E54"/>
    <w:rsid w:val="00500F59"/>
    <w:rsid w:val="00500F63"/>
    <w:rsid w:val="005010C0"/>
    <w:rsid w:val="0050122B"/>
    <w:rsid w:val="00501298"/>
    <w:rsid w:val="00501424"/>
    <w:rsid w:val="00501432"/>
    <w:rsid w:val="005014A4"/>
    <w:rsid w:val="005017FC"/>
    <w:rsid w:val="0050184E"/>
    <w:rsid w:val="00501886"/>
    <w:rsid w:val="005018A5"/>
    <w:rsid w:val="005018E0"/>
    <w:rsid w:val="005018FA"/>
    <w:rsid w:val="0050195A"/>
    <w:rsid w:val="005019A4"/>
    <w:rsid w:val="00501BDD"/>
    <w:rsid w:val="00501D22"/>
    <w:rsid w:val="00501DDC"/>
    <w:rsid w:val="00501ED4"/>
    <w:rsid w:val="00502042"/>
    <w:rsid w:val="00502184"/>
    <w:rsid w:val="005022A5"/>
    <w:rsid w:val="005022BF"/>
    <w:rsid w:val="0050243E"/>
    <w:rsid w:val="00502468"/>
    <w:rsid w:val="0050269B"/>
    <w:rsid w:val="00502709"/>
    <w:rsid w:val="005027B4"/>
    <w:rsid w:val="005027B5"/>
    <w:rsid w:val="005027C1"/>
    <w:rsid w:val="00502801"/>
    <w:rsid w:val="005028DE"/>
    <w:rsid w:val="00502A02"/>
    <w:rsid w:val="00502B08"/>
    <w:rsid w:val="00502B0F"/>
    <w:rsid w:val="00502B7A"/>
    <w:rsid w:val="00502BDE"/>
    <w:rsid w:val="00502C5A"/>
    <w:rsid w:val="00502E75"/>
    <w:rsid w:val="00502EBF"/>
    <w:rsid w:val="00503235"/>
    <w:rsid w:val="0050335E"/>
    <w:rsid w:val="00503405"/>
    <w:rsid w:val="00503492"/>
    <w:rsid w:val="0050361D"/>
    <w:rsid w:val="00503679"/>
    <w:rsid w:val="00503755"/>
    <w:rsid w:val="005038E8"/>
    <w:rsid w:val="0050395B"/>
    <w:rsid w:val="00503A53"/>
    <w:rsid w:val="00503B01"/>
    <w:rsid w:val="00503B27"/>
    <w:rsid w:val="00503BB1"/>
    <w:rsid w:val="00503BEE"/>
    <w:rsid w:val="00503CA2"/>
    <w:rsid w:val="00503D3C"/>
    <w:rsid w:val="00503D95"/>
    <w:rsid w:val="00503DF8"/>
    <w:rsid w:val="00503E24"/>
    <w:rsid w:val="00503E85"/>
    <w:rsid w:val="00503FA4"/>
    <w:rsid w:val="0050419A"/>
    <w:rsid w:val="00504227"/>
    <w:rsid w:val="0050426B"/>
    <w:rsid w:val="00504287"/>
    <w:rsid w:val="005042D1"/>
    <w:rsid w:val="00504348"/>
    <w:rsid w:val="005043BC"/>
    <w:rsid w:val="00504432"/>
    <w:rsid w:val="0050452B"/>
    <w:rsid w:val="00504586"/>
    <w:rsid w:val="005046AA"/>
    <w:rsid w:val="0050479D"/>
    <w:rsid w:val="0050484A"/>
    <w:rsid w:val="00504A82"/>
    <w:rsid w:val="00504B02"/>
    <w:rsid w:val="00504BA5"/>
    <w:rsid w:val="00504BA8"/>
    <w:rsid w:val="00504C42"/>
    <w:rsid w:val="00504CA1"/>
    <w:rsid w:val="00505095"/>
    <w:rsid w:val="00505224"/>
    <w:rsid w:val="00505266"/>
    <w:rsid w:val="005053A5"/>
    <w:rsid w:val="005054FB"/>
    <w:rsid w:val="0050556B"/>
    <w:rsid w:val="0050562F"/>
    <w:rsid w:val="005056A5"/>
    <w:rsid w:val="0050575B"/>
    <w:rsid w:val="005057D7"/>
    <w:rsid w:val="0050585C"/>
    <w:rsid w:val="005058BE"/>
    <w:rsid w:val="00505C91"/>
    <w:rsid w:val="00505E6C"/>
    <w:rsid w:val="00505ECA"/>
    <w:rsid w:val="00505EFD"/>
    <w:rsid w:val="00505F60"/>
    <w:rsid w:val="00505F68"/>
    <w:rsid w:val="005060BD"/>
    <w:rsid w:val="00506633"/>
    <w:rsid w:val="00506689"/>
    <w:rsid w:val="0050694A"/>
    <w:rsid w:val="0050697A"/>
    <w:rsid w:val="005069B4"/>
    <w:rsid w:val="005069FE"/>
    <w:rsid w:val="00506B07"/>
    <w:rsid w:val="00506B40"/>
    <w:rsid w:val="00506C2D"/>
    <w:rsid w:val="00506C6E"/>
    <w:rsid w:val="00506CA6"/>
    <w:rsid w:val="00506D67"/>
    <w:rsid w:val="005070F6"/>
    <w:rsid w:val="00507294"/>
    <w:rsid w:val="00507350"/>
    <w:rsid w:val="00507353"/>
    <w:rsid w:val="005073F7"/>
    <w:rsid w:val="005074A2"/>
    <w:rsid w:val="005074B5"/>
    <w:rsid w:val="00507632"/>
    <w:rsid w:val="00507702"/>
    <w:rsid w:val="00507742"/>
    <w:rsid w:val="00507787"/>
    <w:rsid w:val="0050778F"/>
    <w:rsid w:val="005078D7"/>
    <w:rsid w:val="005079A1"/>
    <w:rsid w:val="005079B6"/>
    <w:rsid w:val="005079FB"/>
    <w:rsid w:val="00507A94"/>
    <w:rsid w:val="00507BA3"/>
    <w:rsid w:val="00507C2E"/>
    <w:rsid w:val="00507C97"/>
    <w:rsid w:val="00507D80"/>
    <w:rsid w:val="00507E50"/>
    <w:rsid w:val="00507E83"/>
    <w:rsid w:val="00510018"/>
    <w:rsid w:val="0051017E"/>
    <w:rsid w:val="00510228"/>
    <w:rsid w:val="005103A1"/>
    <w:rsid w:val="00510468"/>
    <w:rsid w:val="0051046B"/>
    <w:rsid w:val="0051047B"/>
    <w:rsid w:val="00510574"/>
    <w:rsid w:val="005105C1"/>
    <w:rsid w:val="00510693"/>
    <w:rsid w:val="005107F3"/>
    <w:rsid w:val="00510849"/>
    <w:rsid w:val="005108B2"/>
    <w:rsid w:val="0051093C"/>
    <w:rsid w:val="00510B2B"/>
    <w:rsid w:val="00510B66"/>
    <w:rsid w:val="00510B76"/>
    <w:rsid w:val="00510BF7"/>
    <w:rsid w:val="00510D2E"/>
    <w:rsid w:val="00510D8F"/>
    <w:rsid w:val="00510E6C"/>
    <w:rsid w:val="00511065"/>
    <w:rsid w:val="0051106C"/>
    <w:rsid w:val="005110A3"/>
    <w:rsid w:val="0051113D"/>
    <w:rsid w:val="00511354"/>
    <w:rsid w:val="005113AE"/>
    <w:rsid w:val="0051157D"/>
    <w:rsid w:val="00511666"/>
    <w:rsid w:val="005116A1"/>
    <w:rsid w:val="005117ED"/>
    <w:rsid w:val="00511918"/>
    <w:rsid w:val="00511956"/>
    <w:rsid w:val="00511972"/>
    <w:rsid w:val="0051198B"/>
    <w:rsid w:val="00511AEC"/>
    <w:rsid w:val="00511C30"/>
    <w:rsid w:val="00511CC9"/>
    <w:rsid w:val="00511D4A"/>
    <w:rsid w:val="00511E72"/>
    <w:rsid w:val="00511E93"/>
    <w:rsid w:val="00511EF0"/>
    <w:rsid w:val="00511F0A"/>
    <w:rsid w:val="00511F9F"/>
    <w:rsid w:val="00512008"/>
    <w:rsid w:val="005120EE"/>
    <w:rsid w:val="005124C2"/>
    <w:rsid w:val="005125EA"/>
    <w:rsid w:val="005127A7"/>
    <w:rsid w:val="00512808"/>
    <w:rsid w:val="005129DB"/>
    <w:rsid w:val="00512A06"/>
    <w:rsid w:val="00512A37"/>
    <w:rsid w:val="00512AC7"/>
    <w:rsid w:val="00512E07"/>
    <w:rsid w:val="00512ED8"/>
    <w:rsid w:val="00512F0E"/>
    <w:rsid w:val="00512F3C"/>
    <w:rsid w:val="00513062"/>
    <w:rsid w:val="00513093"/>
    <w:rsid w:val="005131CE"/>
    <w:rsid w:val="005132D8"/>
    <w:rsid w:val="0051344F"/>
    <w:rsid w:val="005136D6"/>
    <w:rsid w:val="00513AE3"/>
    <w:rsid w:val="00513CF7"/>
    <w:rsid w:val="00513D90"/>
    <w:rsid w:val="00513F3C"/>
    <w:rsid w:val="00513F4A"/>
    <w:rsid w:val="00514009"/>
    <w:rsid w:val="0051401E"/>
    <w:rsid w:val="00514233"/>
    <w:rsid w:val="005142A6"/>
    <w:rsid w:val="005142DA"/>
    <w:rsid w:val="005142EF"/>
    <w:rsid w:val="00514311"/>
    <w:rsid w:val="00514401"/>
    <w:rsid w:val="0051458F"/>
    <w:rsid w:val="005145E1"/>
    <w:rsid w:val="005146D0"/>
    <w:rsid w:val="00514734"/>
    <w:rsid w:val="0051488B"/>
    <w:rsid w:val="00514912"/>
    <w:rsid w:val="00514916"/>
    <w:rsid w:val="00514956"/>
    <w:rsid w:val="005149AB"/>
    <w:rsid w:val="00514AB4"/>
    <w:rsid w:val="00514EC4"/>
    <w:rsid w:val="00515054"/>
    <w:rsid w:val="0051506E"/>
    <w:rsid w:val="005150E4"/>
    <w:rsid w:val="0051529D"/>
    <w:rsid w:val="005152C7"/>
    <w:rsid w:val="00515301"/>
    <w:rsid w:val="00515396"/>
    <w:rsid w:val="005153D8"/>
    <w:rsid w:val="005154C2"/>
    <w:rsid w:val="0051586F"/>
    <w:rsid w:val="0051589C"/>
    <w:rsid w:val="00515A37"/>
    <w:rsid w:val="00515B5A"/>
    <w:rsid w:val="00515C17"/>
    <w:rsid w:val="00515DA8"/>
    <w:rsid w:val="00515DD8"/>
    <w:rsid w:val="00515E8E"/>
    <w:rsid w:val="00515F1E"/>
    <w:rsid w:val="00515FEA"/>
    <w:rsid w:val="0051604C"/>
    <w:rsid w:val="005160A2"/>
    <w:rsid w:val="005160EF"/>
    <w:rsid w:val="00516133"/>
    <w:rsid w:val="005162BF"/>
    <w:rsid w:val="00516332"/>
    <w:rsid w:val="00516481"/>
    <w:rsid w:val="0051667C"/>
    <w:rsid w:val="00516764"/>
    <w:rsid w:val="0051684F"/>
    <w:rsid w:val="00516851"/>
    <w:rsid w:val="005168F6"/>
    <w:rsid w:val="0051695C"/>
    <w:rsid w:val="00516AF5"/>
    <w:rsid w:val="00516CBE"/>
    <w:rsid w:val="00516E56"/>
    <w:rsid w:val="00517043"/>
    <w:rsid w:val="005170C2"/>
    <w:rsid w:val="005171E3"/>
    <w:rsid w:val="00517237"/>
    <w:rsid w:val="005172ED"/>
    <w:rsid w:val="0051754D"/>
    <w:rsid w:val="00517633"/>
    <w:rsid w:val="005177D4"/>
    <w:rsid w:val="00517865"/>
    <w:rsid w:val="00517946"/>
    <w:rsid w:val="00517AAD"/>
    <w:rsid w:val="00517B27"/>
    <w:rsid w:val="00517EE2"/>
    <w:rsid w:val="00517F3B"/>
    <w:rsid w:val="00520060"/>
    <w:rsid w:val="00520295"/>
    <w:rsid w:val="005203C4"/>
    <w:rsid w:val="00520405"/>
    <w:rsid w:val="0052043F"/>
    <w:rsid w:val="0052047F"/>
    <w:rsid w:val="005204E4"/>
    <w:rsid w:val="00520561"/>
    <w:rsid w:val="00520631"/>
    <w:rsid w:val="00520633"/>
    <w:rsid w:val="00520788"/>
    <w:rsid w:val="005208CE"/>
    <w:rsid w:val="00520913"/>
    <w:rsid w:val="00520A61"/>
    <w:rsid w:val="00520D0D"/>
    <w:rsid w:val="00520DDD"/>
    <w:rsid w:val="0052101A"/>
    <w:rsid w:val="00521120"/>
    <w:rsid w:val="005219AC"/>
    <w:rsid w:val="00521A2B"/>
    <w:rsid w:val="00521A7B"/>
    <w:rsid w:val="00521A7D"/>
    <w:rsid w:val="00521B63"/>
    <w:rsid w:val="00521D1F"/>
    <w:rsid w:val="00521D4E"/>
    <w:rsid w:val="00521E0E"/>
    <w:rsid w:val="00521EE0"/>
    <w:rsid w:val="00521F35"/>
    <w:rsid w:val="00522191"/>
    <w:rsid w:val="00522258"/>
    <w:rsid w:val="00522267"/>
    <w:rsid w:val="005223BA"/>
    <w:rsid w:val="005225A8"/>
    <w:rsid w:val="005225B9"/>
    <w:rsid w:val="0052272F"/>
    <w:rsid w:val="005227AD"/>
    <w:rsid w:val="00522A0C"/>
    <w:rsid w:val="00522AB4"/>
    <w:rsid w:val="00522ABE"/>
    <w:rsid w:val="00522C4D"/>
    <w:rsid w:val="00522CF3"/>
    <w:rsid w:val="00522E93"/>
    <w:rsid w:val="00522EC9"/>
    <w:rsid w:val="00522F5D"/>
    <w:rsid w:val="00522F6A"/>
    <w:rsid w:val="00523198"/>
    <w:rsid w:val="00523407"/>
    <w:rsid w:val="0052347D"/>
    <w:rsid w:val="00523538"/>
    <w:rsid w:val="005236CE"/>
    <w:rsid w:val="00523740"/>
    <w:rsid w:val="005237B8"/>
    <w:rsid w:val="005237ED"/>
    <w:rsid w:val="005238A2"/>
    <w:rsid w:val="005238D6"/>
    <w:rsid w:val="00523972"/>
    <w:rsid w:val="00523B9C"/>
    <w:rsid w:val="00523BA2"/>
    <w:rsid w:val="00523C7C"/>
    <w:rsid w:val="00523D10"/>
    <w:rsid w:val="00523D1C"/>
    <w:rsid w:val="00523F5E"/>
    <w:rsid w:val="00523FD3"/>
    <w:rsid w:val="00524084"/>
    <w:rsid w:val="0052410E"/>
    <w:rsid w:val="0052414C"/>
    <w:rsid w:val="005241AF"/>
    <w:rsid w:val="005241F1"/>
    <w:rsid w:val="005242CA"/>
    <w:rsid w:val="005243B4"/>
    <w:rsid w:val="005243D3"/>
    <w:rsid w:val="0052448C"/>
    <w:rsid w:val="005246A3"/>
    <w:rsid w:val="00524750"/>
    <w:rsid w:val="0052490A"/>
    <w:rsid w:val="00524B51"/>
    <w:rsid w:val="00524C29"/>
    <w:rsid w:val="00524C36"/>
    <w:rsid w:val="00524C85"/>
    <w:rsid w:val="00524CEE"/>
    <w:rsid w:val="00524D0C"/>
    <w:rsid w:val="00524D19"/>
    <w:rsid w:val="00524DED"/>
    <w:rsid w:val="00524E6A"/>
    <w:rsid w:val="00524F3E"/>
    <w:rsid w:val="005254F5"/>
    <w:rsid w:val="0052558E"/>
    <w:rsid w:val="0052562B"/>
    <w:rsid w:val="00525692"/>
    <w:rsid w:val="00525704"/>
    <w:rsid w:val="00525AFA"/>
    <w:rsid w:val="00525BAB"/>
    <w:rsid w:val="00525BD8"/>
    <w:rsid w:val="00525BD9"/>
    <w:rsid w:val="00525C33"/>
    <w:rsid w:val="00525E05"/>
    <w:rsid w:val="00525E20"/>
    <w:rsid w:val="00525F12"/>
    <w:rsid w:val="00525F21"/>
    <w:rsid w:val="00525F5F"/>
    <w:rsid w:val="00525F79"/>
    <w:rsid w:val="00526011"/>
    <w:rsid w:val="005260DA"/>
    <w:rsid w:val="00526121"/>
    <w:rsid w:val="00526156"/>
    <w:rsid w:val="00526163"/>
    <w:rsid w:val="00526243"/>
    <w:rsid w:val="005264D8"/>
    <w:rsid w:val="00526565"/>
    <w:rsid w:val="0052659F"/>
    <w:rsid w:val="00526674"/>
    <w:rsid w:val="0052671D"/>
    <w:rsid w:val="0052671F"/>
    <w:rsid w:val="00526A44"/>
    <w:rsid w:val="00526ACE"/>
    <w:rsid w:val="00526AD8"/>
    <w:rsid w:val="00526C1E"/>
    <w:rsid w:val="00526DA8"/>
    <w:rsid w:val="00526E44"/>
    <w:rsid w:val="00526E8D"/>
    <w:rsid w:val="00526E92"/>
    <w:rsid w:val="00526FC8"/>
    <w:rsid w:val="00527017"/>
    <w:rsid w:val="005270AD"/>
    <w:rsid w:val="0052737E"/>
    <w:rsid w:val="00527419"/>
    <w:rsid w:val="005274B0"/>
    <w:rsid w:val="005274F5"/>
    <w:rsid w:val="00527541"/>
    <w:rsid w:val="00527546"/>
    <w:rsid w:val="00527592"/>
    <w:rsid w:val="005275D9"/>
    <w:rsid w:val="00527672"/>
    <w:rsid w:val="00527697"/>
    <w:rsid w:val="00527A98"/>
    <w:rsid w:val="00527B22"/>
    <w:rsid w:val="00527B2D"/>
    <w:rsid w:val="00527E5D"/>
    <w:rsid w:val="00527EA2"/>
    <w:rsid w:val="00527FAB"/>
    <w:rsid w:val="00530061"/>
    <w:rsid w:val="0053009E"/>
    <w:rsid w:val="00530145"/>
    <w:rsid w:val="005301A4"/>
    <w:rsid w:val="0053021A"/>
    <w:rsid w:val="005303A4"/>
    <w:rsid w:val="0053046D"/>
    <w:rsid w:val="005304B5"/>
    <w:rsid w:val="005304E7"/>
    <w:rsid w:val="00530556"/>
    <w:rsid w:val="00530636"/>
    <w:rsid w:val="00530907"/>
    <w:rsid w:val="00530A59"/>
    <w:rsid w:val="00530AA2"/>
    <w:rsid w:val="00530EAB"/>
    <w:rsid w:val="00530F12"/>
    <w:rsid w:val="00530F32"/>
    <w:rsid w:val="00531099"/>
    <w:rsid w:val="00531332"/>
    <w:rsid w:val="00531378"/>
    <w:rsid w:val="005313DD"/>
    <w:rsid w:val="00531418"/>
    <w:rsid w:val="005317A7"/>
    <w:rsid w:val="005317EB"/>
    <w:rsid w:val="0053195C"/>
    <w:rsid w:val="00531A83"/>
    <w:rsid w:val="00531B83"/>
    <w:rsid w:val="00531B8E"/>
    <w:rsid w:val="00531CC0"/>
    <w:rsid w:val="00531DD6"/>
    <w:rsid w:val="00531E8D"/>
    <w:rsid w:val="00531EC0"/>
    <w:rsid w:val="00531FB9"/>
    <w:rsid w:val="00531FBB"/>
    <w:rsid w:val="00531FDB"/>
    <w:rsid w:val="00532081"/>
    <w:rsid w:val="0053217D"/>
    <w:rsid w:val="005321C7"/>
    <w:rsid w:val="00532261"/>
    <w:rsid w:val="005323D0"/>
    <w:rsid w:val="005323D3"/>
    <w:rsid w:val="005324CB"/>
    <w:rsid w:val="0053250D"/>
    <w:rsid w:val="005325CB"/>
    <w:rsid w:val="005327B8"/>
    <w:rsid w:val="005328C4"/>
    <w:rsid w:val="005329A0"/>
    <w:rsid w:val="00532AF9"/>
    <w:rsid w:val="00532B0B"/>
    <w:rsid w:val="00532B1A"/>
    <w:rsid w:val="00532C9A"/>
    <w:rsid w:val="00532CC8"/>
    <w:rsid w:val="00532D96"/>
    <w:rsid w:val="00532E3A"/>
    <w:rsid w:val="00532ECD"/>
    <w:rsid w:val="00532F53"/>
    <w:rsid w:val="0053306D"/>
    <w:rsid w:val="005330A4"/>
    <w:rsid w:val="005330E4"/>
    <w:rsid w:val="00533139"/>
    <w:rsid w:val="00533190"/>
    <w:rsid w:val="005331CB"/>
    <w:rsid w:val="005331D9"/>
    <w:rsid w:val="005332F1"/>
    <w:rsid w:val="00533460"/>
    <w:rsid w:val="0053349F"/>
    <w:rsid w:val="005336DA"/>
    <w:rsid w:val="0053380A"/>
    <w:rsid w:val="0053388C"/>
    <w:rsid w:val="00533953"/>
    <w:rsid w:val="00533978"/>
    <w:rsid w:val="00533C83"/>
    <w:rsid w:val="00533D3E"/>
    <w:rsid w:val="00533DB5"/>
    <w:rsid w:val="00533F94"/>
    <w:rsid w:val="00534248"/>
    <w:rsid w:val="00534273"/>
    <w:rsid w:val="0053431C"/>
    <w:rsid w:val="00534493"/>
    <w:rsid w:val="005345F4"/>
    <w:rsid w:val="005346D4"/>
    <w:rsid w:val="00534959"/>
    <w:rsid w:val="00534A1D"/>
    <w:rsid w:val="00534ACF"/>
    <w:rsid w:val="00534B93"/>
    <w:rsid w:val="00534D7C"/>
    <w:rsid w:val="00534E92"/>
    <w:rsid w:val="00534EA8"/>
    <w:rsid w:val="00534EC5"/>
    <w:rsid w:val="00535040"/>
    <w:rsid w:val="00535120"/>
    <w:rsid w:val="00535325"/>
    <w:rsid w:val="0053534D"/>
    <w:rsid w:val="00535573"/>
    <w:rsid w:val="005357B4"/>
    <w:rsid w:val="005359A3"/>
    <w:rsid w:val="00535B66"/>
    <w:rsid w:val="00535C0E"/>
    <w:rsid w:val="00535C36"/>
    <w:rsid w:val="00535C51"/>
    <w:rsid w:val="00535D20"/>
    <w:rsid w:val="00535DA6"/>
    <w:rsid w:val="00535E70"/>
    <w:rsid w:val="00535F51"/>
    <w:rsid w:val="00535F5D"/>
    <w:rsid w:val="00536043"/>
    <w:rsid w:val="0053604F"/>
    <w:rsid w:val="0053629B"/>
    <w:rsid w:val="0053630F"/>
    <w:rsid w:val="005363E2"/>
    <w:rsid w:val="0053648E"/>
    <w:rsid w:val="005364E8"/>
    <w:rsid w:val="00536556"/>
    <w:rsid w:val="0053655D"/>
    <w:rsid w:val="00536626"/>
    <w:rsid w:val="00536699"/>
    <w:rsid w:val="005369D4"/>
    <w:rsid w:val="00536A05"/>
    <w:rsid w:val="00536A4C"/>
    <w:rsid w:val="00536AAF"/>
    <w:rsid w:val="00536DE2"/>
    <w:rsid w:val="00536DFA"/>
    <w:rsid w:val="00536E24"/>
    <w:rsid w:val="00536ED1"/>
    <w:rsid w:val="00536F1D"/>
    <w:rsid w:val="00536F32"/>
    <w:rsid w:val="00536FD9"/>
    <w:rsid w:val="005370F1"/>
    <w:rsid w:val="00537213"/>
    <w:rsid w:val="00537238"/>
    <w:rsid w:val="00537339"/>
    <w:rsid w:val="0053739A"/>
    <w:rsid w:val="005374F3"/>
    <w:rsid w:val="0053750C"/>
    <w:rsid w:val="00537542"/>
    <w:rsid w:val="00537593"/>
    <w:rsid w:val="00537624"/>
    <w:rsid w:val="00537695"/>
    <w:rsid w:val="005376B2"/>
    <w:rsid w:val="005376CC"/>
    <w:rsid w:val="005377BD"/>
    <w:rsid w:val="005377C2"/>
    <w:rsid w:val="00537847"/>
    <w:rsid w:val="005378B9"/>
    <w:rsid w:val="00537905"/>
    <w:rsid w:val="005379B7"/>
    <w:rsid w:val="005379DE"/>
    <w:rsid w:val="005379EE"/>
    <w:rsid w:val="00537A0D"/>
    <w:rsid w:val="00537A1F"/>
    <w:rsid w:val="00537AEC"/>
    <w:rsid w:val="00537B5D"/>
    <w:rsid w:val="00537BFF"/>
    <w:rsid w:val="00537F6E"/>
    <w:rsid w:val="00537F8E"/>
    <w:rsid w:val="00537FB4"/>
    <w:rsid w:val="00540084"/>
    <w:rsid w:val="0054018B"/>
    <w:rsid w:val="005401F8"/>
    <w:rsid w:val="0054031A"/>
    <w:rsid w:val="00540385"/>
    <w:rsid w:val="005403D2"/>
    <w:rsid w:val="005403DE"/>
    <w:rsid w:val="005403E7"/>
    <w:rsid w:val="0054096A"/>
    <w:rsid w:val="005409B2"/>
    <w:rsid w:val="00540A1F"/>
    <w:rsid w:val="00540C03"/>
    <w:rsid w:val="00540D1E"/>
    <w:rsid w:val="00540E77"/>
    <w:rsid w:val="00540EFD"/>
    <w:rsid w:val="00541060"/>
    <w:rsid w:val="005411B7"/>
    <w:rsid w:val="00541409"/>
    <w:rsid w:val="0054143F"/>
    <w:rsid w:val="005414F0"/>
    <w:rsid w:val="005415E2"/>
    <w:rsid w:val="005415F5"/>
    <w:rsid w:val="00541661"/>
    <w:rsid w:val="00541778"/>
    <w:rsid w:val="00541980"/>
    <w:rsid w:val="005419C4"/>
    <w:rsid w:val="00541AAD"/>
    <w:rsid w:val="00541CB5"/>
    <w:rsid w:val="00541CD7"/>
    <w:rsid w:val="00541D8F"/>
    <w:rsid w:val="00541DB1"/>
    <w:rsid w:val="00541ED6"/>
    <w:rsid w:val="00541EF4"/>
    <w:rsid w:val="00541F27"/>
    <w:rsid w:val="00541FBB"/>
    <w:rsid w:val="00541FEC"/>
    <w:rsid w:val="005420A6"/>
    <w:rsid w:val="00542132"/>
    <w:rsid w:val="00542179"/>
    <w:rsid w:val="005421CF"/>
    <w:rsid w:val="0054228B"/>
    <w:rsid w:val="0054229C"/>
    <w:rsid w:val="00542443"/>
    <w:rsid w:val="00542573"/>
    <w:rsid w:val="00542584"/>
    <w:rsid w:val="00542628"/>
    <w:rsid w:val="005426EC"/>
    <w:rsid w:val="005426EE"/>
    <w:rsid w:val="00542756"/>
    <w:rsid w:val="0054283B"/>
    <w:rsid w:val="00542870"/>
    <w:rsid w:val="005428BB"/>
    <w:rsid w:val="005428DC"/>
    <w:rsid w:val="00542904"/>
    <w:rsid w:val="00542A28"/>
    <w:rsid w:val="00542BD9"/>
    <w:rsid w:val="0054324D"/>
    <w:rsid w:val="00543360"/>
    <w:rsid w:val="005436B8"/>
    <w:rsid w:val="00543880"/>
    <w:rsid w:val="005438DA"/>
    <w:rsid w:val="00543955"/>
    <w:rsid w:val="00543A44"/>
    <w:rsid w:val="00543C01"/>
    <w:rsid w:val="00543C80"/>
    <w:rsid w:val="00543D1D"/>
    <w:rsid w:val="00543D99"/>
    <w:rsid w:val="00543ECA"/>
    <w:rsid w:val="0054425A"/>
    <w:rsid w:val="005442E9"/>
    <w:rsid w:val="005446AD"/>
    <w:rsid w:val="005446FC"/>
    <w:rsid w:val="005447EA"/>
    <w:rsid w:val="00544B6E"/>
    <w:rsid w:val="00544C72"/>
    <w:rsid w:val="00544CA4"/>
    <w:rsid w:val="00544CC7"/>
    <w:rsid w:val="00544D21"/>
    <w:rsid w:val="00544D48"/>
    <w:rsid w:val="00544EBE"/>
    <w:rsid w:val="00544F28"/>
    <w:rsid w:val="00544FA8"/>
    <w:rsid w:val="0054503E"/>
    <w:rsid w:val="0054504D"/>
    <w:rsid w:val="005450F4"/>
    <w:rsid w:val="00545191"/>
    <w:rsid w:val="00545252"/>
    <w:rsid w:val="005452E1"/>
    <w:rsid w:val="005453AD"/>
    <w:rsid w:val="00545431"/>
    <w:rsid w:val="00545459"/>
    <w:rsid w:val="00545538"/>
    <w:rsid w:val="0054560E"/>
    <w:rsid w:val="00545614"/>
    <w:rsid w:val="0054566B"/>
    <w:rsid w:val="005456E4"/>
    <w:rsid w:val="005458AA"/>
    <w:rsid w:val="005458C0"/>
    <w:rsid w:val="0054590A"/>
    <w:rsid w:val="00545925"/>
    <w:rsid w:val="005459F1"/>
    <w:rsid w:val="00545A6D"/>
    <w:rsid w:val="00545A74"/>
    <w:rsid w:val="00545BC4"/>
    <w:rsid w:val="00545D6C"/>
    <w:rsid w:val="00545DB0"/>
    <w:rsid w:val="00545E1B"/>
    <w:rsid w:val="00545EBD"/>
    <w:rsid w:val="00545F0D"/>
    <w:rsid w:val="005460E1"/>
    <w:rsid w:val="005460FA"/>
    <w:rsid w:val="00546438"/>
    <w:rsid w:val="0054651E"/>
    <w:rsid w:val="005465C4"/>
    <w:rsid w:val="005465D6"/>
    <w:rsid w:val="005465E6"/>
    <w:rsid w:val="005465F6"/>
    <w:rsid w:val="00546687"/>
    <w:rsid w:val="005466B5"/>
    <w:rsid w:val="0054689A"/>
    <w:rsid w:val="00546A24"/>
    <w:rsid w:val="00546B0F"/>
    <w:rsid w:val="00546B21"/>
    <w:rsid w:val="00546B44"/>
    <w:rsid w:val="00546BAF"/>
    <w:rsid w:val="00546BED"/>
    <w:rsid w:val="00546CA1"/>
    <w:rsid w:val="00546DA9"/>
    <w:rsid w:val="00546EBA"/>
    <w:rsid w:val="00546FF2"/>
    <w:rsid w:val="00547030"/>
    <w:rsid w:val="00547039"/>
    <w:rsid w:val="00547234"/>
    <w:rsid w:val="00547270"/>
    <w:rsid w:val="005472F7"/>
    <w:rsid w:val="005473BF"/>
    <w:rsid w:val="005474C5"/>
    <w:rsid w:val="00547503"/>
    <w:rsid w:val="00547515"/>
    <w:rsid w:val="0054752B"/>
    <w:rsid w:val="0054766C"/>
    <w:rsid w:val="005477B1"/>
    <w:rsid w:val="00547865"/>
    <w:rsid w:val="0054787D"/>
    <w:rsid w:val="00547991"/>
    <w:rsid w:val="005479F3"/>
    <w:rsid w:val="00547A40"/>
    <w:rsid w:val="00547BDB"/>
    <w:rsid w:val="00547D0F"/>
    <w:rsid w:val="00547E6F"/>
    <w:rsid w:val="005500B8"/>
    <w:rsid w:val="00550129"/>
    <w:rsid w:val="0055018E"/>
    <w:rsid w:val="00550210"/>
    <w:rsid w:val="00550273"/>
    <w:rsid w:val="00550416"/>
    <w:rsid w:val="0055041B"/>
    <w:rsid w:val="00550595"/>
    <w:rsid w:val="005505CB"/>
    <w:rsid w:val="00550649"/>
    <w:rsid w:val="0055064C"/>
    <w:rsid w:val="00550690"/>
    <w:rsid w:val="005506DE"/>
    <w:rsid w:val="00550970"/>
    <w:rsid w:val="00550B7C"/>
    <w:rsid w:val="00550D70"/>
    <w:rsid w:val="00550D78"/>
    <w:rsid w:val="00550DB0"/>
    <w:rsid w:val="00550F9E"/>
    <w:rsid w:val="00551011"/>
    <w:rsid w:val="00551031"/>
    <w:rsid w:val="0055108F"/>
    <w:rsid w:val="0055112E"/>
    <w:rsid w:val="005511DC"/>
    <w:rsid w:val="005512F9"/>
    <w:rsid w:val="00551514"/>
    <w:rsid w:val="00551744"/>
    <w:rsid w:val="00551951"/>
    <w:rsid w:val="00551988"/>
    <w:rsid w:val="005519B6"/>
    <w:rsid w:val="005519BC"/>
    <w:rsid w:val="00551AFE"/>
    <w:rsid w:val="00551B27"/>
    <w:rsid w:val="00551C2C"/>
    <w:rsid w:val="00551DED"/>
    <w:rsid w:val="00551E15"/>
    <w:rsid w:val="00551E36"/>
    <w:rsid w:val="00551F36"/>
    <w:rsid w:val="005521AC"/>
    <w:rsid w:val="00552546"/>
    <w:rsid w:val="0055255B"/>
    <w:rsid w:val="005525C1"/>
    <w:rsid w:val="005525DC"/>
    <w:rsid w:val="00552692"/>
    <w:rsid w:val="00552787"/>
    <w:rsid w:val="00552915"/>
    <w:rsid w:val="00552963"/>
    <w:rsid w:val="00552AC5"/>
    <w:rsid w:val="00552B33"/>
    <w:rsid w:val="00552BCF"/>
    <w:rsid w:val="00552C37"/>
    <w:rsid w:val="00552CC2"/>
    <w:rsid w:val="00552E43"/>
    <w:rsid w:val="0055318C"/>
    <w:rsid w:val="0055322F"/>
    <w:rsid w:val="005533CC"/>
    <w:rsid w:val="005534D3"/>
    <w:rsid w:val="00553588"/>
    <w:rsid w:val="005536B1"/>
    <w:rsid w:val="005536EE"/>
    <w:rsid w:val="0055370D"/>
    <w:rsid w:val="005537BB"/>
    <w:rsid w:val="005537ED"/>
    <w:rsid w:val="00553854"/>
    <w:rsid w:val="00553962"/>
    <w:rsid w:val="00553A18"/>
    <w:rsid w:val="00553A42"/>
    <w:rsid w:val="00553A72"/>
    <w:rsid w:val="00553AD3"/>
    <w:rsid w:val="00553CF8"/>
    <w:rsid w:val="00553D01"/>
    <w:rsid w:val="00553E41"/>
    <w:rsid w:val="00553F16"/>
    <w:rsid w:val="00554071"/>
    <w:rsid w:val="00554186"/>
    <w:rsid w:val="005541A2"/>
    <w:rsid w:val="00554228"/>
    <w:rsid w:val="0055439D"/>
    <w:rsid w:val="00554567"/>
    <w:rsid w:val="005545AD"/>
    <w:rsid w:val="00554822"/>
    <w:rsid w:val="00554825"/>
    <w:rsid w:val="00554836"/>
    <w:rsid w:val="00554A6E"/>
    <w:rsid w:val="00554A7E"/>
    <w:rsid w:val="00554AD6"/>
    <w:rsid w:val="00554C50"/>
    <w:rsid w:val="00554F4A"/>
    <w:rsid w:val="005550B0"/>
    <w:rsid w:val="005552B4"/>
    <w:rsid w:val="00555309"/>
    <w:rsid w:val="0055540D"/>
    <w:rsid w:val="00555410"/>
    <w:rsid w:val="00555525"/>
    <w:rsid w:val="00555597"/>
    <w:rsid w:val="00555A39"/>
    <w:rsid w:val="00555B33"/>
    <w:rsid w:val="00555B71"/>
    <w:rsid w:val="00555E3B"/>
    <w:rsid w:val="00555FCA"/>
    <w:rsid w:val="0055608C"/>
    <w:rsid w:val="005561BC"/>
    <w:rsid w:val="00556259"/>
    <w:rsid w:val="00556290"/>
    <w:rsid w:val="005563E4"/>
    <w:rsid w:val="005564A1"/>
    <w:rsid w:val="005565DC"/>
    <w:rsid w:val="005567E3"/>
    <w:rsid w:val="005567EE"/>
    <w:rsid w:val="00556946"/>
    <w:rsid w:val="00556C21"/>
    <w:rsid w:val="00556CA7"/>
    <w:rsid w:val="00556CBA"/>
    <w:rsid w:val="00556D8F"/>
    <w:rsid w:val="00556E3F"/>
    <w:rsid w:val="00556F9E"/>
    <w:rsid w:val="00557016"/>
    <w:rsid w:val="005570B1"/>
    <w:rsid w:val="00557133"/>
    <w:rsid w:val="005572F7"/>
    <w:rsid w:val="005573DE"/>
    <w:rsid w:val="005573E5"/>
    <w:rsid w:val="005579BF"/>
    <w:rsid w:val="00557AE8"/>
    <w:rsid w:val="00557B79"/>
    <w:rsid w:val="00557EA2"/>
    <w:rsid w:val="00560063"/>
    <w:rsid w:val="00560076"/>
    <w:rsid w:val="005600AE"/>
    <w:rsid w:val="005602B7"/>
    <w:rsid w:val="0056076E"/>
    <w:rsid w:val="0056078B"/>
    <w:rsid w:val="0056089C"/>
    <w:rsid w:val="005608B8"/>
    <w:rsid w:val="00560A6D"/>
    <w:rsid w:val="00560B40"/>
    <w:rsid w:val="00560B5F"/>
    <w:rsid w:val="00560B95"/>
    <w:rsid w:val="00560BEF"/>
    <w:rsid w:val="00560D2C"/>
    <w:rsid w:val="00560E88"/>
    <w:rsid w:val="00560EE1"/>
    <w:rsid w:val="00561000"/>
    <w:rsid w:val="00561031"/>
    <w:rsid w:val="005610A7"/>
    <w:rsid w:val="005610DD"/>
    <w:rsid w:val="00561126"/>
    <w:rsid w:val="00561297"/>
    <w:rsid w:val="00561394"/>
    <w:rsid w:val="005613D2"/>
    <w:rsid w:val="005613D5"/>
    <w:rsid w:val="0056147F"/>
    <w:rsid w:val="00561598"/>
    <w:rsid w:val="005615E0"/>
    <w:rsid w:val="00561684"/>
    <w:rsid w:val="0056170F"/>
    <w:rsid w:val="00561970"/>
    <w:rsid w:val="005619F7"/>
    <w:rsid w:val="00561A0C"/>
    <w:rsid w:val="00561B16"/>
    <w:rsid w:val="00561B51"/>
    <w:rsid w:val="00561C1A"/>
    <w:rsid w:val="00561C1F"/>
    <w:rsid w:val="00561D15"/>
    <w:rsid w:val="00561D2C"/>
    <w:rsid w:val="00561DDA"/>
    <w:rsid w:val="00561E7D"/>
    <w:rsid w:val="00561E95"/>
    <w:rsid w:val="00561FC7"/>
    <w:rsid w:val="00561FE5"/>
    <w:rsid w:val="005620BD"/>
    <w:rsid w:val="005620F4"/>
    <w:rsid w:val="0056212E"/>
    <w:rsid w:val="00562190"/>
    <w:rsid w:val="0056245C"/>
    <w:rsid w:val="005626A9"/>
    <w:rsid w:val="0056273F"/>
    <w:rsid w:val="00562820"/>
    <w:rsid w:val="00562893"/>
    <w:rsid w:val="00562B12"/>
    <w:rsid w:val="00562CD6"/>
    <w:rsid w:val="00562D0B"/>
    <w:rsid w:val="00562D64"/>
    <w:rsid w:val="00562E62"/>
    <w:rsid w:val="00562E68"/>
    <w:rsid w:val="00562EE5"/>
    <w:rsid w:val="00562EEC"/>
    <w:rsid w:val="00562F59"/>
    <w:rsid w:val="00563150"/>
    <w:rsid w:val="00563153"/>
    <w:rsid w:val="0056325D"/>
    <w:rsid w:val="00563305"/>
    <w:rsid w:val="00563383"/>
    <w:rsid w:val="005633E8"/>
    <w:rsid w:val="00563582"/>
    <w:rsid w:val="0056375C"/>
    <w:rsid w:val="00563879"/>
    <w:rsid w:val="005639AB"/>
    <w:rsid w:val="00563A2C"/>
    <w:rsid w:val="00563ABD"/>
    <w:rsid w:val="00563B66"/>
    <w:rsid w:val="00563BBC"/>
    <w:rsid w:val="00563CB4"/>
    <w:rsid w:val="00563CCE"/>
    <w:rsid w:val="00563D6A"/>
    <w:rsid w:val="00563D89"/>
    <w:rsid w:val="00563DB2"/>
    <w:rsid w:val="00563DF5"/>
    <w:rsid w:val="00563ED0"/>
    <w:rsid w:val="00564081"/>
    <w:rsid w:val="00564288"/>
    <w:rsid w:val="005643AC"/>
    <w:rsid w:val="0056455C"/>
    <w:rsid w:val="005645E7"/>
    <w:rsid w:val="00564652"/>
    <w:rsid w:val="005646A4"/>
    <w:rsid w:val="005646FE"/>
    <w:rsid w:val="0056471D"/>
    <w:rsid w:val="00564745"/>
    <w:rsid w:val="0056477A"/>
    <w:rsid w:val="005647A6"/>
    <w:rsid w:val="005647F3"/>
    <w:rsid w:val="00564888"/>
    <w:rsid w:val="0056489A"/>
    <w:rsid w:val="005648FC"/>
    <w:rsid w:val="00564BC1"/>
    <w:rsid w:val="00564C23"/>
    <w:rsid w:val="00564CDF"/>
    <w:rsid w:val="00564E54"/>
    <w:rsid w:val="00564F19"/>
    <w:rsid w:val="00565085"/>
    <w:rsid w:val="005650FD"/>
    <w:rsid w:val="005651AD"/>
    <w:rsid w:val="00565259"/>
    <w:rsid w:val="00565442"/>
    <w:rsid w:val="00565444"/>
    <w:rsid w:val="00565698"/>
    <w:rsid w:val="00565699"/>
    <w:rsid w:val="005656BA"/>
    <w:rsid w:val="005657AE"/>
    <w:rsid w:val="0056592B"/>
    <w:rsid w:val="0056598D"/>
    <w:rsid w:val="005659CB"/>
    <w:rsid w:val="00565A55"/>
    <w:rsid w:val="00565B01"/>
    <w:rsid w:val="00565B0B"/>
    <w:rsid w:val="00565B23"/>
    <w:rsid w:val="00565BCB"/>
    <w:rsid w:val="00565C0C"/>
    <w:rsid w:val="00565E4F"/>
    <w:rsid w:val="00565F93"/>
    <w:rsid w:val="00566039"/>
    <w:rsid w:val="00566113"/>
    <w:rsid w:val="00566459"/>
    <w:rsid w:val="0056666F"/>
    <w:rsid w:val="005666B2"/>
    <w:rsid w:val="005666E0"/>
    <w:rsid w:val="0056672B"/>
    <w:rsid w:val="005669BE"/>
    <w:rsid w:val="00566A00"/>
    <w:rsid w:val="00566C23"/>
    <w:rsid w:val="00566C87"/>
    <w:rsid w:val="00566CB9"/>
    <w:rsid w:val="00566D0E"/>
    <w:rsid w:val="00566EE5"/>
    <w:rsid w:val="00566F61"/>
    <w:rsid w:val="00567072"/>
    <w:rsid w:val="0056719C"/>
    <w:rsid w:val="005671CC"/>
    <w:rsid w:val="00567226"/>
    <w:rsid w:val="005672CE"/>
    <w:rsid w:val="005672D9"/>
    <w:rsid w:val="00567346"/>
    <w:rsid w:val="0056738C"/>
    <w:rsid w:val="005673C6"/>
    <w:rsid w:val="005674A5"/>
    <w:rsid w:val="00567842"/>
    <w:rsid w:val="0056789F"/>
    <w:rsid w:val="0056790F"/>
    <w:rsid w:val="00567A65"/>
    <w:rsid w:val="00567C0E"/>
    <w:rsid w:val="00567D5B"/>
    <w:rsid w:val="00567DE8"/>
    <w:rsid w:val="00567DEB"/>
    <w:rsid w:val="00567E9F"/>
    <w:rsid w:val="00567FA6"/>
    <w:rsid w:val="005700DD"/>
    <w:rsid w:val="0057024E"/>
    <w:rsid w:val="005703A0"/>
    <w:rsid w:val="005703AB"/>
    <w:rsid w:val="005703C9"/>
    <w:rsid w:val="00570470"/>
    <w:rsid w:val="00570666"/>
    <w:rsid w:val="00570783"/>
    <w:rsid w:val="00570795"/>
    <w:rsid w:val="005707A3"/>
    <w:rsid w:val="005708DC"/>
    <w:rsid w:val="00570A23"/>
    <w:rsid w:val="00570B8B"/>
    <w:rsid w:val="00570BB9"/>
    <w:rsid w:val="00570E71"/>
    <w:rsid w:val="00570E8E"/>
    <w:rsid w:val="00570EBD"/>
    <w:rsid w:val="00570EE6"/>
    <w:rsid w:val="00570F0F"/>
    <w:rsid w:val="00570F24"/>
    <w:rsid w:val="00570F4B"/>
    <w:rsid w:val="0057109E"/>
    <w:rsid w:val="00571161"/>
    <w:rsid w:val="005711D1"/>
    <w:rsid w:val="0057129A"/>
    <w:rsid w:val="005712D6"/>
    <w:rsid w:val="00571345"/>
    <w:rsid w:val="00571390"/>
    <w:rsid w:val="005713A4"/>
    <w:rsid w:val="005714E0"/>
    <w:rsid w:val="00571503"/>
    <w:rsid w:val="0057152C"/>
    <w:rsid w:val="005715B5"/>
    <w:rsid w:val="005716D8"/>
    <w:rsid w:val="00571714"/>
    <w:rsid w:val="00571738"/>
    <w:rsid w:val="00571A10"/>
    <w:rsid w:val="00571AAF"/>
    <w:rsid w:val="00571C23"/>
    <w:rsid w:val="00571D1B"/>
    <w:rsid w:val="00571D6F"/>
    <w:rsid w:val="00571DCE"/>
    <w:rsid w:val="00571EEA"/>
    <w:rsid w:val="0057207F"/>
    <w:rsid w:val="00572118"/>
    <w:rsid w:val="0057217E"/>
    <w:rsid w:val="00572186"/>
    <w:rsid w:val="005721EF"/>
    <w:rsid w:val="005722C4"/>
    <w:rsid w:val="00572310"/>
    <w:rsid w:val="00572446"/>
    <w:rsid w:val="005724C6"/>
    <w:rsid w:val="005725FC"/>
    <w:rsid w:val="00572636"/>
    <w:rsid w:val="00572690"/>
    <w:rsid w:val="005726A9"/>
    <w:rsid w:val="005726C9"/>
    <w:rsid w:val="00572766"/>
    <w:rsid w:val="00572796"/>
    <w:rsid w:val="005727B8"/>
    <w:rsid w:val="00572874"/>
    <w:rsid w:val="00572A81"/>
    <w:rsid w:val="00572BCB"/>
    <w:rsid w:val="00572C05"/>
    <w:rsid w:val="00572D48"/>
    <w:rsid w:val="00572DC5"/>
    <w:rsid w:val="00572E04"/>
    <w:rsid w:val="00572EE9"/>
    <w:rsid w:val="00572F09"/>
    <w:rsid w:val="00572F98"/>
    <w:rsid w:val="00572FA0"/>
    <w:rsid w:val="00573096"/>
    <w:rsid w:val="00573412"/>
    <w:rsid w:val="00573461"/>
    <w:rsid w:val="005734B7"/>
    <w:rsid w:val="005735A9"/>
    <w:rsid w:val="0057360D"/>
    <w:rsid w:val="005736BA"/>
    <w:rsid w:val="005738D7"/>
    <w:rsid w:val="005738FB"/>
    <w:rsid w:val="0057393E"/>
    <w:rsid w:val="00573A49"/>
    <w:rsid w:val="00573B35"/>
    <w:rsid w:val="00573B62"/>
    <w:rsid w:val="00573CA4"/>
    <w:rsid w:val="00573FD1"/>
    <w:rsid w:val="005740C6"/>
    <w:rsid w:val="005740FB"/>
    <w:rsid w:val="005741BF"/>
    <w:rsid w:val="00574346"/>
    <w:rsid w:val="005743F9"/>
    <w:rsid w:val="00574410"/>
    <w:rsid w:val="00574417"/>
    <w:rsid w:val="0057446B"/>
    <w:rsid w:val="005744B4"/>
    <w:rsid w:val="005744F0"/>
    <w:rsid w:val="005744F5"/>
    <w:rsid w:val="0057465F"/>
    <w:rsid w:val="005747CA"/>
    <w:rsid w:val="0057485F"/>
    <w:rsid w:val="005748CC"/>
    <w:rsid w:val="00574982"/>
    <w:rsid w:val="005749DE"/>
    <w:rsid w:val="00574B97"/>
    <w:rsid w:val="00574C36"/>
    <w:rsid w:val="005750D2"/>
    <w:rsid w:val="0057513E"/>
    <w:rsid w:val="005751D8"/>
    <w:rsid w:val="00575291"/>
    <w:rsid w:val="00575393"/>
    <w:rsid w:val="005753D7"/>
    <w:rsid w:val="0057545C"/>
    <w:rsid w:val="005755A8"/>
    <w:rsid w:val="00575714"/>
    <w:rsid w:val="005759DB"/>
    <w:rsid w:val="00575CAF"/>
    <w:rsid w:val="00575CCF"/>
    <w:rsid w:val="0057603F"/>
    <w:rsid w:val="00576127"/>
    <w:rsid w:val="0057616A"/>
    <w:rsid w:val="005761A0"/>
    <w:rsid w:val="005761B1"/>
    <w:rsid w:val="005761F2"/>
    <w:rsid w:val="00576426"/>
    <w:rsid w:val="005764A9"/>
    <w:rsid w:val="00576554"/>
    <w:rsid w:val="0057670D"/>
    <w:rsid w:val="00576751"/>
    <w:rsid w:val="00576817"/>
    <w:rsid w:val="005768F3"/>
    <w:rsid w:val="005769D6"/>
    <w:rsid w:val="00576B84"/>
    <w:rsid w:val="00576C2E"/>
    <w:rsid w:val="00576C79"/>
    <w:rsid w:val="00576CB4"/>
    <w:rsid w:val="00576D1C"/>
    <w:rsid w:val="00576D90"/>
    <w:rsid w:val="00576EB5"/>
    <w:rsid w:val="0057702E"/>
    <w:rsid w:val="00577250"/>
    <w:rsid w:val="005772DA"/>
    <w:rsid w:val="00577340"/>
    <w:rsid w:val="00577441"/>
    <w:rsid w:val="005774EB"/>
    <w:rsid w:val="00577539"/>
    <w:rsid w:val="005777DC"/>
    <w:rsid w:val="005777DF"/>
    <w:rsid w:val="0057781A"/>
    <w:rsid w:val="0057794D"/>
    <w:rsid w:val="00577962"/>
    <w:rsid w:val="00577A00"/>
    <w:rsid w:val="00577AA5"/>
    <w:rsid w:val="00577AB4"/>
    <w:rsid w:val="00577B63"/>
    <w:rsid w:val="00577D88"/>
    <w:rsid w:val="0058000F"/>
    <w:rsid w:val="00580227"/>
    <w:rsid w:val="00580247"/>
    <w:rsid w:val="00580297"/>
    <w:rsid w:val="005802DF"/>
    <w:rsid w:val="005804B0"/>
    <w:rsid w:val="005804D9"/>
    <w:rsid w:val="00580618"/>
    <w:rsid w:val="0058089A"/>
    <w:rsid w:val="005808D2"/>
    <w:rsid w:val="0058095F"/>
    <w:rsid w:val="00580B12"/>
    <w:rsid w:val="00580B63"/>
    <w:rsid w:val="00580BD3"/>
    <w:rsid w:val="00580BE7"/>
    <w:rsid w:val="00580CFC"/>
    <w:rsid w:val="00580D54"/>
    <w:rsid w:val="00580E3E"/>
    <w:rsid w:val="00580F08"/>
    <w:rsid w:val="0058106D"/>
    <w:rsid w:val="005810C1"/>
    <w:rsid w:val="005812CB"/>
    <w:rsid w:val="00581363"/>
    <w:rsid w:val="005813A3"/>
    <w:rsid w:val="00581429"/>
    <w:rsid w:val="0058143C"/>
    <w:rsid w:val="00581739"/>
    <w:rsid w:val="00581818"/>
    <w:rsid w:val="00581A0C"/>
    <w:rsid w:val="00581ACA"/>
    <w:rsid w:val="00581B8E"/>
    <w:rsid w:val="00581CD8"/>
    <w:rsid w:val="00581D1D"/>
    <w:rsid w:val="00581E46"/>
    <w:rsid w:val="00581F2F"/>
    <w:rsid w:val="00581F42"/>
    <w:rsid w:val="00582040"/>
    <w:rsid w:val="005820C8"/>
    <w:rsid w:val="0058214B"/>
    <w:rsid w:val="00582230"/>
    <w:rsid w:val="0058235C"/>
    <w:rsid w:val="00582495"/>
    <w:rsid w:val="00582607"/>
    <w:rsid w:val="005826FF"/>
    <w:rsid w:val="00582705"/>
    <w:rsid w:val="00582796"/>
    <w:rsid w:val="005827C8"/>
    <w:rsid w:val="00582914"/>
    <w:rsid w:val="0058292B"/>
    <w:rsid w:val="00582969"/>
    <w:rsid w:val="0058296E"/>
    <w:rsid w:val="005829B6"/>
    <w:rsid w:val="00582A5A"/>
    <w:rsid w:val="00582A75"/>
    <w:rsid w:val="00582AC4"/>
    <w:rsid w:val="00582BD2"/>
    <w:rsid w:val="00582C5D"/>
    <w:rsid w:val="00582C92"/>
    <w:rsid w:val="00582D49"/>
    <w:rsid w:val="00582F79"/>
    <w:rsid w:val="00582F82"/>
    <w:rsid w:val="00582FE7"/>
    <w:rsid w:val="00582FEA"/>
    <w:rsid w:val="0058328D"/>
    <w:rsid w:val="005834B2"/>
    <w:rsid w:val="005834B5"/>
    <w:rsid w:val="0058352D"/>
    <w:rsid w:val="00583590"/>
    <w:rsid w:val="00583603"/>
    <w:rsid w:val="00583636"/>
    <w:rsid w:val="00583730"/>
    <w:rsid w:val="005837D2"/>
    <w:rsid w:val="00583983"/>
    <w:rsid w:val="00583A12"/>
    <w:rsid w:val="00583A9B"/>
    <w:rsid w:val="00583B21"/>
    <w:rsid w:val="00583B56"/>
    <w:rsid w:val="00583CC9"/>
    <w:rsid w:val="00583EA2"/>
    <w:rsid w:val="00583EC4"/>
    <w:rsid w:val="00584017"/>
    <w:rsid w:val="00584162"/>
    <w:rsid w:val="005841AE"/>
    <w:rsid w:val="00584220"/>
    <w:rsid w:val="0058429A"/>
    <w:rsid w:val="00584340"/>
    <w:rsid w:val="00584471"/>
    <w:rsid w:val="005844A4"/>
    <w:rsid w:val="0058450E"/>
    <w:rsid w:val="0058457E"/>
    <w:rsid w:val="0058472F"/>
    <w:rsid w:val="00584931"/>
    <w:rsid w:val="005849CB"/>
    <w:rsid w:val="005849E1"/>
    <w:rsid w:val="005849FC"/>
    <w:rsid w:val="00584A86"/>
    <w:rsid w:val="00584B73"/>
    <w:rsid w:val="00584C30"/>
    <w:rsid w:val="00584CE2"/>
    <w:rsid w:val="00584DFD"/>
    <w:rsid w:val="00584F66"/>
    <w:rsid w:val="00585037"/>
    <w:rsid w:val="00585150"/>
    <w:rsid w:val="00585320"/>
    <w:rsid w:val="0058533B"/>
    <w:rsid w:val="005853C2"/>
    <w:rsid w:val="00585725"/>
    <w:rsid w:val="0058588D"/>
    <w:rsid w:val="005858B5"/>
    <w:rsid w:val="00585AB7"/>
    <w:rsid w:val="00585C32"/>
    <w:rsid w:val="00585C57"/>
    <w:rsid w:val="00585D4D"/>
    <w:rsid w:val="00585E09"/>
    <w:rsid w:val="00585E8B"/>
    <w:rsid w:val="00585E9B"/>
    <w:rsid w:val="00586042"/>
    <w:rsid w:val="005860FB"/>
    <w:rsid w:val="00586309"/>
    <w:rsid w:val="005863B5"/>
    <w:rsid w:val="0058648C"/>
    <w:rsid w:val="005864CA"/>
    <w:rsid w:val="00586733"/>
    <w:rsid w:val="005867A0"/>
    <w:rsid w:val="0058697C"/>
    <w:rsid w:val="00586A6C"/>
    <w:rsid w:val="00586A9B"/>
    <w:rsid w:val="00586AD6"/>
    <w:rsid w:val="00586ADD"/>
    <w:rsid w:val="00586CD2"/>
    <w:rsid w:val="00586CF1"/>
    <w:rsid w:val="00586D16"/>
    <w:rsid w:val="00586D23"/>
    <w:rsid w:val="00586D5F"/>
    <w:rsid w:val="00586D7F"/>
    <w:rsid w:val="00586D9D"/>
    <w:rsid w:val="00586E2F"/>
    <w:rsid w:val="00586F48"/>
    <w:rsid w:val="005870AB"/>
    <w:rsid w:val="005871FF"/>
    <w:rsid w:val="0058725F"/>
    <w:rsid w:val="00587294"/>
    <w:rsid w:val="0058744D"/>
    <w:rsid w:val="00587490"/>
    <w:rsid w:val="005875B6"/>
    <w:rsid w:val="00587623"/>
    <w:rsid w:val="0058777C"/>
    <w:rsid w:val="005879B3"/>
    <w:rsid w:val="00587E0D"/>
    <w:rsid w:val="00587E55"/>
    <w:rsid w:val="00587E83"/>
    <w:rsid w:val="005900E4"/>
    <w:rsid w:val="005902FD"/>
    <w:rsid w:val="005903C2"/>
    <w:rsid w:val="0059052A"/>
    <w:rsid w:val="005905A5"/>
    <w:rsid w:val="00590737"/>
    <w:rsid w:val="0059082C"/>
    <w:rsid w:val="005908C8"/>
    <w:rsid w:val="0059093A"/>
    <w:rsid w:val="00590A1C"/>
    <w:rsid w:val="00590A5E"/>
    <w:rsid w:val="00590B2E"/>
    <w:rsid w:val="00590BC4"/>
    <w:rsid w:val="00590CE7"/>
    <w:rsid w:val="00590D69"/>
    <w:rsid w:val="00590E14"/>
    <w:rsid w:val="00590E62"/>
    <w:rsid w:val="00590ECF"/>
    <w:rsid w:val="00590F1F"/>
    <w:rsid w:val="00590F85"/>
    <w:rsid w:val="0059102F"/>
    <w:rsid w:val="0059107D"/>
    <w:rsid w:val="005910AB"/>
    <w:rsid w:val="00591147"/>
    <w:rsid w:val="005911E2"/>
    <w:rsid w:val="005912A6"/>
    <w:rsid w:val="00591342"/>
    <w:rsid w:val="0059134D"/>
    <w:rsid w:val="005913F3"/>
    <w:rsid w:val="00591449"/>
    <w:rsid w:val="00591508"/>
    <w:rsid w:val="00591688"/>
    <w:rsid w:val="005917F1"/>
    <w:rsid w:val="0059182B"/>
    <w:rsid w:val="005919A0"/>
    <w:rsid w:val="00591A80"/>
    <w:rsid w:val="00591AA1"/>
    <w:rsid w:val="00591D68"/>
    <w:rsid w:val="00591FA4"/>
    <w:rsid w:val="005921B0"/>
    <w:rsid w:val="00592268"/>
    <w:rsid w:val="0059228D"/>
    <w:rsid w:val="00592335"/>
    <w:rsid w:val="005923AD"/>
    <w:rsid w:val="005923B2"/>
    <w:rsid w:val="00592523"/>
    <w:rsid w:val="00592534"/>
    <w:rsid w:val="0059254C"/>
    <w:rsid w:val="00592907"/>
    <w:rsid w:val="00592BDD"/>
    <w:rsid w:val="00592E98"/>
    <w:rsid w:val="0059301F"/>
    <w:rsid w:val="00593064"/>
    <w:rsid w:val="0059315C"/>
    <w:rsid w:val="005931B4"/>
    <w:rsid w:val="00593256"/>
    <w:rsid w:val="00593270"/>
    <w:rsid w:val="00593438"/>
    <w:rsid w:val="00593447"/>
    <w:rsid w:val="00593512"/>
    <w:rsid w:val="00593568"/>
    <w:rsid w:val="005936C8"/>
    <w:rsid w:val="0059388C"/>
    <w:rsid w:val="00593A4B"/>
    <w:rsid w:val="00593B08"/>
    <w:rsid w:val="00593B57"/>
    <w:rsid w:val="00593BFF"/>
    <w:rsid w:val="00593C1A"/>
    <w:rsid w:val="00593C23"/>
    <w:rsid w:val="00593C6C"/>
    <w:rsid w:val="00593D17"/>
    <w:rsid w:val="00593E76"/>
    <w:rsid w:val="00593FA8"/>
    <w:rsid w:val="00594022"/>
    <w:rsid w:val="005940AB"/>
    <w:rsid w:val="005940BD"/>
    <w:rsid w:val="00594174"/>
    <w:rsid w:val="005941AC"/>
    <w:rsid w:val="005942F4"/>
    <w:rsid w:val="005943CD"/>
    <w:rsid w:val="00594406"/>
    <w:rsid w:val="00594443"/>
    <w:rsid w:val="005944B3"/>
    <w:rsid w:val="005945B9"/>
    <w:rsid w:val="005945E2"/>
    <w:rsid w:val="0059461E"/>
    <w:rsid w:val="00594641"/>
    <w:rsid w:val="0059467A"/>
    <w:rsid w:val="00594684"/>
    <w:rsid w:val="005946EA"/>
    <w:rsid w:val="0059479D"/>
    <w:rsid w:val="00594827"/>
    <w:rsid w:val="005948EA"/>
    <w:rsid w:val="00594901"/>
    <w:rsid w:val="00594A29"/>
    <w:rsid w:val="00594A71"/>
    <w:rsid w:val="00594A76"/>
    <w:rsid w:val="00594A8C"/>
    <w:rsid w:val="00594BA0"/>
    <w:rsid w:val="005951B8"/>
    <w:rsid w:val="0059520C"/>
    <w:rsid w:val="00595295"/>
    <w:rsid w:val="005954B9"/>
    <w:rsid w:val="0059572A"/>
    <w:rsid w:val="0059573F"/>
    <w:rsid w:val="00595794"/>
    <w:rsid w:val="00595980"/>
    <w:rsid w:val="00595A8A"/>
    <w:rsid w:val="00595ACD"/>
    <w:rsid w:val="00595B01"/>
    <w:rsid w:val="00595B2F"/>
    <w:rsid w:val="00595B92"/>
    <w:rsid w:val="00595CFC"/>
    <w:rsid w:val="00595E12"/>
    <w:rsid w:val="00595FA1"/>
    <w:rsid w:val="00596026"/>
    <w:rsid w:val="00596059"/>
    <w:rsid w:val="00596192"/>
    <w:rsid w:val="005962AE"/>
    <w:rsid w:val="005963D6"/>
    <w:rsid w:val="0059641C"/>
    <w:rsid w:val="00596420"/>
    <w:rsid w:val="00596492"/>
    <w:rsid w:val="005965C8"/>
    <w:rsid w:val="0059661B"/>
    <w:rsid w:val="005966F8"/>
    <w:rsid w:val="005968CA"/>
    <w:rsid w:val="0059691E"/>
    <w:rsid w:val="00596A5D"/>
    <w:rsid w:val="00596C22"/>
    <w:rsid w:val="00596CDF"/>
    <w:rsid w:val="00596D3F"/>
    <w:rsid w:val="00596E91"/>
    <w:rsid w:val="00596EB3"/>
    <w:rsid w:val="00596F1E"/>
    <w:rsid w:val="00596F43"/>
    <w:rsid w:val="00596F61"/>
    <w:rsid w:val="00597038"/>
    <w:rsid w:val="00597068"/>
    <w:rsid w:val="005970A3"/>
    <w:rsid w:val="005970D5"/>
    <w:rsid w:val="0059710D"/>
    <w:rsid w:val="00597144"/>
    <w:rsid w:val="0059715E"/>
    <w:rsid w:val="00597277"/>
    <w:rsid w:val="005973F8"/>
    <w:rsid w:val="00597470"/>
    <w:rsid w:val="005974DE"/>
    <w:rsid w:val="005976F3"/>
    <w:rsid w:val="00597727"/>
    <w:rsid w:val="00597843"/>
    <w:rsid w:val="005978A4"/>
    <w:rsid w:val="00597928"/>
    <w:rsid w:val="00597A2C"/>
    <w:rsid w:val="00597AB1"/>
    <w:rsid w:val="00597BCF"/>
    <w:rsid w:val="00597C01"/>
    <w:rsid w:val="00597CFE"/>
    <w:rsid w:val="00597D13"/>
    <w:rsid w:val="00597F6E"/>
    <w:rsid w:val="00597F9D"/>
    <w:rsid w:val="005A0147"/>
    <w:rsid w:val="005A01F5"/>
    <w:rsid w:val="005A0215"/>
    <w:rsid w:val="005A02A8"/>
    <w:rsid w:val="005A03F8"/>
    <w:rsid w:val="005A03FB"/>
    <w:rsid w:val="005A04B7"/>
    <w:rsid w:val="005A06DD"/>
    <w:rsid w:val="005A0822"/>
    <w:rsid w:val="005A093B"/>
    <w:rsid w:val="005A0A01"/>
    <w:rsid w:val="005A0B4A"/>
    <w:rsid w:val="005A0C33"/>
    <w:rsid w:val="005A0C68"/>
    <w:rsid w:val="005A0EBE"/>
    <w:rsid w:val="005A1083"/>
    <w:rsid w:val="005A10E6"/>
    <w:rsid w:val="005A10FA"/>
    <w:rsid w:val="005A1157"/>
    <w:rsid w:val="005A11D5"/>
    <w:rsid w:val="005A11EE"/>
    <w:rsid w:val="005A12B2"/>
    <w:rsid w:val="005A130B"/>
    <w:rsid w:val="005A1404"/>
    <w:rsid w:val="005A14E8"/>
    <w:rsid w:val="005A1592"/>
    <w:rsid w:val="005A15B2"/>
    <w:rsid w:val="005A17F2"/>
    <w:rsid w:val="005A189D"/>
    <w:rsid w:val="005A18CF"/>
    <w:rsid w:val="005A1BDE"/>
    <w:rsid w:val="005A1BE2"/>
    <w:rsid w:val="005A1FC6"/>
    <w:rsid w:val="005A1FCF"/>
    <w:rsid w:val="005A2015"/>
    <w:rsid w:val="005A232F"/>
    <w:rsid w:val="005A2460"/>
    <w:rsid w:val="005A2742"/>
    <w:rsid w:val="005A27F2"/>
    <w:rsid w:val="005A284E"/>
    <w:rsid w:val="005A2A07"/>
    <w:rsid w:val="005A2AA9"/>
    <w:rsid w:val="005A2B08"/>
    <w:rsid w:val="005A2B2B"/>
    <w:rsid w:val="005A2BC8"/>
    <w:rsid w:val="005A2CCE"/>
    <w:rsid w:val="005A2D57"/>
    <w:rsid w:val="005A2D6E"/>
    <w:rsid w:val="005A2E32"/>
    <w:rsid w:val="005A2E63"/>
    <w:rsid w:val="005A2EF3"/>
    <w:rsid w:val="005A2F13"/>
    <w:rsid w:val="005A2F17"/>
    <w:rsid w:val="005A2F7D"/>
    <w:rsid w:val="005A2F91"/>
    <w:rsid w:val="005A3035"/>
    <w:rsid w:val="005A303C"/>
    <w:rsid w:val="005A3088"/>
    <w:rsid w:val="005A3161"/>
    <w:rsid w:val="005A325B"/>
    <w:rsid w:val="005A346A"/>
    <w:rsid w:val="005A34AE"/>
    <w:rsid w:val="005A34B4"/>
    <w:rsid w:val="005A35D3"/>
    <w:rsid w:val="005A3603"/>
    <w:rsid w:val="005A3669"/>
    <w:rsid w:val="005A3774"/>
    <w:rsid w:val="005A3808"/>
    <w:rsid w:val="005A387E"/>
    <w:rsid w:val="005A3A91"/>
    <w:rsid w:val="005A3BFA"/>
    <w:rsid w:val="005A3CCB"/>
    <w:rsid w:val="005A3D55"/>
    <w:rsid w:val="005A3DCB"/>
    <w:rsid w:val="005A40BA"/>
    <w:rsid w:val="005A40E5"/>
    <w:rsid w:val="005A410E"/>
    <w:rsid w:val="005A412B"/>
    <w:rsid w:val="005A41F4"/>
    <w:rsid w:val="005A4345"/>
    <w:rsid w:val="005A470B"/>
    <w:rsid w:val="005A4713"/>
    <w:rsid w:val="005A4719"/>
    <w:rsid w:val="005A4761"/>
    <w:rsid w:val="005A4818"/>
    <w:rsid w:val="005A4892"/>
    <w:rsid w:val="005A48CF"/>
    <w:rsid w:val="005A48FD"/>
    <w:rsid w:val="005A48FF"/>
    <w:rsid w:val="005A4B61"/>
    <w:rsid w:val="005A4C58"/>
    <w:rsid w:val="005A4E5F"/>
    <w:rsid w:val="005A4F66"/>
    <w:rsid w:val="005A4FDB"/>
    <w:rsid w:val="005A511A"/>
    <w:rsid w:val="005A51D5"/>
    <w:rsid w:val="005A5208"/>
    <w:rsid w:val="005A5216"/>
    <w:rsid w:val="005A53DC"/>
    <w:rsid w:val="005A545A"/>
    <w:rsid w:val="005A5594"/>
    <w:rsid w:val="005A5607"/>
    <w:rsid w:val="005A5646"/>
    <w:rsid w:val="005A5649"/>
    <w:rsid w:val="005A56DF"/>
    <w:rsid w:val="005A56F6"/>
    <w:rsid w:val="005A58D8"/>
    <w:rsid w:val="005A58FB"/>
    <w:rsid w:val="005A591C"/>
    <w:rsid w:val="005A5B55"/>
    <w:rsid w:val="005A5D41"/>
    <w:rsid w:val="005A5E42"/>
    <w:rsid w:val="005A5E9B"/>
    <w:rsid w:val="005A5EB1"/>
    <w:rsid w:val="005A5F54"/>
    <w:rsid w:val="005A6059"/>
    <w:rsid w:val="005A617C"/>
    <w:rsid w:val="005A6631"/>
    <w:rsid w:val="005A666B"/>
    <w:rsid w:val="005A66FF"/>
    <w:rsid w:val="005A67AA"/>
    <w:rsid w:val="005A67FA"/>
    <w:rsid w:val="005A6822"/>
    <w:rsid w:val="005A6833"/>
    <w:rsid w:val="005A6839"/>
    <w:rsid w:val="005A68FA"/>
    <w:rsid w:val="005A69D2"/>
    <w:rsid w:val="005A69F4"/>
    <w:rsid w:val="005A6A82"/>
    <w:rsid w:val="005A6C75"/>
    <w:rsid w:val="005A6C94"/>
    <w:rsid w:val="005A6CEC"/>
    <w:rsid w:val="005A6DF4"/>
    <w:rsid w:val="005A6E2F"/>
    <w:rsid w:val="005A6E5E"/>
    <w:rsid w:val="005A6E6C"/>
    <w:rsid w:val="005A6F1C"/>
    <w:rsid w:val="005A6F7D"/>
    <w:rsid w:val="005A6F84"/>
    <w:rsid w:val="005A6FCD"/>
    <w:rsid w:val="005A6FD9"/>
    <w:rsid w:val="005A70FA"/>
    <w:rsid w:val="005A73FC"/>
    <w:rsid w:val="005A74BB"/>
    <w:rsid w:val="005A7505"/>
    <w:rsid w:val="005A7645"/>
    <w:rsid w:val="005A7712"/>
    <w:rsid w:val="005A7719"/>
    <w:rsid w:val="005A7752"/>
    <w:rsid w:val="005A7891"/>
    <w:rsid w:val="005A7925"/>
    <w:rsid w:val="005A7D75"/>
    <w:rsid w:val="005B01FA"/>
    <w:rsid w:val="005B0284"/>
    <w:rsid w:val="005B067A"/>
    <w:rsid w:val="005B07DA"/>
    <w:rsid w:val="005B081C"/>
    <w:rsid w:val="005B0870"/>
    <w:rsid w:val="005B09FB"/>
    <w:rsid w:val="005B0B78"/>
    <w:rsid w:val="005B0D1B"/>
    <w:rsid w:val="005B0D38"/>
    <w:rsid w:val="005B0E33"/>
    <w:rsid w:val="005B0E6C"/>
    <w:rsid w:val="005B101D"/>
    <w:rsid w:val="005B10FF"/>
    <w:rsid w:val="005B1122"/>
    <w:rsid w:val="005B114E"/>
    <w:rsid w:val="005B118A"/>
    <w:rsid w:val="005B11E7"/>
    <w:rsid w:val="005B1225"/>
    <w:rsid w:val="005B13DE"/>
    <w:rsid w:val="005B1462"/>
    <w:rsid w:val="005B15AA"/>
    <w:rsid w:val="005B15AB"/>
    <w:rsid w:val="005B17CE"/>
    <w:rsid w:val="005B19DE"/>
    <w:rsid w:val="005B1A22"/>
    <w:rsid w:val="005B1D6F"/>
    <w:rsid w:val="005B1F91"/>
    <w:rsid w:val="005B1FA3"/>
    <w:rsid w:val="005B2002"/>
    <w:rsid w:val="005B2477"/>
    <w:rsid w:val="005B2570"/>
    <w:rsid w:val="005B25D6"/>
    <w:rsid w:val="005B265A"/>
    <w:rsid w:val="005B275E"/>
    <w:rsid w:val="005B28AA"/>
    <w:rsid w:val="005B2911"/>
    <w:rsid w:val="005B2913"/>
    <w:rsid w:val="005B2975"/>
    <w:rsid w:val="005B2991"/>
    <w:rsid w:val="005B2ACE"/>
    <w:rsid w:val="005B2BC6"/>
    <w:rsid w:val="005B2D97"/>
    <w:rsid w:val="005B324C"/>
    <w:rsid w:val="005B3295"/>
    <w:rsid w:val="005B32AD"/>
    <w:rsid w:val="005B35BA"/>
    <w:rsid w:val="005B3621"/>
    <w:rsid w:val="005B37A4"/>
    <w:rsid w:val="005B38C6"/>
    <w:rsid w:val="005B38F6"/>
    <w:rsid w:val="005B3973"/>
    <w:rsid w:val="005B3E85"/>
    <w:rsid w:val="005B3EB2"/>
    <w:rsid w:val="005B3FA8"/>
    <w:rsid w:val="005B3FE1"/>
    <w:rsid w:val="005B401C"/>
    <w:rsid w:val="005B4205"/>
    <w:rsid w:val="005B42A4"/>
    <w:rsid w:val="005B44C2"/>
    <w:rsid w:val="005B44D0"/>
    <w:rsid w:val="005B4586"/>
    <w:rsid w:val="005B4705"/>
    <w:rsid w:val="005B47CB"/>
    <w:rsid w:val="005B49DB"/>
    <w:rsid w:val="005B4A4C"/>
    <w:rsid w:val="005B4A6B"/>
    <w:rsid w:val="005B4B58"/>
    <w:rsid w:val="005B4C4A"/>
    <w:rsid w:val="005B4D4E"/>
    <w:rsid w:val="005B4D61"/>
    <w:rsid w:val="005B4D9A"/>
    <w:rsid w:val="005B4DAE"/>
    <w:rsid w:val="005B4DC6"/>
    <w:rsid w:val="005B5024"/>
    <w:rsid w:val="005B5195"/>
    <w:rsid w:val="005B51EF"/>
    <w:rsid w:val="005B51FF"/>
    <w:rsid w:val="005B5254"/>
    <w:rsid w:val="005B5265"/>
    <w:rsid w:val="005B52D0"/>
    <w:rsid w:val="005B52E4"/>
    <w:rsid w:val="005B5441"/>
    <w:rsid w:val="005B55F8"/>
    <w:rsid w:val="005B5610"/>
    <w:rsid w:val="005B57C5"/>
    <w:rsid w:val="005B57E4"/>
    <w:rsid w:val="005B5929"/>
    <w:rsid w:val="005B5ACD"/>
    <w:rsid w:val="005B5B74"/>
    <w:rsid w:val="005B5C87"/>
    <w:rsid w:val="005B5D67"/>
    <w:rsid w:val="005B5E8A"/>
    <w:rsid w:val="005B5F0E"/>
    <w:rsid w:val="005B61A9"/>
    <w:rsid w:val="005B621C"/>
    <w:rsid w:val="005B6286"/>
    <w:rsid w:val="005B6348"/>
    <w:rsid w:val="005B63A1"/>
    <w:rsid w:val="005B63E7"/>
    <w:rsid w:val="005B6436"/>
    <w:rsid w:val="005B669E"/>
    <w:rsid w:val="005B6709"/>
    <w:rsid w:val="005B670C"/>
    <w:rsid w:val="005B6767"/>
    <w:rsid w:val="005B69D8"/>
    <w:rsid w:val="005B6B50"/>
    <w:rsid w:val="005B6CD5"/>
    <w:rsid w:val="005B6CDB"/>
    <w:rsid w:val="005B6DB9"/>
    <w:rsid w:val="005B6F2A"/>
    <w:rsid w:val="005B7092"/>
    <w:rsid w:val="005B70AB"/>
    <w:rsid w:val="005B7180"/>
    <w:rsid w:val="005B7208"/>
    <w:rsid w:val="005B728A"/>
    <w:rsid w:val="005B72EA"/>
    <w:rsid w:val="005B7389"/>
    <w:rsid w:val="005B73E4"/>
    <w:rsid w:val="005B73F7"/>
    <w:rsid w:val="005B7576"/>
    <w:rsid w:val="005B75F7"/>
    <w:rsid w:val="005B776B"/>
    <w:rsid w:val="005B7837"/>
    <w:rsid w:val="005B7854"/>
    <w:rsid w:val="005B78B0"/>
    <w:rsid w:val="005B78EC"/>
    <w:rsid w:val="005B79EE"/>
    <w:rsid w:val="005B7AD5"/>
    <w:rsid w:val="005B7C89"/>
    <w:rsid w:val="005B7D06"/>
    <w:rsid w:val="005B7D90"/>
    <w:rsid w:val="005B7E6E"/>
    <w:rsid w:val="005B7F45"/>
    <w:rsid w:val="005C002E"/>
    <w:rsid w:val="005C007B"/>
    <w:rsid w:val="005C00FC"/>
    <w:rsid w:val="005C0163"/>
    <w:rsid w:val="005C025E"/>
    <w:rsid w:val="005C0526"/>
    <w:rsid w:val="005C0627"/>
    <w:rsid w:val="005C0668"/>
    <w:rsid w:val="005C0807"/>
    <w:rsid w:val="005C0866"/>
    <w:rsid w:val="005C0A02"/>
    <w:rsid w:val="005C0B14"/>
    <w:rsid w:val="005C0B55"/>
    <w:rsid w:val="005C0B67"/>
    <w:rsid w:val="005C0BE9"/>
    <w:rsid w:val="005C0E42"/>
    <w:rsid w:val="005C0E60"/>
    <w:rsid w:val="005C0E7C"/>
    <w:rsid w:val="005C1053"/>
    <w:rsid w:val="005C10BB"/>
    <w:rsid w:val="005C1250"/>
    <w:rsid w:val="005C1282"/>
    <w:rsid w:val="005C1298"/>
    <w:rsid w:val="005C1305"/>
    <w:rsid w:val="005C1347"/>
    <w:rsid w:val="005C13A4"/>
    <w:rsid w:val="005C141D"/>
    <w:rsid w:val="005C1474"/>
    <w:rsid w:val="005C1483"/>
    <w:rsid w:val="005C16F0"/>
    <w:rsid w:val="005C1D6D"/>
    <w:rsid w:val="005C1E00"/>
    <w:rsid w:val="005C209C"/>
    <w:rsid w:val="005C218B"/>
    <w:rsid w:val="005C21E7"/>
    <w:rsid w:val="005C22AD"/>
    <w:rsid w:val="005C235C"/>
    <w:rsid w:val="005C247F"/>
    <w:rsid w:val="005C256D"/>
    <w:rsid w:val="005C2BEE"/>
    <w:rsid w:val="005C2C8E"/>
    <w:rsid w:val="005C2C91"/>
    <w:rsid w:val="005C2D1C"/>
    <w:rsid w:val="005C2D3D"/>
    <w:rsid w:val="005C2EA5"/>
    <w:rsid w:val="005C2FB3"/>
    <w:rsid w:val="005C3110"/>
    <w:rsid w:val="005C31C3"/>
    <w:rsid w:val="005C31D5"/>
    <w:rsid w:val="005C33FE"/>
    <w:rsid w:val="005C3407"/>
    <w:rsid w:val="005C34CC"/>
    <w:rsid w:val="005C362C"/>
    <w:rsid w:val="005C3658"/>
    <w:rsid w:val="005C3777"/>
    <w:rsid w:val="005C3825"/>
    <w:rsid w:val="005C3827"/>
    <w:rsid w:val="005C3976"/>
    <w:rsid w:val="005C39BE"/>
    <w:rsid w:val="005C3A97"/>
    <w:rsid w:val="005C3B9E"/>
    <w:rsid w:val="005C3DAC"/>
    <w:rsid w:val="005C3DDA"/>
    <w:rsid w:val="005C3E05"/>
    <w:rsid w:val="005C3E16"/>
    <w:rsid w:val="005C3EA7"/>
    <w:rsid w:val="005C3F7C"/>
    <w:rsid w:val="005C411C"/>
    <w:rsid w:val="005C41E2"/>
    <w:rsid w:val="005C4205"/>
    <w:rsid w:val="005C4329"/>
    <w:rsid w:val="005C435F"/>
    <w:rsid w:val="005C43A3"/>
    <w:rsid w:val="005C43FD"/>
    <w:rsid w:val="005C4565"/>
    <w:rsid w:val="005C467A"/>
    <w:rsid w:val="005C467D"/>
    <w:rsid w:val="005C483B"/>
    <w:rsid w:val="005C4916"/>
    <w:rsid w:val="005C4967"/>
    <w:rsid w:val="005C4B63"/>
    <w:rsid w:val="005C4C22"/>
    <w:rsid w:val="005C4FCF"/>
    <w:rsid w:val="005C50E8"/>
    <w:rsid w:val="005C51CA"/>
    <w:rsid w:val="005C5301"/>
    <w:rsid w:val="005C53D8"/>
    <w:rsid w:val="005C5473"/>
    <w:rsid w:val="005C5484"/>
    <w:rsid w:val="005C5602"/>
    <w:rsid w:val="005C5753"/>
    <w:rsid w:val="005C57B0"/>
    <w:rsid w:val="005C580F"/>
    <w:rsid w:val="005C58C1"/>
    <w:rsid w:val="005C599E"/>
    <w:rsid w:val="005C59FF"/>
    <w:rsid w:val="005C5A21"/>
    <w:rsid w:val="005C5AFE"/>
    <w:rsid w:val="005C5B79"/>
    <w:rsid w:val="005C5B81"/>
    <w:rsid w:val="005C5BD2"/>
    <w:rsid w:val="005C5E48"/>
    <w:rsid w:val="005C5F9A"/>
    <w:rsid w:val="005C5FF1"/>
    <w:rsid w:val="005C6055"/>
    <w:rsid w:val="005C616C"/>
    <w:rsid w:val="005C61E6"/>
    <w:rsid w:val="005C6318"/>
    <w:rsid w:val="005C650E"/>
    <w:rsid w:val="005C6561"/>
    <w:rsid w:val="005C656B"/>
    <w:rsid w:val="005C657C"/>
    <w:rsid w:val="005C69CB"/>
    <w:rsid w:val="005C6A83"/>
    <w:rsid w:val="005C6C23"/>
    <w:rsid w:val="005C6CC6"/>
    <w:rsid w:val="005C6E43"/>
    <w:rsid w:val="005C6E5C"/>
    <w:rsid w:val="005C6ED6"/>
    <w:rsid w:val="005C6F85"/>
    <w:rsid w:val="005C701A"/>
    <w:rsid w:val="005C701E"/>
    <w:rsid w:val="005C710D"/>
    <w:rsid w:val="005C71C2"/>
    <w:rsid w:val="005C734E"/>
    <w:rsid w:val="005C7580"/>
    <w:rsid w:val="005C78C1"/>
    <w:rsid w:val="005C78D7"/>
    <w:rsid w:val="005C795C"/>
    <w:rsid w:val="005C7A80"/>
    <w:rsid w:val="005C7B79"/>
    <w:rsid w:val="005C7D5F"/>
    <w:rsid w:val="005C7D63"/>
    <w:rsid w:val="005C7DA5"/>
    <w:rsid w:val="005D01E3"/>
    <w:rsid w:val="005D0277"/>
    <w:rsid w:val="005D03BD"/>
    <w:rsid w:val="005D03EA"/>
    <w:rsid w:val="005D0461"/>
    <w:rsid w:val="005D069E"/>
    <w:rsid w:val="005D06AB"/>
    <w:rsid w:val="005D06D5"/>
    <w:rsid w:val="005D0775"/>
    <w:rsid w:val="005D08BF"/>
    <w:rsid w:val="005D08F8"/>
    <w:rsid w:val="005D09F8"/>
    <w:rsid w:val="005D0C00"/>
    <w:rsid w:val="005D0C06"/>
    <w:rsid w:val="005D0C0A"/>
    <w:rsid w:val="005D0E1D"/>
    <w:rsid w:val="005D0E2C"/>
    <w:rsid w:val="005D11AB"/>
    <w:rsid w:val="005D11D0"/>
    <w:rsid w:val="005D142E"/>
    <w:rsid w:val="005D169F"/>
    <w:rsid w:val="005D170F"/>
    <w:rsid w:val="005D17F3"/>
    <w:rsid w:val="005D182F"/>
    <w:rsid w:val="005D194B"/>
    <w:rsid w:val="005D19CC"/>
    <w:rsid w:val="005D1AFF"/>
    <w:rsid w:val="005D1B10"/>
    <w:rsid w:val="005D1B20"/>
    <w:rsid w:val="005D1B5C"/>
    <w:rsid w:val="005D1E47"/>
    <w:rsid w:val="005D2062"/>
    <w:rsid w:val="005D20D0"/>
    <w:rsid w:val="005D2167"/>
    <w:rsid w:val="005D2295"/>
    <w:rsid w:val="005D2363"/>
    <w:rsid w:val="005D2369"/>
    <w:rsid w:val="005D2396"/>
    <w:rsid w:val="005D23C5"/>
    <w:rsid w:val="005D24EA"/>
    <w:rsid w:val="005D25D8"/>
    <w:rsid w:val="005D2647"/>
    <w:rsid w:val="005D2678"/>
    <w:rsid w:val="005D2685"/>
    <w:rsid w:val="005D26B8"/>
    <w:rsid w:val="005D26CC"/>
    <w:rsid w:val="005D2707"/>
    <w:rsid w:val="005D27FD"/>
    <w:rsid w:val="005D2882"/>
    <w:rsid w:val="005D293A"/>
    <w:rsid w:val="005D2A2B"/>
    <w:rsid w:val="005D2A3E"/>
    <w:rsid w:val="005D321B"/>
    <w:rsid w:val="005D3422"/>
    <w:rsid w:val="005D35A3"/>
    <w:rsid w:val="005D366A"/>
    <w:rsid w:val="005D3764"/>
    <w:rsid w:val="005D3855"/>
    <w:rsid w:val="005D3859"/>
    <w:rsid w:val="005D3877"/>
    <w:rsid w:val="005D38BF"/>
    <w:rsid w:val="005D39C3"/>
    <w:rsid w:val="005D3A21"/>
    <w:rsid w:val="005D3B1D"/>
    <w:rsid w:val="005D3BAC"/>
    <w:rsid w:val="005D3C48"/>
    <w:rsid w:val="005D3C9B"/>
    <w:rsid w:val="005D3CFF"/>
    <w:rsid w:val="005D3D12"/>
    <w:rsid w:val="005D3D52"/>
    <w:rsid w:val="005D3D61"/>
    <w:rsid w:val="005D3E06"/>
    <w:rsid w:val="005D3F20"/>
    <w:rsid w:val="005D3FC8"/>
    <w:rsid w:val="005D406E"/>
    <w:rsid w:val="005D410D"/>
    <w:rsid w:val="005D421D"/>
    <w:rsid w:val="005D42D2"/>
    <w:rsid w:val="005D43C9"/>
    <w:rsid w:val="005D43E2"/>
    <w:rsid w:val="005D43FF"/>
    <w:rsid w:val="005D44D9"/>
    <w:rsid w:val="005D45ED"/>
    <w:rsid w:val="005D467C"/>
    <w:rsid w:val="005D46FD"/>
    <w:rsid w:val="005D470C"/>
    <w:rsid w:val="005D4831"/>
    <w:rsid w:val="005D4852"/>
    <w:rsid w:val="005D488F"/>
    <w:rsid w:val="005D48E4"/>
    <w:rsid w:val="005D4927"/>
    <w:rsid w:val="005D4B22"/>
    <w:rsid w:val="005D4B70"/>
    <w:rsid w:val="005D4C28"/>
    <w:rsid w:val="005D4C9D"/>
    <w:rsid w:val="005D4D1F"/>
    <w:rsid w:val="005D4D36"/>
    <w:rsid w:val="005D4DCE"/>
    <w:rsid w:val="005D4E5A"/>
    <w:rsid w:val="005D4F57"/>
    <w:rsid w:val="005D4FA1"/>
    <w:rsid w:val="005D4FA9"/>
    <w:rsid w:val="005D4FBC"/>
    <w:rsid w:val="005D52CD"/>
    <w:rsid w:val="005D53E7"/>
    <w:rsid w:val="005D55E7"/>
    <w:rsid w:val="005D5755"/>
    <w:rsid w:val="005D57BF"/>
    <w:rsid w:val="005D58CF"/>
    <w:rsid w:val="005D5BE8"/>
    <w:rsid w:val="005D5C5C"/>
    <w:rsid w:val="005D5D68"/>
    <w:rsid w:val="005D5DF3"/>
    <w:rsid w:val="005D5E5E"/>
    <w:rsid w:val="005D5EB1"/>
    <w:rsid w:val="005D5F4C"/>
    <w:rsid w:val="005D605D"/>
    <w:rsid w:val="005D652F"/>
    <w:rsid w:val="005D655F"/>
    <w:rsid w:val="005D66F8"/>
    <w:rsid w:val="005D6891"/>
    <w:rsid w:val="005D693D"/>
    <w:rsid w:val="005D69F0"/>
    <w:rsid w:val="005D6B32"/>
    <w:rsid w:val="005D6BAA"/>
    <w:rsid w:val="005D6C70"/>
    <w:rsid w:val="005D6CEF"/>
    <w:rsid w:val="005D6DC4"/>
    <w:rsid w:val="005D6E89"/>
    <w:rsid w:val="005D6F37"/>
    <w:rsid w:val="005D7019"/>
    <w:rsid w:val="005D73A9"/>
    <w:rsid w:val="005D73DD"/>
    <w:rsid w:val="005D7437"/>
    <w:rsid w:val="005D75AB"/>
    <w:rsid w:val="005D7668"/>
    <w:rsid w:val="005D76AB"/>
    <w:rsid w:val="005D7803"/>
    <w:rsid w:val="005D7884"/>
    <w:rsid w:val="005D7906"/>
    <w:rsid w:val="005D79C4"/>
    <w:rsid w:val="005D7A3F"/>
    <w:rsid w:val="005D7AA8"/>
    <w:rsid w:val="005D7BC1"/>
    <w:rsid w:val="005D7E27"/>
    <w:rsid w:val="005D7EC5"/>
    <w:rsid w:val="005D7FDD"/>
    <w:rsid w:val="005E0323"/>
    <w:rsid w:val="005E0325"/>
    <w:rsid w:val="005E03C6"/>
    <w:rsid w:val="005E0531"/>
    <w:rsid w:val="005E0548"/>
    <w:rsid w:val="005E0773"/>
    <w:rsid w:val="005E0AE4"/>
    <w:rsid w:val="005E0B3B"/>
    <w:rsid w:val="005E0BA4"/>
    <w:rsid w:val="005E0E53"/>
    <w:rsid w:val="005E0FA8"/>
    <w:rsid w:val="005E115B"/>
    <w:rsid w:val="005E1170"/>
    <w:rsid w:val="005E11D8"/>
    <w:rsid w:val="005E13BE"/>
    <w:rsid w:val="005E13DA"/>
    <w:rsid w:val="005E13FD"/>
    <w:rsid w:val="005E1402"/>
    <w:rsid w:val="005E14BE"/>
    <w:rsid w:val="005E153D"/>
    <w:rsid w:val="005E153E"/>
    <w:rsid w:val="005E15AE"/>
    <w:rsid w:val="005E1707"/>
    <w:rsid w:val="005E1713"/>
    <w:rsid w:val="005E17B1"/>
    <w:rsid w:val="005E17EC"/>
    <w:rsid w:val="005E19CA"/>
    <w:rsid w:val="005E1B1A"/>
    <w:rsid w:val="005E1BA3"/>
    <w:rsid w:val="005E1D0A"/>
    <w:rsid w:val="005E1EF5"/>
    <w:rsid w:val="005E1FF0"/>
    <w:rsid w:val="005E204F"/>
    <w:rsid w:val="005E2144"/>
    <w:rsid w:val="005E2189"/>
    <w:rsid w:val="005E227A"/>
    <w:rsid w:val="005E244D"/>
    <w:rsid w:val="005E2617"/>
    <w:rsid w:val="005E26F5"/>
    <w:rsid w:val="005E2799"/>
    <w:rsid w:val="005E27B3"/>
    <w:rsid w:val="005E2884"/>
    <w:rsid w:val="005E2A20"/>
    <w:rsid w:val="005E2A38"/>
    <w:rsid w:val="005E2B0C"/>
    <w:rsid w:val="005E2BB1"/>
    <w:rsid w:val="005E2C1A"/>
    <w:rsid w:val="005E2C87"/>
    <w:rsid w:val="005E2D0A"/>
    <w:rsid w:val="005E2FDF"/>
    <w:rsid w:val="005E30FA"/>
    <w:rsid w:val="005E3196"/>
    <w:rsid w:val="005E32C0"/>
    <w:rsid w:val="005E333A"/>
    <w:rsid w:val="005E333F"/>
    <w:rsid w:val="005E33DC"/>
    <w:rsid w:val="005E347A"/>
    <w:rsid w:val="005E3508"/>
    <w:rsid w:val="005E3604"/>
    <w:rsid w:val="005E3629"/>
    <w:rsid w:val="005E36D0"/>
    <w:rsid w:val="005E3740"/>
    <w:rsid w:val="005E37F8"/>
    <w:rsid w:val="005E3949"/>
    <w:rsid w:val="005E39EA"/>
    <w:rsid w:val="005E3DCE"/>
    <w:rsid w:val="005E3F17"/>
    <w:rsid w:val="005E3F1A"/>
    <w:rsid w:val="005E3FB3"/>
    <w:rsid w:val="005E3FCB"/>
    <w:rsid w:val="005E42B6"/>
    <w:rsid w:val="005E42C0"/>
    <w:rsid w:val="005E435D"/>
    <w:rsid w:val="005E43AC"/>
    <w:rsid w:val="005E43E5"/>
    <w:rsid w:val="005E4430"/>
    <w:rsid w:val="005E443D"/>
    <w:rsid w:val="005E44BD"/>
    <w:rsid w:val="005E44D3"/>
    <w:rsid w:val="005E46C2"/>
    <w:rsid w:val="005E4996"/>
    <w:rsid w:val="005E4AB5"/>
    <w:rsid w:val="005E4BC1"/>
    <w:rsid w:val="005E4D3A"/>
    <w:rsid w:val="005E4F7F"/>
    <w:rsid w:val="005E4F9D"/>
    <w:rsid w:val="005E4FBF"/>
    <w:rsid w:val="005E5093"/>
    <w:rsid w:val="005E5153"/>
    <w:rsid w:val="005E5271"/>
    <w:rsid w:val="005E5330"/>
    <w:rsid w:val="005E5463"/>
    <w:rsid w:val="005E5552"/>
    <w:rsid w:val="005E559E"/>
    <w:rsid w:val="005E55DB"/>
    <w:rsid w:val="005E5730"/>
    <w:rsid w:val="005E584B"/>
    <w:rsid w:val="005E58C9"/>
    <w:rsid w:val="005E58D8"/>
    <w:rsid w:val="005E59D2"/>
    <w:rsid w:val="005E5ABD"/>
    <w:rsid w:val="005E5B0B"/>
    <w:rsid w:val="005E5CD0"/>
    <w:rsid w:val="005E5CF8"/>
    <w:rsid w:val="005E6055"/>
    <w:rsid w:val="005E60E3"/>
    <w:rsid w:val="005E6144"/>
    <w:rsid w:val="005E6526"/>
    <w:rsid w:val="005E653A"/>
    <w:rsid w:val="005E6556"/>
    <w:rsid w:val="005E658D"/>
    <w:rsid w:val="005E666C"/>
    <w:rsid w:val="005E69D3"/>
    <w:rsid w:val="005E6A7C"/>
    <w:rsid w:val="005E6AA0"/>
    <w:rsid w:val="005E6D3A"/>
    <w:rsid w:val="005E6D63"/>
    <w:rsid w:val="005E6E36"/>
    <w:rsid w:val="005E6F98"/>
    <w:rsid w:val="005E7094"/>
    <w:rsid w:val="005E70A0"/>
    <w:rsid w:val="005E70A9"/>
    <w:rsid w:val="005E72A3"/>
    <w:rsid w:val="005E744E"/>
    <w:rsid w:val="005E7557"/>
    <w:rsid w:val="005E769E"/>
    <w:rsid w:val="005E772B"/>
    <w:rsid w:val="005E7924"/>
    <w:rsid w:val="005E7944"/>
    <w:rsid w:val="005E7980"/>
    <w:rsid w:val="005E7AA3"/>
    <w:rsid w:val="005E7AFB"/>
    <w:rsid w:val="005E7C11"/>
    <w:rsid w:val="005E7D2F"/>
    <w:rsid w:val="005E7D6B"/>
    <w:rsid w:val="005E7E39"/>
    <w:rsid w:val="005E7F4C"/>
    <w:rsid w:val="005E7FE2"/>
    <w:rsid w:val="005F006C"/>
    <w:rsid w:val="005F00E6"/>
    <w:rsid w:val="005F01BF"/>
    <w:rsid w:val="005F0295"/>
    <w:rsid w:val="005F02E2"/>
    <w:rsid w:val="005F030D"/>
    <w:rsid w:val="005F0396"/>
    <w:rsid w:val="005F03E2"/>
    <w:rsid w:val="005F0437"/>
    <w:rsid w:val="005F0462"/>
    <w:rsid w:val="005F04DC"/>
    <w:rsid w:val="005F0518"/>
    <w:rsid w:val="005F06AE"/>
    <w:rsid w:val="005F0774"/>
    <w:rsid w:val="005F0812"/>
    <w:rsid w:val="005F086D"/>
    <w:rsid w:val="005F087F"/>
    <w:rsid w:val="005F0A1E"/>
    <w:rsid w:val="005F0B1A"/>
    <w:rsid w:val="005F0BB0"/>
    <w:rsid w:val="005F0DDD"/>
    <w:rsid w:val="005F0E45"/>
    <w:rsid w:val="005F0EB4"/>
    <w:rsid w:val="005F0F9F"/>
    <w:rsid w:val="005F109C"/>
    <w:rsid w:val="005F114E"/>
    <w:rsid w:val="005F1179"/>
    <w:rsid w:val="005F1215"/>
    <w:rsid w:val="005F1228"/>
    <w:rsid w:val="005F1281"/>
    <w:rsid w:val="005F12B3"/>
    <w:rsid w:val="005F1328"/>
    <w:rsid w:val="005F133A"/>
    <w:rsid w:val="005F13A2"/>
    <w:rsid w:val="005F13E5"/>
    <w:rsid w:val="005F150D"/>
    <w:rsid w:val="005F153E"/>
    <w:rsid w:val="005F1834"/>
    <w:rsid w:val="005F18CB"/>
    <w:rsid w:val="005F1918"/>
    <w:rsid w:val="005F19A9"/>
    <w:rsid w:val="005F1A40"/>
    <w:rsid w:val="005F1C5A"/>
    <w:rsid w:val="005F1D3C"/>
    <w:rsid w:val="005F1D79"/>
    <w:rsid w:val="005F1D82"/>
    <w:rsid w:val="005F1DCC"/>
    <w:rsid w:val="005F1E15"/>
    <w:rsid w:val="005F1E29"/>
    <w:rsid w:val="005F1F43"/>
    <w:rsid w:val="005F1F76"/>
    <w:rsid w:val="005F1FF0"/>
    <w:rsid w:val="005F20CE"/>
    <w:rsid w:val="005F20ED"/>
    <w:rsid w:val="005F22C3"/>
    <w:rsid w:val="005F22D4"/>
    <w:rsid w:val="005F2326"/>
    <w:rsid w:val="005F2498"/>
    <w:rsid w:val="005F26DA"/>
    <w:rsid w:val="005F2895"/>
    <w:rsid w:val="005F28B4"/>
    <w:rsid w:val="005F2924"/>
    <w:rsid w:val="005F2A23"/>
    <w:rsid w:val="005F2B77"/>
    <w:rsid w:val="005F2C4D"/>
    <w:rsid w:val="005F2C57"/>
    <w:rsid w:val="005F2EF3"/>
    <w:rsid w:val="005F2EF4"/>
    <w:rsid w:val="005F2F57"/>
    <w:rsid w:val="005F3011"/>
    <w:rsid w:val="005F3015"/>
    <w:rsid w:val="005F3068"/>
    <w:rsid w:val="005F31CD"/>
    <w:rsid w:val="005F31EC"/>
    <w:rsid w:val="005F3212"/>
    <w:rsid w:val="005F3233"/>
    <w:rsid w:val="005F327F"/>
    <w:rsid w:val="005F3336"/>
    <w:rsid w:val="005F34C6"/>
    <w:rsid w:val="005F3587"/>
    <w:rsid w:val="005F36AE"/>
    <w:rsid w:val="005F3862"/>
    <w:rsid w:val="005F3931"/>
    <w:rsid w:val="005F39C7"/>
    <w:rsid w:val="005F39CB"/>
    <w:rsid w:val="005F3A0A"/>
    <w:rsid w:val="005F3A52"/>
    <w:rsid w:val="005F3C5C"/>
    <w:rsid w:val="005F3C81"/>
    <w:rsid w:val="005F3CC0"/>
    <w:rsid w:val="005F3CD0"/>
    <w:rsid w:val="005F3EB9"/>
    <w:rsid w:val="005F3EE0"/>
    <w:rsid w:val="005F3F2A"/>
    <w:rsid w:val="005F3F2B"/>
    <w:rsid w:val="005F4024"/>
    <w:rsid w:val="005F4291"/>
    <w:rsid w:val="005F42CF"/>
    <w:rsid w:val="005F4543"/>
    <w:rsid w:val="005F4721"/>
    <w:rsid w:val="005F49BC"/>
    <w:rsid w:val="005F4A66"/>
    <w:rsid w:val="005F4D1E"/>
    <w:rsid w:val="005F4D34"/>
    <w:rsid w:val="005F4D37"/>
    <w:rsid w:val="005F4D57"/>
    <w:rsid w:val="005F4F44"/>
    <w:rsid w:val="005F4F47"/>
    <w:rsid w:val="005F4F61"/>
    <w:rsid w:val="005F4FAF"/>
    <w:rsid w:val="005F5072"/>
    <w:rsid w:val="005F50BF"/>
    <w:rsid w:val="005F5100"/>
    <w:rsid w:val="005F51F1"/>
    <w:rsid w:val="005F5479"/>
    <w:rsid w:val="005F550B"/>
    <w:rsid w:val="005F572F"/>
    <w:rsid w:val="005F5795"/>
    <w:rsid w:val="005F593D"/>
    <w:rsid w:val="005F5D3D"/>
    <w:rsid w:val="005F5D8F"/>
    <w:rsid w:val="005F5DBD"/>
    <w:rsid w:val="005F5E27"/>
    <w:rsid w:val="005F5E43"/>
    <w:rsid w:val="005F61F4"/>
    <w:rsid w:val="005F6223"/>
    <w:rsid w:val="005F623E"/>
    <w:rsid w:val="005F627F"/>
    <w:rsid w:val="005F6295"/>
    <w:rsid w:val="005F640C"/>
    <w:rsid w:val="005F645E"/>
    <w:rsid w:val="005F68A1"/>
    <w:rsid w:val="005F68DC"/>
    <w:rsid w:val="005F6970"/>
    <w:rsid w:val="005F6989"/>
    <w:rsid w:val="005F6A6E"/>
    <w:rsid w:val="005F6AAB"/>
    <w:rsid w:val="005F6ABA"/>
    <w:rsid w:val="005F6ABF"/>
    <w:rsid w:val="005F6B01"/>
    <w:rsid w:val="005F6CF9"/>
    <w:rsid w:val="005F6D32"/>
    <w:rsid w:val="005F6DD7"/>
    <w:rsid w:val="005F6E4D"/>
    <w:rsid w:val="005F6E5C"/>
    <w:rsid w:val="005F6EAA"/>
    <w:rsid w:val="005F6EBE"/>
    <w:rsid w:val="005F7011"/>
    <w:rsid w:val="005F70A3"/>
    <w:rsid w:val="005F73BB"/>
    <w:rsid w:val="005F73CC"/>
    <w:rsid w:val="005F73FA"/>
    <w:rsid w:val="005F752B"/>
    <w:rsid w:val="005F7687"/>
    <w:rsid w:val="005F76AA"/>
    <w:rsid w:val="005F76BD"/>
    <w:rsid w:val="005F76C9"/>
    <w:rsid w:val="005F771C"/>
    <w:rsid w:val="005F7720"/>
    <w:rsid w:val="005F77BF"/>
    <w:rsid w:val="005F7AB6"/>
    <w:rsid w:val="005F7AF4"/>
    <w:rsid w:val="005F7B48"/>
    <w:rsid w:val="005F7D1B"/>
    <w:rsid w:val="005F7DA3"/>
    <w:rsid w:val="005F7DAD"/>
    <w:rsid w:val="005F7DCD"/>
    <w:rsid w:val="005F7EBF"/>
    <w:rsid w:val="005F7F6C"/>
    <w:rsid w:val="00600152"/>
    <w:rsid w:val="00600266"/>
    <w:rsid w:val="006005AE"/>
    <w:rsid w:val="006005FF"/>
    <w:rsid w:val="0060064D"/>
    <w:rsid w:val="006006BC"/>
    <w:rsid w:val="00600742"/>
    <w:rsid w:val="0060083D"/>
    <w:rsid w:val="0060099C"/>
    <w:rsid w:val="00600A39"/>
    <w:rsid w:val="00600A7F"/>
    <w:rsid w:val="00600B7A"/>
    <w:rsid w:val="00600FB9"/>
    <w:rsid w:val="006010FE"/>
    <w:rsid w:val="006011AF"/>
    <w:rsid w:val="006013BF"/>
    <w:rsid w:val="0060142F"/>
    <w:rsid w:val="00601501"/>
    <w:rsid w:val="00601693"/>
    <w:rsid w:val="00601718"/>
    <w:rsid w:val="0060180C"/>
    <w:rsid w:val="0060181E"/>
    <w:rsid w:val="00601966"/>
    <w:rsid w:val="00601A2F"/>
    <w:rsid w:val="00601B41"/>
    <w:rsid w:val="00601C0A"/>
    <w:rsid w:val="00601DDD"/>
    <w:rsid w:val="00601E61"/>
    <w:rsid w:val="00601F38"/>
    <w:rsid w:val="0060201B"/>
    <w:rsid w:val="00602096"/>
    <w:rsid w:val="006020E2"/>
    <w:rsid w:val="006021E6"/>
    <w:rsid w:val="006022EC"/>
    <w:rsid w:val="0060231A"/>
    <w:rsid w:val="0060231E"/>
    <w:rsid w:val="00602342"/>
    <w:rsid w:val="006023D4"/>
    <w:rsid w:val="0060248A"/>
    <w:rsid w:val="006024D3"/>
    <w:rsid w:val="00602695"/>
    <w:rsid w:val="0060273D"/>
    <w:rsid w:val="00602821"/>
    <w:rsid w:val="006028AE"/>
    <w:rsid w:val="00602974"/>
    <w:rsid w:val="006029BC"/>
    <w:rsid w:val="00602A62"/>
    <w:rsid w:val="00602B8F"/>
    <w:rsid w:val="00602BCD"/>
    <w:rsid w:val="00602C27"/>
    <w:rsid w:val="00602D6F"/>
    <w:rsid w:val="00602FAF"/>
    <w:rsid w:val="0060318E"/>
    <w:rsid w:val="00603287"/>
    <w:rsid w:val="00603346"/>
    <w:rsid w:val="0060339B"/>
    <w:rsid w:val="006033D8"/>
    <w:rsid w:val="006033F7"/>
    <w:rsid w:val="006035BA"/>
    <w:rsid w:val="0060390B"/>
    <w:rsid w:val="006039B3"/>
    <w:rsid w:val="00603A93"/>
    <w:rsid w:val="00603B04"/>
    <w:rsid w:val="00603C76"/>
    <w:rsid w:val="00603DC4"/>
    <w:rsid w:val="00603E75"/>
    <w:rsid w:val="00603FF9"/>
    <w:rsid w:val="00604194"/>
    <w:rsid w:val="00604274"/>
    <w:rsid w:val="0060429B"/>
    <w:rsid w:val="006044B1"/>
    <w:rsid w:val="006044C8"/>
    <w:rsid w:val="00604629"/>
    <w:rsid w:val="006046E0"/>
    <w:rsid w:val="0060489A"/>
    <w:rsid w:val="00604970"/>
    <w:rsid w:val="00604985"/>
    <w:rsid w:val="006049DD"/>
    <w:rsid w:val="00604A4A"/>
    <w:rsid w:val="00604BB2"/>
    <w:rsid w:val="00604C5F"/>
    <w:rsid w:val="00604C9C"/>
    <w:rsid w:val="00604D4A"/>
    <w:rsid w:val="00604DA6"/>
    <w:rsid w:val="00604FE8"/>
    <w:rsid w:val="006050A9"/>
    <w:rsid w:val="00605245"/>
    <w:rsid w:val="00605345"/>
    <w:rsid w:val="00605445"/>
    <w:rsid w:val="0060546A"/>
    <w:rsid w:val="0060560F"/>
    <w:rsid w:val="0060565D"/>
    <w:rsid w:val="006056D1"/>
    <w:rsid w:val="006056EA"/>
    <w:rsid w:val="00605788"/>
    <w:rsid w:val="00605805"/>
    <w:rsid w:val="00605950"/>
    <w:rsid w:val="00605A62"/>
    <w:rsid w:val="00605AB2"/>
    <w:rsid w:val="00605BC4"/>
    <w:rsid w:val="00605CF3"/>
    <w:rsid w:val="00605DB0"/>
    <w:rsid w:val="00605DCE"/>
    <w:rsid w:val="00605E16"/>
    <w:rsid w:val="00605FE9"/>
    <w:rsid w:val="00605FF4"/>
    <w:rsid w:val="00606075"/>
    <w:rsid w:val="006060C6"/>
    <w:rsid w:val="0060610C"/>
    <w:rsid w:val="00606116"/>
    <w:rsid w:val="0060624A"/>
    <w:rsid w:val="00606252"/>
    <w:rsid w:val="0060635E"/>
    <w:rsid w:val="006063E0"/>
    <w:rsid w:val="00606474"/>
    <w:rsid w:val="0060647F"/>
    <w:rsid w:val="00606551"/>
    <w:rsid w:val="006065D1"/>
    <w:rsid w:val="0060692D"/>
    <w:rsid w:val="00606B62"/>
    <w:rsid w:val="00606BB2"/>
    <w:rsid w:val="00606EF6"/>
    <w:rsid w:val="00606F8C"/>
    <w:rsid w:val="0060700B"/>
    <w:rsid w:val="006070EA"/>
    <w:rsid w:val="006071A0"/>
    <w:rsid w:val="0060720F"/>
    <w:rsid w:val="00607263"/>
    <w:rsid w:val="00607568"/>
    <w:rsid w:val="006075F3"/>
    <w:rsid w:val="00607740"/>
    <w:rsid w:val="00607910"/>
    <w:rsid w:val="00607926"/>
    <w:rsid w:val="00607945"/>
    <w:rsid w:val="006079BB"/>
    <w:rsid w:val="00607B29"/>
    <w:rsid w:val="00607B78"/>
    <w:rsid w:val="00607CA2"/>
    <w:rsid w:val="00607CC1"/>
    <w:rsid w:val="00607D25"/>
    <w:rsid w:val="00607D82"/>
    <w:rsid w:val="00610003"/>
    <w:rsid w:val="00610030"/>
    <w:rsid w:val="00610069"/>
    <w:rsid w:val="00610114"/>
    <w:rsid w:val="006103B2"/>
    <w:rsid w:val="006103D4"/>
    <w:rsid w:val="00610553"/>
    <w:rsid w:val="006106D3"/>
    <w:rsid w:val="0061071D"/>
    <w:rsid w:val="00610804"/>
    <w:rsid w:val="00610A35"/>
    <w:rsid w:val="00610ABC"/>
    <w:rsid w:val="00610BF2"/>
    <w:rsid w:val="00610C8A"/>
    <w:rsid w:val="00610E55"/>
    <w:rsid w:val="00611096"/>
    <w:rsid w:val="006110B4"/>
    <w:rsid w:val="00611188"/>
    <w:rsid w:val="006113AF"/>
    <w:rsid w:val="006113E8"/>
    <w:rsid w:val="006114FF"/>
    <w:rsid w:val="0061174E"/>
    <w:rsid w:val="006119D2"/>
    <w:rsid w:val="00611C68"/>
    <w:rsid w:val="00611CA0"/>
    <w:rsid w:val="00611D61"/>
    <w:rsid w:val="00611E02"/>
    <w:rsid w:val="00611E41"/>
    <w:rsid w:val="00611FDD"/>
    <w:rsid w:val="00612096"/>
    <w:rsid w:val="006120FE"/>
    <w:rsid w:val="00612141"/>
    <w:rsid w:val="00612156"/>
    <w:rsid w:val="0061228D"/>
    <w:rsid w:val="0061240C"/>
    <w:rsid w:val="006124B2"/>
    <w:rsid w:val="006127FB"/>
    <w:rsid w:val="00612A34"/>
    <w:rsid w:val="00612C9E"/>
    <w:rsid w:val="00612D38"/>
    <w:rsid w:val="00612D5D"/>
    <w:rsid w:val="00612DD1"/>
    <w:rsid w:val="00612DFE"/>
    <w:rsid w:val="00612F24"/>
    <w:rsid w:val="0061302D"/>
    <w:rsid w:val="00613038"/>
    <w:rsid w:val="006130FA"/>
    <w:rsid w:val="00613106"/>
    <w:rsid w:val="0061317F"/>
    <w:rsid w:val="0061329C"/>
    <w:rsid w:val="00613326"/>
    <w:rsid w:val="006133ED"/>
    <w:rsid w:val="00613435"/>
    <w:rsid w:val="00613482"/>
    <w:rsid w:val="006135C5"/>
    <w:rsid w:val="006135C8"/>
    <w:rsid w:val="00613725"/>
    <w:rsid w:val="006137E7"/>
    <w:rsid w:val="006138D3"/>
    <w:rsid w:val="0061396A"/>
    <w:rsid w:val="006139D0"/>
    <w:rsid w:val="00613AB1"/>
    <w:rsid w:val="00613AF4"/>
    <w:rsid w:val="00613AFA"/>
    <w:rsid w:val="00613B42"/>
    <w:rsid w:val="00613CA5"/>
    <w:rsid w:val="00613CED"/>
    <w:rsid w:val="00613DEB"/>
    <w:rsid w:val="00613EDB"/>
    <w:rsid w:val="00613F09"/>
    <w:rsid w:val="00614168"/>
    <w:rsid w:val="006141EA"/>
    <w:rsid w:val="00614575"/>
    <w:rsid w:val="0061457A"/>
    <w:rsid w:val="0061464E"/>
    <w:rsid w:val="00614837"/>
    <w:rsid w:val="006148AD"/>
    <w:rsid w:val="00614973"/>
    <w:rsid w:val="006149FD"/>
    <w:rsid w:val="00614AB1"/>
    <w:rsid w:val="00614B40"/>
    <w:rsid w:val="00614B76"/>
    <w:rsid w:val="00614BF8"/>
    <w:rsid w:val="00614C5D"/>
    <w:rsid w:val="00614DAA"/>
    <w:rsid w:val="00614E35"/>
    <w:rsid w:val="00614E52"/>
    <w:rsid w:val="00614FFC"/>
    <w:rsid w:val="00615002"/>
    <w:rsid w:val="00615197"/>
    <w:rsid w:val="00615295"/>
    <w:rsid w:val="0061545A"/>
    <w:rsid w:val="0061555C"/>
    <w:rsid w:val="00615567"/>
    <w:rsid w:val="006155A5"/>
    <w:rsid w:val="006155EA"/>
    <w:rsid w:val="00615607"/>
    <w:rsid w:val="00615712"/>
    <w:rsid w:val="00615736"/>
    <w:rsid w:val="006157A5"/>
    <w:rsid w:val="0061585B"/>
    <w:rsid w:val="0061585F"/>
    <w:rsid w:val="006158F8"/>
    <w:rsid w:val="00615994"/>
    <w:rsid w:val="00615A55"/>
    <w:rsid w:val="00615AFC"/>
    <w:rsid w:val="00615B12"/>
    <w:rsid w:val="00615CA4"/>
    <w:rsid w:val="00615DE6"/>
    <w:rsid w:val="00615E34"/>
    <w:rsid w:val="00615F3D"/>
    <w:rsid w:val="00615F55"/>
    <w:rsid w:val="00616201"/>
    <w:rsid w:val="00616260"/>
    <w:rsid w:val="00616440"/>
    <w:rsid w:val="00616558"/>
    <w:rsid w:val="00616613"/>
    <w:rsid w:val="006166BE"/>
    <w:rsid w:val="00616832"/>
    <w:rsid w:val="00616D71"/>
    <w:rsid w:val="00616DC5"/>
    <w:rsid w:val="00616E4D"/>
    <w:rsid w:val="00616FB2"/>
    <w:rsid w:val="00616FD8"/>
    <w:rsid w:val="00617046"/>
    <w:rsid w:val="00617221"/>
    <w:rsid w:val="0061722F"/>
    <w:rsid w:val="00617238"/>
    <w:rsid w:val="006172DA"/>
    <w:rsid w:val="00617396"/>
    <w:rsid w:val="00617468"/>
    <w:rsid w:val="00617504"/>
    <w:rsid w:val="00617540"/>
    <w:rsid w:val="006175EE"/>
    <w:rsid w:val="00617738"/>
    <w:rsid w:val="0061773D"/>
    <w:rsid w:val="006179CC"/>
    <w:rsid w:val="00617A25"/>
    <w:rsid w:val="00617CC0"/>
    <w:rsid w:val="00617D60"/>
    <w:rsid w:val="00617E15"/>
    <w:rsid w:val="00620111"/>
    <w:rsid w:val="0062016D"/>
    <w:rsid w:val="00620171"/>
    <w:rsid w:val="0062018F"/>
    <w:rsid w:val="00620470"/>
    <w:rsid w:val="00620569"/>
    <w:rsid w:val="00620688"/>
    <w:rsid w:val="00620721"/>
    <w:rsid w:val="00620772"/>
    <w:rsid w:val="006207AB"/>
    <w:rsid w:val="006208CF"/>
    <w:rsid w:val="0062096E"/>
    <w:rsid w:val="006209B3"/>
    <w:rsid w:val="00620A3F"/>
    <w:rsid w:val="00620BEF"/>
    <w:rsid w:val="00620C5D"/>
    <w:rsid w:val="00620C71"/>
    <w:rsid w:val="00620CC4"/>
    <w:rsid w:val="00620CE3"/>
    <w:rsid w:val="00620FEA"/>
    <w:rsid w:val="006211B8"/>
    <w:rsid w:val="006211C2"/>
    <w:rsid w:val="00621220"/>
    <w:rsid w:val="00621365"/>
    <w:rsid w:val="006213E4"/>
    <w:rsid w:val="006214A2"/>
    <w:rsid w:val="006214DF"/>
    <w:rsid w:val="006215E7"/>
    <w:rsid w:val="006215F2"/>
    <w:rsid w:val="00621719"/>
    <w:rsid w:val="00621746"/>
    <w:rsid w:val="0062196A"/>
    <w:rsid w:val="00621AF7"/>
    <w:rsid w:val="00621C08"/>
    <w:rsid w:val="00621E04"/>
    <w:rsid w:val="006220CA"/>
    <w:rsid w:val="006220E0"/>
    <w:rsid w:val="006221B1"/>
    <w:rsid w:val="006221C1"/>
    <w:rsid w:val="0062225B"/>
    <w:rsid w:val="006222D0"/>
    <w:rsid w:val="006223F6"/>
    <w:rsid w:val="006225E5"/>
    <w:rsid w:val="00622685"/>
    <w:rsid w:val="006226B9"/>
    <w:rsid w:val="006226E4"/>
    <w:rsid w:val="00622A13"/>
    <w:rsid w:val="00622B01"/>
    <w:rsid w:val="00622B28"/>
    <w:rsid w:val="00622B4C"/>
    <w:rsid w:val="00622DC0"/>
    <w:rsid w:val="00622DD4"/>
    <w:rsid w:val="00622E2E"/>
    <w:rsid w:val="00622E6A"/>
    <w:rsid w:val="00622E8C"/>
    <w:rsid w:val="00622F6F"/>
    <w:rsid w:val="0062328E"/>
    <w:rsid w:val="006232DC"/>
    <w:rsid w:val="00623317"/>
    <w:rsid w:val="006233A5"/>
    <w:rsid w:val="0062344F"/>
    <w:rsid w:val="006234A9"/>
    <w:rsid w:val="00623737"/>
    <w:rsid w:val="0062376D"/>
    <w:rsid w:val="006237B3"/>
    <w:rsid w:val="00623871"/>
    <w:rsid w:val="00623A5C"/>
    <w:rsid w:val="00623A75"/>
    <w:rsid w:val="00623ACA"/>
    <w:rsid w:val="00623AEB"/>
    <w:rsid w:val="00623C09"/>
    <w:rsid w:val="00623CE0"/>
    <w:rsid w:val="00623D81"/>
    <w:rsid w:val="00623D87"/>
    <w:rsid w:val="00623DAD"/>
    <w:rsid w:val="00623E0C"/>
    <w:rsid w:val="00623E72"/>
    <w:rsid w:val="00623EB0"/>
    <w:rsid w:val="00623F38"/>
    <w:rsid w:val="00624037"/>
    <w:rsid w:val="006240A7"/>
    <w:rsid w:val="006240BB"/>
    <w:rsid w:val="006241DD"/>
    <w:rsid w:val="006242E1"/>
    <w:rsid w:val="00624365"/>
    <w:rsid w:val="00624406"/>
    <w:rsid w:val="006244AF"/>
    <w:rsid w:val="006244E8"/>
    <w:rsid w:val="00624581"/>
    <w:rsid w:val="00624673"/>
    <w:rsid w:val="00624839"/>
    <w:rsid w:val="006248BC"/>
    <w:rsid w:val="006249A8"/>
    <w:rsid w:val="00624A09"/>
    <w:rsid w:val="00624A19"/>
    <w:rsid w:val="00624BF7"/>
    <w:rsid w:val="00624D0B"/>
    <w:rsid w:val="00624F8C"/>
    <w:rsid w:val="00625087"/>
    <w:rsid w:val="006250D0"/>
    <w:rsid w:val="00625159"/>
    <w:rsid w:val="00625196"/>
    <w:rsid w:val="00625201"/>
    <w:rsid w:val="006252DC"/>
    <w:rsid w:val="0062532A"/>
    <w:rsid w:val="00625351"/>
    <w:rsid w:val="00625444"/>
    <w:rsid w:val="00625556"/>
    <w:rsid w:val="0062560E"/>
    <w:rsid w:val="00625673"/>
    <w:rsid w:val="006256EF"/>
    <w:rsid w:val="006257C6"/>
    <w:rsid w:val="006257F0"/>
    <w:rsid w:val="0062586E"/>
    <w:rsid w:val="006258C6"/>
    <w:rsid w:val="00625AC1"/>
    <w:rsid w:val="00625B5B"/>
    <w:rsid w:val="00625DA1"/>
    <w:rsid w:val="00625E66"/>
    <w:rsid w:val="00625EFA"/>
    <w:rsid w:val="00625F59"/>
    <w:rsid w:val="0062601C"/>
    <w:rsid w:val="006260EF"/>
    <w:rsid w:val="00626188"/>
    <w:rsid w:val="00626196"/>
    <w:rsid w:val="006261CC"/>
    <w:rsid w:val="00626513"/>
    <w:rsid w:val="00626566"/>
    <w:rsid w:val="00626634"/>
    <w:rsid w:val="0062682B"/>
    <w:rsid w:val="00626B83"/>
    <w:rsid w:val="00626BB0"/>
    <w:rsid w:val="00626BCC"/>
    <w:rsid w:val="00626C00"/>
    <w:rsid w:val="00626C39"/>
    <w:rsid w:val="00626D77"/>
    <w:rsid w:val="00626F0A"/>
    <w:rsid w:val="00626F61"/>
    <w:rsid w:val="00627108"/>
    <w:rsid w:val="00627176"/>
    <w:rsid w:val="0062740E"/>
    <w:rsid w:val="00627486"/>
    <w:rsid w:val="006274E4"/>
    <w:rsid w:val="00627591"/>
    <w:rsid w:val="00627631"/>
    <w:rsid w:val="0062765C"/>
    <w:rsid w:val="00627810"/>
    <w:rsid w:val="00627811"/>
    <w:rsid w:val="0062785F"/>
    <w:rsid w:val="00627950"/>
    <w:rsid w:val="00627983"/>
    <w:rsid w:val="00627A9A"/>
    <w:rsid w:val="00627C0B"/>
    <w:rsid w:val="00627C1F"/>
    <w:rsid w:val="00627CCC"/>
    <w:rsid w:val="00627D16"/>
    <w:rsid w:val="00627D29"/>
    <w:rsid w:val="00627DC6"/>
    <w:rsid w:val="00627F64"/>
    <w:rsid w:val="00627F88"/>
    <w:rsid w:val="00627FBC"/>
    <w:rsid w:val="00627FE1"/>
    <w:rsid w:val="00627FFD"/>
    <w:rsid w:val="006300A5"/>
    <w:rsid w:val="0063010B"/>
    <w:rsid w:val="0063011C"/>
    <w:rsid w:val="00630153"/>
    <w:rsid w:val="0063016E"/>
    <w:rsid w:val="006301D1"/>
    <w:rsid w:val="006301FE"/>
    <w:rsid w:val="0063025F"/>
    <w:rsid w:val="0063032E"/>
    <w:rsid w:val="00630344"/>
    <w:rsid w:val="00630429"/>
    <w:rsid w:val="0063067A"/>
    <w:rsid w:val="00630710"/>
    <w:rsid w:val="0063071B"/>
    <w:rsid w:val="00630782"/>
    <w:rsid w:val="00630958"/>
    <w:rsid w:val="0063095D"/>
    <w:rsid w:val="00630A61"/>
    <w:rsid w:val="00630D90"/>
    <w:rsid w:val="00630D99"/>
    <w:rsid w:val="00630F1C"/>
    <w:rsid w:val="00630F89"/>
    <w:rsid w:val="0063105B"/>
    <w:rsid w:val="00631097"/>
    <w:rsid w:val="00631126"/>
    <w:rsid w:val="0063114C"/>
    <w:rsid w:val="0063116A"/>
    <w:rsid w:val="00631311"/>
    <w:rsid w:val="0063133C"/>
    <w:rsid w:val="0063138B"/>
    <w:rsid w:val="006314D0"/>
    <w:rsid w:val="006314DF"/>
    <w:rsid w:val="006315BB"/>
    <w:rsid w:val="006316B7"/>
    <w:rsid w:val="00631765"/>
    <w:rsid w:val="0063183F"/>
    <w:rsid w:val="00631A9F"/>
    <w:rsid w:val="00631C7C"/>
    <w:rsid w:val="00631D3E"/>
    <w:rsid w:val="00631DA1"/>
    <w:rsid w:val="00631DF0"/>
    <w:rsid w:val="00631EC0"/>
    <w:rsid w:val="00631ED6"/>
    <w:rsid w:val="00631ED8"/>
    <w:rsid w:val="00631FD2"/>
    <w:rsid w:val="00632082"/>
    <w:rsid w:val="006321B0"/>
    <w:rsid w:val="006322DE"/>
    <w:rsid w:val="0063232B"/>
    <w:rsid w:val="0063262C"/>
    <w:rsid w:val="00632678"/>
    <w:rsid w:val="00632785"/>
    <w:rsid w:val="0063287C"/>
    <w:rsid w:val="006328E3"/>
    <w:rsid w:val="00632954"/>
    <w:rsid w:val="0063297E"/>
    <w:rsid w:val="00632A22"/>
    <w:rsid w:val="00632A3B"/>
    <w:rsid w:val="00632BF8"/>
    <w:rsid w:val="00632D11"/>
    <w:rsid w:val="00632DD4"/>
    <w:rsid w:val="00632DFA"/>
    <w:rsid w:val="00632EB6"/>
    <w:rsid w:val="006330D5"/>
    <w:rsid w:val="006332B8"/>
    <w:rsid w:val="006333A2"/>
    <w:rsid w:val="006333E3"/>
    <w:rsid w:val="006333FD"/>
    <w:rsid w:val="0063346E"/>
    <w:rsid w:val="00633520"/>
    <w:rsid w:val="0063359F"/>
    <w:rsid w:val="00633618"/>
    <w:rsid w:val="0063361F"/>
    <w:rsid w:val="006338CD"/>
    <w:rsid w:val="0063398C"/>
    <w:rsid w:val="00633A4F"/>
    <w:rsid w:val="00633BD6"/>
    <w:rsid w:val="00633D41"/>
    <w:rsid w:val="00633F57"/>
    <w:rsid w:val="00633F99"/>
    <w:rsid w:val="00634093"/>
    <w:rsid w:val="0063449F"/>
    <w:rsid w:val="006344B6"/>
    <w:rsid w:val="00634519"/>
    <w:rsid w:val="006346B8"/>
    <w:rsid w:val="006347B4"/>
    <w:rsid w:val="00634996"/>
    <w:rsid w:val="00634B8C"/>
    <w:rsid w:val="00634C7D"/>
    <w:rsid w:val="00634CE6"/>
    <w:rsid w:val="00634E93"/>
    <w:rsid w:val="00635019"/>
    <w:rsid w:val="00635064"/>
    <w:rsid w:val="006350A7"/>
    <w:rsid w:val="006351C7"/>
    <w:rsid w:val="00635244"/>
    <w:rsid w:val="00635268"/>
    <w:rsid w:val="0063540E"/>
    <w:rsid w:val="00635465"/>
    <w:rsid w:val="00635870"/>
    <w:rsid w:val="006358D1"/>
    <w:rsid w:val="00635918"/>
    <w:rsid w:val="006359FD"/>
    <w:rsid w:val="00635A4D"/>
    <w:rsid w:val="00635B99"/>
    <w:rsid w:val="00635BE6"/>
    <w:rsid w:val="00635C0B"/>
    <w:rsid w:val="00635DB3"/>
    <w:rsid w:val="00635E16"/>
    <w:rsid w:val="00635E30"/>
    <w:rsid w:val="00635E43"/>
    <w:rsid w:val="00635F83"/>
    <w:rsid w:val="00635F8B"/>
    <w:rsid w:val="00635FA1"/>
    <w:rsid w:val="00635FDF"/>
    <w:rsid w:val="00635FEE"/>
    <w:rsid w:val="0063605C"/>
    <w:rsid w:val="00636188"/>
    <w:rsid w:val="006361AE"/>
    <w:rsid w:val="00636295"/>
    <w:rsid w:val="0063629C"/>
    <w:rsid w:val="0063640E"/>
    <w:rsid w:val="00636420"/>
    <w:rsid w:val="0063644D"/>
    <w:rsid w:val="006365DE"/>
    <w:rsid w:val="006366AD"/>
    <w:rsid w:val="006367DF"/>
    <w:rsid w:val="0063681C"/>
    <w:rsid w:val="00636945"/>
    <w:rsid w:val="00636986"/>
    <w:rsid w:val="006369BF"/>
    <w:rsid w:val="00636A2B"/>
    <w:rsid w:val="00636A5A"/>
    <w:rsid w:val="00636BBE"/>
    <w:rsid w:val="00636BD2"/>
    <w:rsid w:val="00636C9E"/>
    <w:rsid w:val="00636EFB"/>
    <w:rsid w:val="006370C3"/>
    <w:rsid w:val="006373E1"/>
    <w:rsid w:val="006375D0"/>
    <w:rsid w:val="0063762A"/>
    <w:rsid w:val="0063767A"/>
    <w:rsid w:val="006376E0"/>
    <w:rsid w:val="006376F6"/>
    <w:rsid w:val="006377C4"/>
    <w:rsid w:val="006377CF"/>
    <w:rsid w:val="006378D3"/>
    <w:rsid w:val="006379AB"/>
    <w:rsid w:val="006379ED"/>
    <w:rsid w:val="00637A62"/>
    <w:rsid w:val="00637ADF"/>
    <w:rsid w:val="00637AE0"/>
    <w:rsid w:val="00637B40"/>
    <w:rsid w:val="00637B89"/>
    <w:rsid w:val="00637CC8"/>
    <w:rsid w:val="00637DE9"/>
    <w:rsid w:val="00637EA2"/>
    <w:rsid w:val="00637EA3"/>
    <w:rsid w:val="00637F22"/>
    <w:rsid w:val="00637F96"/>
    <w:rsid w:val="006400E5"/>
    <w:rsid w:val="00640126"/>
    <w:rsid w:val="006401C6"/>
    <w:rsid w:val="00640410"/>
    <w:rsid w:val="006404E1"/>
    <w:rsid w:val="00640583"/>
    <w:rsid w:val="006406CB"/>
    <w:rsid w:val="0064071B"/>
    <w:rsid w:val="0064072D"/>
    <w:rsid w:val="0064073C"/>
    <w:rsid w:val="006407A2"/>
    <w:rsid w:val="006407F7"/>
    <w:rsid w:val="00640917"/>
    <w:rsid w:val="00640A0E"/>
    <w:rsid w:val="00640B0D"/>
    <w:rsid w:val="00640B32"/>
    <w:rsid w:val="00640B85"/>
    <w:rsid w:val="00640BD2"/>
    <w:rsid w:val="00640BD5"/>
    <w:rsid w:val="00640F18"/>
    <w:rsid w:val="00641003"/>
    <w:rsid w:val="0064102E"/>
    <w:rsid w:val="006410E8"/>
    <w:rsid w:val="006411CA"/>
    <w:rsid w:val="006411E6"/>
    <w:rsid w:val="00641296"/>
    <w:rsid w:val="006412E7"/>
    <w:rsid w:val="0064137F"/>
    <w:rsid w:val="006413CA"/>
    <w:rsid w:val="006414AE"/>
    <w:rsid w:val="00641778"/>
    <w:rsid w:val="006417D5"/>
    <w:rsid w:val="00641982"/>
    <w:rsid w:val="00641995"/>
    <w:rsid w:val="00641A0D"/>
    <w:rsid w:val="00641BB5"/>
    <w:rsid w:val="00641C0B"/>
    <w:rsid w:val="00641C7D"/>
    <w:rsid w:val="00641E25"/>
    <w:rsid w:val="00642045"/>
    <w:rsid w:val="006421BA"/>
    <w:rsid w:val="006422A2"/>
    <w:rsid w:val="0064232C"/>
    <w:rsid w:val="00642368"/>
    <w:rsid w:val="006423CD"/>
    <w:rsid w:val="00642455"/>
    <w:rsid w:val="00642554"/>
    <w:rsid w:val="00642688"/>
    <w:rsid w:val="006426B1"/>
    <w:rsid w:val="00642716"/>
    <w:rsid w:val="0064271D"/>
    <w:rsid w:val="0064283B"/>
    <w:rsid w:val="006428D3"/>
    <w:rsid w:val="00642B46"/>
    <w:rsid w:val="00642B95"/>
    <w:rsid w:val="00642BC6"/>
    <w:rsid w:val="00642C76"/>
    <w:rsid w:val="00642D79"/>
    <w:rsid w:val="00642D90"/>
    <w:rsid w:val="00642DB4"/>
    <w:rsid w:val="00642DDB"/>
    <w:rsid w:val="00642E02"/>
    <w:rsid w:val="00642E89"/>
    <w:rsid w:val="00642F1C"/>
    <w:rsid w:val="00642F5F"/>
    <w:rsid w:val="00643026"/>
    <w:rsid w:val="0064311F"/>
    <w:rsid w:val="0064317E"/>
    <w:rsid w:val="006431E3"/>
    <w:rsid w:val="006431FD"/>
    <w:rsid w:val="006431FE"/>
    <w:rsid w:val="00643263"/>
    <w:rsid w:val="00643374"/>
    <w:rsid w:val="006434D0"/>
    <w:rsid w:val="0064354D"/>
    <w:rsid w:val="00643706"/>
    <w:rsid w:val="00643747"/>
    <w:rsid w:val="00643868"/>
    <w:rsid w:val="00643877"/>
    <w:rsid w:val="00643A68"/>
    <w:rsid w:val="00643B3E"/>
    <w:rsid w:val="00643D46"/>
    <w:rsid w:val="00643EF7"/>
    <w:rsid w:val="00643F0C"/>
    <w:rsid w:val="00643F6B"/>
    <w:rsid w:val="00644055"/>
    <w:rsid w:val="006440FC"/>
    <w:rsid w:val="00644256"/>
    <w:rsid w:val="006442B0"/>
    <w:rsid w:val="006443ED"/>
    <w:rsid w:val="006445B1"/>
    <w:rsid w:val="00644681"/>
    <w:rsid w:val="00644723"/>
    <w:rsid w:val="006447D7"/>
    <w:rsid w:val="006448A6"/>
    <w:rsid w:val="0064490C"/>
    <w:rsid w:val="006449A3"/>
    <w:rsid w:val="006449F9"/>
    <w:rsid w:val="00644A45"/>
    <w:rsid w:val="00644A53"/>
    <w:rsid w:val="00644A90"/>
    <w:rsid w:val="00644ACD"/>
    <w:rsid w:val="00644B17"/>
    <w:rsid w:val="00644B84"/>
    <w:rsid w:val="00644C1C"/>
    <w:rsid w:val="00644C63"/>
    <w:rsid w:val="00644C93"/>
    <w:rsid w:val="00644D2A"/>
    <w:rsid w:val="00644D94"/>
    <w:rsid w:val="00644D9E"/>
    <w:rsid w:val="00644DDB"/>
    <w:rsid w:val="00644F9B"/>
    <w:rsid w:val="0064500D"/>
    <w:rsid w:val="0064513B"/>
    <w:rsid w:val="00645154"/>
    <w:rsid w:val="0064515C"/>
    <w:rsid w:val="006453CF"/>
    <w:rsid w:val="0064547D"/>
    <w:rsid w:val="00645490"/>
    <w:rsid w:val="00645554"/>
    <w:rsid w:val="0064561C"/>
    <w:rsid w:val="00645691"/>
    <w:rsid w:val="00645834"/>
    <w:rsid w:val="006458D3"/>
    <w:rsid w:val="006459BC"/>
    <w:rsid w:val="00645BB0"/>
    <w:rsid w:val="00645CD4"/>
    <w:rsid w:val="00645DE5"/>
    <w:rsid w:val="00645E99"/>
    <w:rsid w:val="00645F23"/>
    <w:rsid w:val="0064601E"/>
    <w:rsid w:val="00646092"/>
    <w:rsid w:val="00646099"/>
    <w:rsid w:val="006461F0"/>
    <w:rsid w:val="00646262"/>
    <w:rsid w:val="00646273"/>
    <w:rsid w:val="006462D3"/>
    <w:rsid w:val="0064634F"/>
    <w:rsid w:val="006463AA"/>
    <w:rsid w:val="0064654A"/>
    <w:rsid w:val="00646553"/>
    <w:rsid w:val="00646628"/>
    <w:rsid w:val="0064671F"/>
    <w:rsid w:val="00646848"/>
    <w:rsid w:val="006468FD"/>
    <w:rsid w:val="006469D7"/>
    <w:rsid w:val="00646A40"/>
    <w:rsid w:val="00646B3E"/>
    <w:rsid w:val="00646C9F"/>
    <w:rsid w:val="00646DB8"/>
    <w:rsid w:val="00646E4C"/>
    <w:rsid w:val="00646FB3"/>
    <w:rsid w:val="00647054"/>
    <w:rsid w:val="0064734D"/>
    <w:rsid w:val="006475EA"/>
    <w:rsid w:val="006476F5"/>
    <w:rsid w:val="0064770F"/>
    <w:rsid w:val="00647810"/>
    <w:rsid w:val="00647869"/>
    <w:rsid w:val="00647A2C"/>
    <w:rsid w:val="00647A7E"/>
    <w:rsid w:val="00647B7E"/>
    <w:rsid w:val="00647CF2"/>
    <w:rsid w:val="00647EC3"/>
    <w:rsid w:val="00647F55"/>
    <w:rsid w:val="00647F75"/>
    <w:rsid w:val="00647FF0"/>
    <w:rsid w:val="0065000F"/>
    <w:rsid w:val="00650083"/>
    <w:rsid w:val="006500D0"/>
    <w:rsid w:val="006500EB"/>
    <w:rsid w:val="0065020C"/>
    <w:rsid w:val="0065024D"/>
    <w:rsid w:val="006502A1"/>
    <w:rsid w:val="006502B0"/>
    <w:rsid w:val="006502DD"/>
    <w:rsid w:val="00650439"/>
    <w:rsid w:val="00650686"/>
    <w:rsid w:val="00650758"/>
    <w:rsid w:val="00650826"/>
    <w:rsid w:val="00650846"/>
    <w:rsid w:val="00650848"/>
    <w:rsid w:val="0065087A"/>
    <w:rsid w:val="00650B14"/>
    <w:rsid w:val="00650C87"/>
    <w:rsid w:val="00650EB0"/>
    <w:rsid w:val="00650FEC"/>
    <w:rsid w:val="00650FFF"/>
    <w:rsid w:val="00651089"/>
    <w:rsid w:val="00651121"/>
    <w:rsid w:val="006512E6"/>
    <w:rsid w:val="00651315"/>
    <w:rsid w:val="006513C2"/>
    <w:rsid w:val="00651539"/>
    <w:rsid w:val="006515F2"/>
    <w:rsid w:val="0065169B"/>
    <w:rsid w:val="006516E7"/>
    <w:rsid w:val="006517A8"/>
    <w:rsid w:val="0065182E"/>
    <w:rsid w:val="0065196C"/>
    <w:rsid w:val="00651A14"/>
    <w:rsid w:val="00651BFF"/>
    <w:rsid w:val="00651DBB"/>
    <w:rsid w:val="00651E8D"/>
    <w:rsid w:val="00652005"/>
    <w:rsid w:val="00652060"/>
    <w:rsid w:val="0065209B"/>
    <w:rsid w:val="006521EC"/>
    <w:rsid w:val="006522B6"/>
    <w:rsid w:val="00652414"/>
    <w:rsid w:val="006525FF"/>
    <w:rsid w:val="006526BD"/>
    <w:rsid w:val="006527A9"/>
    <w:rsid w:val="00652863"/>
    <w:rsid w:val="00652BAE"/>
    <w:rsid w:val="00652C72"/>
    <w:rsid w:val="00652CA5"/>
    <w:rsid w:val="00652CBE"/>
    <w:rsid w:val="00652D38"/>
    <w:rsid w:val="00652EB9"/>
    <w:rsid w:val="00652ED7"/>
    <w:rsid w:val="00652FF8"/>
    <w:rsid w:val="0065309A"/>
    <w:rsid w:val="006530CA"/>
    <w:rsid w:val="00653248"/>
    <w:rsid w:val="0065348B"/>
    <w:rsid w:val="00653497"/>
    <w:rsid w:val="00653670"/>
    <w:rsid w:val="006537F9"/>
    <w:rsid w:val="0065386F"/>
    <w:rsid w:val="006539D7"/>
    <w:rsid w:val="00653A06"/>
    <w:rsid w:val="00653B53"/>
    <w:rsid w:val="00653DB5"/>
    <w:rsid w:val="00653E97"/>
    <w:rsid w:val="00653EDD"/>
    <w:rsid w:val="006541E7"/>
    <w:rsid w:val="00654250"/>
    <w:rsid w:val="0065429F"/>
    <w:rsid w:val="00654309"/>
    <w:rsid w:val="00654490"/>
    <w:rsid w:val="006545AA"/>
    <w:rsid w:val="006546D6"/>
    <w:rsid w:val="00654765"/>
    <w:rsid w:val="006547A9"/>
    <w:rsid w:val="006547BF"/>
    <w:rsid w:val="00654857"/>
    <w:rsid w:val="00654CEC"/>
    <w:rsid w:val="00654D70"/>
    <w:rsid w:val="00654DC6"/>
    <w:rsid w:val="00654DCD"/>
    <w:rsid w:val="00654DEA"/>
    <w:rsid w:val="00654E79"/>
    <w:rsid w:val="00654E84"/>
    <w:rsid w:val="00654EDC"/>
    <w:rsid w:val="00654EF3"/>
    <w:rsid w:val="00654F94"/>
    <w:rsid w:val="0065515A"/>
    <w:rsid w:val="006552F5"/>
    <w:rsid w:val="006553AB"/>
    <w:rsid w:val="006556B6"/>
    <w:rsid w:val="00655864"/>
    <w:rsid w:val="00655877"/>
    <w:rsid w:val="006558A9"/>
    <w:rsid w:val="006558ED"/>
    <w:rsid w:val="0065590C"/>
    <w:rsid w:val="006559F7"/>
    <w:rsid w:val="00655A0B"/>
    <w:rsid w:val="00655A1C"/>
    <w:rsid w:val="00655A35"/>
    <w:rsid w:val="00655A5B"/>
    <w:rsid w:val="00655A5E"/>
    <w:rsid w:val="00655ABE"/>
    <w:rsid w:val="00655CA0"/>
    <w:rsid w:val="00655D03"/>
    <w:rsid w:val="00655D5E"/>
    <w:rsid w:val="00655DC4"/>
    <w:rsid w:val="00655E6A"/>
    <w:rsid w:val="00655F5B"/>
    <w:rsid w:val="00655F5E"/>
    <w:rsid w:val="00655FE2"/>
    <w:rsid w:val="00655FEE"/>
    <w:rsid w:val="006560EA"/>
    <w:rsid w:val="00656153"/>
    <w:rsid w:val="0065617B"/>
    <w:rsid w:val="00656302"/>
    <w:rsid w:val="00656333"/>
    <w:rsid w:val="00656397"/>
    <w:rsid w:val="0065647D"/>
    <w:rsid w:val="0065654F"/>
    <w:rsid w:val="00656554"/>
    <w:rsid w:val="00656872"/>
    <w:rsid w:val="00656B1E"/>
    <w:rsid w:val="00656C5D"/>
    <w:rsid w:val="00656D1F"/>
    <w:rsid w:val="00656EF3"/>
    <w:rsid w:val="00656F2A"/>
    <w:rsid w:val="00656F5D"/>
    <w:rsid w:val="00657050"/>
    <w:rsid w:val="006570AD"/>
    <w:rsid w:val="00657367"/>
    <w:rsid w:val="00657477"/>
    <w:rsid w:val="00657479"/>
    <w:rsid w:val="00657674"/>
    <w:rsid w:val="00657688"/>
    <w:rsid w:val="00657852"/>
    <w:rsid w:val="00657898"/>
    <w:rsid w:val="00657A3D"/>
    <w:rsid w:val="00657AC0"/>
    <w:rsid w:val="00657B18"/>
    <w:rsid w:val="00657BE3"/>
    <w:rsid w:val="00657D60"/>
    <w:rsid w:val="00657E83"/>
    <w:rsid w:val="00657EA4"/>
    <w:rsid w:val="00657EC0"/>
    <w:rsid w:val="00657F7B"/>
    <w:rsid w:val="0066012F"/>
    <w:rsid w:val="00660156"/>
    <w:rsid w:val="00660180"/>
    <w:rsid w:val="006601AC"/>
    <w:rsid w:val="006601F4"/>
    <w:rsid w:val="00660519"/>
    <w:rsid w:val="00660543"/>
    <w:rsid w:val="00660593"/>
    <w:rsid w:val="006606E4"/>
    <w:rsid w:val="006607A9"/>
    <w:rsid w:val="006607CC"/>
    <w:rsid w:val="006607DC"/>
    <w:rsid w:val="00660892"/>
    <w:rsid w:val="006608A1"/>
    <w:rsid w:val="00660C0A"/>
    <w:rsid w:val="00660D90"/>
    <w:rsid w:val="00660E2A"/>
    <w:rsid w:val="00660EBF"/>
    <w:rsid w:val="00660FC4"/>
    <w:rsid w:val="00660FE1"/>
    <w:rsid w:val="00661066"/>
    <w:rsid w:val="00661087"/>
    <w:rsid w:val="00661212"/>
    <w:rsid w:val="0066139C"/>
    <w:rsid w:val="00661430"/>
    <w:rsid w:val="0066149D"/>
    <w:rsid w:val="00661544"/>
    <w:rsid w:val="00661558"/>
    <w:rsid w:val="0066157E"/>
    <w:rsid w:val="00661586"/>
    <w:rsid w:val="006616C5"/>
    <w:rsid w:val="006616D5"/>
    <w:rsid w:val="0066171D"/>
    <w:rsid w:val="00661A2B"/>
    <w:rsid w:val="00661A70"/>
    <w:rsid w:val="00661A94"/>
    <w:rsid w:val="00661B09"/>
    <w:rsid w:val="00661DBE"/>
    <w:rsid w:val="00661DF6"/>
    <w:rsid w:val="00661E00"/>
    <w:rsid w:val="00661E28"/>
    <w:rsid w:val="00661EB2"/>
    <w:rsid w:val="00661F9E"/>
    <w:rsid w:val="0066202D"/>
    <w:rsid w:val="0066225D"/>
    <w:rsid w:val="006622AA"/>
    <w:rsid w:val="006623E0"/>
    <w:rsid w:val="006623FB"/>
    <w:rsid w:val="006625F9"/>
    <w:rsid w:val="00662698"/>
    <w:rsid w:val="0066269A"/>
    <w:rsid w:val="00662748"/>
    <w:rsid w:val="006627B7"/>
    <w:rsid w:val="00662861"/>
    <w:rsid w:val="00662871"/>
    <w:rsid w:val="006629AD"/>
    <w:rsid w:val="00662AE4"/>
    <w:rsid w:val="00662B80"/>
    <w:rsid w:val="00662BD9"/>
    <w:rsid w:val="00662CD4"/>
    <w:rsid w:val="00662D46"/>
    <w:rsid w:val="00662DE1"/>
    <w:rsid w:val="00662F4A"/>
    <w:rsid w:val="00662FD0"/>
    <w:rsid w:val="00663257"/>
    <w:rsid w:val="006632D4"/>
    <w:rsid w:val="006632E7"/>
    <w:rsid w:val="00663474"/>
    <w:rsid w:val="00663540"/>
    <w:rsid w:val="00663557"/>
    <w:rsid w:val="006635B9"/>
    <w:rsid w:val="006636BA"/>
    <w:rsid w:val="006638A2"/>
    <w:rsid w:val="006639B9"/>
    <w:rsid w:val="00663A83"/>
    <w:rsid w:val="00663B84"/>
    <w:rsid w:val="00663DC4"/>
    <w:rsid w:val="00663E01"/>
    <w:rsid w:val="00663E75"/>
    <w:rsid w:val="00664246"/>
    <w:rsid w:val="006642AF"/>
    <w:rsid w:val="006642EC"/>
    <w:rsid w:val="00664395"/>
    <w:rsid w:val="006643FE"/>
    <w:rsid w:val="006646BB"/>
    <w:rsid w:val="006647FF"/>
    <w:rsid w:val="00664846"/>
    <w:rsid w:val="0066492D"/>
    <w:rsid w:val="006649BF"/>
    <w:rsid w:val="00664A0C"/>
    <w:rsid w:val="00664AC3"/>
    <w:rsid w:val="00664E7D"/>
    <w:rsid w:val="00664FE7"/>
    <w:rsid w:val="00665048"/>
    <w:rsid w:val="0066518F"/>
    <w:rsid w:val="006652B5"/>
    <w:rsid w:val="006653A8"/>
    <w:rsid w:val="0066540F"/>
    <w:rsid w:val="00665463"/>
    <w:rsid w:val="006654DC"/>
    <w:rsid w:val="00665553"/>
    <w:rsid w:val="006656D2"/>
    <w:rsid w:val="00665765"/>
    <w:rsid w:val="006657E8"/>
    <w:rsid w:val="0066580D"/>
    <w:rsid w:val="0066584A"/>
    <w:rsid w:val="006658B2"/>
    <w:rsid w:val="006658DA"/>
    <w:rsid w:val="00665A8A"/>
    <w:rsid w:val="00665D15"/>
    <w:rsid w:val="00665DAD"/>
    <w:rsid w:val="00665DB8"/>
    <w:rsid w:val="00665E17"/>
    <w:rsid w:val="00665F35"/>
    <w:rsid w:val="00665F43"/>
    <w:rsid w:val="00665F5E"/>
    <w:rsid w:val="00665FD8"/>
    <w:rsid w:val="00666088"/>
    <w:rsid w:val="006660F0"/>
    <w:rsid w:val="006661BC"/>
    <w:rsid w:val="00666318"/>
    <w:rsid w:val="0066649E"/>
    <w:rsid w:val="00666502"/>
    <w:rsid w:val="0066658F"/>
    <w:rsid w:val="00666747"/>
    <w:rsid w:val="006667EF"/>
    <w:rsid w:val="006668F4"/>
    <w:rsid w:val="00666906"/>
    <w:rsid w:val="00666943"/>
    <w:rsid w:val="006669B9"/>
    <w:rsid w:val="006669D1"/>
    <w:rsid w:val="00666A1F"/>
    <w:rsid w:val="00666A5E"/>
    <w:rsid w:val="00666B87"/>
    <w:rsid w:val="00666B96"/>
    <w:rsid w:val="00666D81"/>
    <w:rsid w:val="00666E02"/>
    <w:rsid w:val="00666FB2"/>
    <w:rsid w:val="00666FDB"/>
    <w:rsid w:val="00667014"/>
    <w:rsid w:val="0066701A"/>
    <w:rsid w:val="00667037"/>
    <w:rsid w:val="00667041"/>
    <w:rsid w:val="0066718F"/>
    <w:rsid w:val="006673FF"/>
    <w:rsid w:val="00667451"/>
    <w:rsid w:val="0066745C"/>
    <w:rsid w:val="0066771E"/>
    <w:rsid w:val="0066776D"/>
    <w:rsid w:val="006677B8"/>
    <w:rsid w:val="0066784F"/>
    <w:rsid w:val="00667907"/>
    <w:rsid w:val="00667A35"/>
    <w:rsid w:val="00667CB9"/>
    <w:rsid w:val="00667D22"/>
    <w:rsid w:val="00667D3A"/>
    <w:rsid w:val="00667D8C"/>
    <w:rsid w:val="00667F09"/>
    <w:rsid w:val="00667F64"/>
    <w:rsid w:val="00670002"/>
    <w:rsid w:val="006700C9"/>
    <w:rsid w:val="006700EC"/>
    <w:rsid w:val="00670106"/>
    <w:rsid w:val="0067021C"/>
    <w:rsid w:val="00670288"/>
    <w:rsid w:val="00670318"/>
    <w:rsid w:val="00670372"/>
    <w:rsid w:val="0067051A"/>
    <w:rsid w:val="00670534"/>
    <w:rsid w:val="0067061E"/>
    <w:rsid w:val="00670699"/>
    <w:rsid w:val="006706DD"/>
    <w:rsid w:val="006706DE"/>
    <w:rsid w:val="0067076B"/>
    <w:rsid w:val="00670801"/>
    <w:rsid w:val="00670993"/>
    <w:rsid w:val="00670A23"/>
    <w:rsid w:val="00670A9B"/>
    <w:rsid w:val="00670B4A"/>
    <w:rsid w:val="00670BC1"/>
    <w:rsid w:val="00670BD3"/>
    <w:rsid w:val="00670C89"/>
    <w:rsid w:val="00670CB1"/>
    <w:rsid w:val="00670D41"/>
    <w:rsid w:val="00670FAB"/>
    <w:rsid w:val="00670FCD"/>
    <w:rsid w:val="0067105B"/>
    <w:rsid w:val="0067112C"/>
    <w:rsid w:val="006711A0"/>
    <w:rsid w:val="006711D0"/>
    <w:rsid w:val="0067134C"/>
    <w:rsid w:val="00671379"/>
    <w:rsid w:val="006713B9"/>
    <w:rsid w:val="006713E0"/>
    <w:rsid w:val="00671445"/>
    <w:rsid w:val="006715CA"/>
    <w:rsid w:val="0067169D"/>
    <w:rsid w:val="0067176B"/>
    <w:rsid w:val="00671788"/>
    <w:rsid w:val="00671C37"/>
    <w:rsid w:val="00671C71"/>
    <w:rsid w:val="00671CF3"/>
    <w:rsid w:val="00671DE0"/>
    <w:rsid w:val="00671F0A"/>
    <w:rsid w:val="00671F79"/>
    <w:rsid w:val="00671FF3"/>
    <w:rsid w:val="0067202E"/>
    <w:rsid w:val="006721DF"/>
    <w:rsid w:val="006724DF"/>
    <w:rsid w:val="0067257C"/>
    <w:rsid w:val="00672614"/>
    <w:rsid w:val="00672672"/>
    <w:rsid w:val="00672728"/>
    <w:rsid w:val="00672869"/>
    <w:rsid w:val="00672916"/>
    <w:rsid w:val="006729D0"/>
    <w:rsid w:val="00672A5F"/>
    <w:rsid w:val="00672AB8"/>
    <w:rsid w:val="00672ADF"/>
    <w:rsid w:val="00672B3A"/>
    <w:rsid w:val="00672BEA"/>
    <w:rsid w:val="00672CEC"/>
    <w:rsid w:val="00672FD7"/>
    <w:rsid w:val="00673034"/>
    <w:rsid w:val="00673038"/>
    <w:rsid w:val="00673046"/>
    <w:rsid w:val="00673052"/>
    <w:rsid w:val="006732D5"/>
    <w:rsid w:val="006733F6"/>
    <w:rsid w:val="00673478"/>
    <w:rsid w:val="00673593"/>
    <w:rsid w:val="006737DF"/>
    <w:rsid w:val="00673A25"/>
    <w:rsid w:val="00673A2B"/>
    <w:rsid w:val="00673CB0"/>
    <w:rsid w:val="00673DB0"/>
    <w:rsid w:val="00673DD7"/>
    <w:rsid w:val="00673ED4"/>
    <w:rsid w:val="00673EE5"/>
    <w:rsid w:val="00673F75"/>
    <w:rsid w:val="00673FFA"/>
    <w:rsid w:val="00674026"/>
    <w:rsid w:val="006741C3"/>
    <w:rsid w:val="00674286"/>
    <w:rsid w:val="006742C9"/>
    <w:rsid w:val="00674785"/>
    <w:rsid w:val="006747EA"/>
    <w:rsid w:val="006747F6"/>
    <w:rsid w:val="00674869"/>
    <w:rsid w:val="0067487C"/>
    <w:rsid w:val="006749EA"/>
    <w:rsid w:val="00674CE7"/>
    <w:rsid w:val="00674DC3"/>
    <w:rsid w:val="00674E6A"/>
    <w:rsid w:val="00674E71"/>
    <w:rsid w:val="00674E75"/>
    <w:rsid w:val="006750F8"/>
    <w:rsid w:val="00675153"/>
    <w:rsid w:val="00675185"/>
    <w:rsid w:val="00675225"/>
    <w:rsid w:val="00675336"/>
    <w:rsid w:val="006753DB"/>
    <w:rsid w:val="00675449"/>
    <w:rsid w:val="00675473"/>
    <w:rsid w:val="006754A2"/>
    <w:rsid w:val="00675517"/>
    <w:rsid w:val="006758C8"/>
    <w:rsid w:val="006759B3"/>
    <w:rsid w:val="00675A9D"/>
    <w:rsid w:val="00675B1C"/>
    <w:rsid w:val="00675B54"/>
    <w:rsid w:val="00675B65"/>
    <w:rsid w:val="00675BEF"/>
    <w:rsid w:val="00675CF4"/>
    <w:rsid w:val="00675D3C"/>
    <w:rsid w:val="00675D4A"/>
    <w:rsid w:val="00675D91"/>
    <w:rsid w:val="00675D97"/>
    <w:rsid w:val="00675F25"/>
    <w:rsid w:val="00676044"/>
    <w:rsid w:val="0067604D"/>
    <w:rsid w:val="0067623B"/>
    <w:rsid w:val="00676240"/>
    <w:rsid w:val="006762F2"/>
    <w:rsid w:val="00676358"/>
    <w:rsid w:val="0067647A"/>
    <w:rsid w:val="00676531"/>
    <w:rsid w:val="0067660D"/>
    <w:rsid w:val="0067666D"/>
    <w:rsid w:val="00676899"/>
    <w:rsid w:val="0067689F"/>
    <w:rsid w:val="00676948"/>
    <w:rsid w:val="0067694D"/>
    <w:rsid w:val="00676974"/>
    <w:rsid w:val="006769CD"/>
    <w:rsid w:val="00676B00"/>
    <w:rsid w:val="00676B2C"/>
    <w:rsid w:val="00676B2D"/>
    <w:rsid w:val="00676B7A"/>
    <w:rsid w:val="00676B87"/>
    <w:rsid w:val="00676CAC"/>
    <w:rsid w:val="00676CEA"/>
    <w:rsid w:val="00676E5D"/>
    <w:rsid w:val="00676F2B"/>
    <w:rsid w:val="00677050"/>
    <w:rsid w:val="0067713A"/>
    <w:rsid w:val="0067719E"/>
    <w:rsid w:val="006771B8"/>
    <w:rsid w:val="00677272"/>
    <w:rsid w:val="006772EB"/>
    <w:rsid w:val="0067735B"/>
    <w:rsid w:val="0067741E"/>
    <w:rsid w:val="0067755D"/>
    <w:rsid w:val="0067759A"/>
    <w:rsid w:val="00677679"/>
    <w:rsid w:val="00677954"/>
    <w:rsid w:val="0067795B"/>
    <w:rsid w:val="00677BAB"/>
    <w:rsid w:val="00677CCC"/>
    <w:rsid w:val="00677D91"/>
    <w:rsid w:val="00677DDB"/>
    <w:rsid w:val="00677E2C"/>
    <w:rsid w:val="00677E7E"/>
    <w:rsid w:val="00677F25"/>
    <w:rsid w:val="0068001E"/>
    <w:rsid w:val="006800FE"/>
    <w:rsid w:val="006801A7"/>
    <w:rsid w:val="00680277"/>
    <w:rsid w:val="0068028C"/>
    <w:rsid w:val="00680292"/>
    <w:rsid w:val="006802B3"/>
    <w:rsid w:val="006803C9"/>
    <w:rsid w:val="0068044F"/>
    <w:rsid w:val="0068050E"/>
    <w:rsid w:val="00680673"/>
    <w:rsid w:val="00680783"/>
    <w:rsid w:val="006807A6"/>
    <w:rsid w:val="00680A0B"/>
    <w:rsid w:val="00680A1D"/>
    <w:rsid w:val="00680A39"/>
    <w:rsid w:val="00680A8E"/>
    <w:rsid w:val="00680A93"/>
    <w:rsid w:val="00680B80"/>
    <w:rsid w:val="00680C6B"/>
    <w:rsid w:val="00680E8B"/>
    <w:rsid w:val="00680EDC"/>
    <w:rsid w:val="00681027"/>
    <w:rsid w:val="00681188"/>
    <w:rsid w:val="00681262"/>
    <w:rsid w:val="006812D6"/>
    <w:rsid w:val="00681358"/>
    <w:rsid w:val="006813F4"/>
    <w:rsid w:val="00681427"/>
    <w:rsid w:val="00681522"/>
    <w:rsid w:val="0068162D"/>
    <w:rsid w:val="006816A8"/>
    <w:rsid w:val="0068172B"/>
    <w:rsid w:val="0068177E"/>
    <w:rsid w:val="00681A40"/>
    <w:rsid w:val="00681B66"/>
    <w:rsid w:val="00681B72"/>
    <w:rsid w:val="00681C33"/>
    <w:rsid w:val="00681CBB"/>
    <w:rsid w:val="00681CBF"/>
    <w:rsid w:val="00681DEB"/>
    <w:rsid w:val="00681E91"/>
    <w:rsid w:val="00681EE1"/>
    <w:rsid w:val="00682387"/>
    <w:rsid w:val="0068246D"/>
    <w:rsid w:val="0068247F"/>
    <w:rsid w:val="00682515"/>
    <w:rsid w:val="0068257A"/>
    <w:rsid w:val="00682580"/>
    <w:rsid w:val="00682799"/>
    <w:rsid w:val="006827B5"/>
    <w:rsid w:val="00682880"/>
    <w:rsid w:val="00682922"/>
    <w:rsid w:val="00682A48"/>
    <w:rsid w:val="00682B03"/>
    <w:rsid w:val="00682B80"/>
    <w:rsid w:val="00682BFD"/>
    <w:rsid w:val="00682D28"/>
    <w:rsid w:val="00682D81"/>
    <w:rsid w:val="00682DC6"/>
    <w:rsid w:val="00682E57"/>
    <w:rsid w:val="00683017"/>
    <w:rsid w:val="006830F7"/>
    <w:rsid w:val="00683164"/>
    <w:rsid w:val="006831E9"/>
    <w:rsid w:val="006834A8"/>
    <w:rsid w:val="006835CA"/>
    <w:rsid w:val="006835ED"/>
    <w:rsid w:val="0068366B"/>
    <w:rsid w:val="006836DC"/>
    <w:rsid w:val="0068379E"/>
    <w:rsid w:val="006837C3"/>
    <w:rsid w:val="00683852"/>
    <w:rsid w:val="0068387D"/>
    <w:rsid w:val="00683979"/>
    <w:rsid w:val="00683C0D"/>
    <w:rsid w:val="00683D5B"/>
    <w:rsid w:val="00683DF4"/>
    <w:rsid w:val="00683E09"/>
    <w:rsid w:val="00683E2A"/>
    <w:rsid w:val="00684246"/>
    <w:rsid w:val="0068432E"/>
    <w:rsid w:val="00684353"/>
    <w:rsid w:val="0068439D"/>
    <w:rsid w:val="0068443B"/>
    <w:rsid w:val="00684709"/>
    <w:rsid w:val="00684763"/>
    <w:rsid w:val="006847D0"/>
    <w:rsid w:val="00684892"/>
    <w:rsid w:val="00684B73"/>
    <w:rsid w:val="00684BBC"/>
    <w:rsid w:val="00684BD3"/>
    <w:rsid w:val="00684BDF"/>
    <w:rsid w:val="00684C88"/>
    <w:rsid w:val="00684D00"/>
    <w:rsid w:val="00684D24"/>
    <w:rsid w:val="00684E64"/>
    <w:rsid w:val="00684E6D"/>
    <w:rsid w:val="00684F8A"/>
    <w:rsid w:val="00684FA1"/>
    <w:rsid w:val="00684FB7"/>
    <w:rsid w:val="00685214"/>
    <w:rsid w:val="006853A1"/>
    <w:rsid w:val="00685418"/>
    <w:rsid w:val="006856FB"/>
    <w:rsid w:val="006857D7"/>
    <w:rsid w:val="006858BC"/>
    <w:rsid w:val="00685AA8"/>
    <w:rsid w:val="00685AED"/>
    <w:rsid w:val="00685C30"/>
    <w:rsid w:val="00685DB2"/>
    <w:rsid w:val="00685E83"/>
    <w:rsid w:val="0068612A"/>
    <w:rsid w:val="006861BC"/>
    <w:rsid w:val="0068649A"/>
    <w:rsid w:val="00686516"/>
    <w:rsid w:val="006865F4"/>
    <w:rsid w:val="0068668A"/>
    <w:rsid w:val="006868CA"/>
    <w:rsid w:val="006868F4"/>
    <w:rsid w:val="00686932"/>
    <w:rsid w:val="0068699E"/>
    <w:rsid w:val="00686BB9"/>
    <w:rsid w:val="00686C9C"/>
    <w:rsid w:val="00686D0F"/>
    <w:rsid w:val="00686D71"/>
    <w:rsid w:val="00687123"/>
    <w:rsid w:val="00687138"/>
    <w:rsid w:val="00687153"/>
    <w:rsid w:val="006871EF"/>
    <w:rsid w:val="0068733B"/>
    <w:rsid w:val="006873F7"/>
    <w:rsid w:val="00687468"/>
    <w:rsid w:val="006874E5"/>
    <w:rsid w:val="0068752F"/>
    <w:rsid w:val="0068754E"/>
    <w:rsid w:val="006875CF"/>
    <w:rsid w:val="006876F1"/>
    <w:rsid w:val="006877AE"/>
    <w:rsid w:val="00687886"/>
    <w:rsid w:val="006878A5"/>
    <w:rsid w:val="0068794D"/>
    <w:rsid w:val="00687A19"/>
    <w:rsid w:val="00687A36"/>
    <w:rsid w:val="00687A7C"/>
    <w:rsid w:val="00687A9A"/>
    <w:rsid w:val="00687C45"/>
    <w:rsid w:val="00687CB2"/>
    <w:rsid w:val="00687E13"/>
    <w:rsid w:val="00687FA6"/>
    <w:rsid w:val="006900C8"/>
    <w:rsid w:val="006900CB"/>
    <w:rsid w:val="00690155"/>
    <w:rsid w:val="00690513"/>
    <w:rsid w:val="006905A2"/>
    <w:rsid w:val="00690795"/>
    <w:rsid w:val="006907FE"/>
    <w:rsid w:val="0069097D"/>
    <w:rsid w:val="00690983"/>
    <w:rsid w:val="006909BF"/>
    <w:rsid w:val="00690A5B"/>
    <w:rsid w:val="00690C10"/>
    <w:rsid w:val="00690C22"/>
    <w:rsid w:val="00690CFE"/>
    <w:rsid w:val="00690ED3"/>
    <w:rsid w:val="00691053"/>
    <w:rsid w:val="006911B8"/>
    <w:rsid w:val="00691379"/>
    <w:rsid w:val="0069155F"/>
    <w:rsid w:val="006915A1"/>
    <w:rsid w:val="00691804"/>
    <w:rsid w:val="00691A5D"/>
    <w:rsid w:val="00691AFC"/>
    <w:rsid w:val="00691CC4"/>
    <w:rsid w:val="00691CCF"/>
    <w:rsid w:val="00691DEE"/>
    <w:rsid w:val="00691E0D"/>
    <w:rsid w:val="00691E34"/>
    <w:rsid w:val="0069201E"/>
    <w:rsid w:val="0069202B"/>
    <w:rsid w:val="0069203D"/>
    <w:rsid w:val="0069203F"/>
    <w:rsid w:val="0069216F"/>
    <w:rsid w:val="006921AA"/>
    <w:rsid w:val="006922FE"/>
    <w:rsid w:val="006923A1"/>
    <w:rsid w:val="0069240E"/>
    <w:rsid w:val="00692479"/>
    <w:rsid w:val="0069248C"/>
    <w:rsid w:val="00692586"/>
    <w:rsid w:val="006925BF"/>
    <w:rsid w:val="00692662"/>
    <w:rsid w:val="0069270F"/>
    <w:rsid w:val="006927A2"/>
    <w:rsid w:val="006927C9"/>
    <w:rsid w:val="006928BB"/>
    <w:rsid w:val="006928BE"/>
    <w:rsid w:val="0069296F"/>
    <w:rsid w:val="00692A3B"/>
    <w:rsid w:val="00692C51"/>
    <w:rsid w:val="00692CC4"/>
    <w:rsid w:val="00692F0E"/>
    <w:rsid w:val="0069301A"/>
    <w:rsid w:val="00693044"/>
    <w:rsid w:val="0069313C"/>
    <w:rsid w:val="006931C4"/>
    <w:rsid w:val="006933E4"/>
    <w:rsid w:val="00693484"/>
    <w:rsid w:val="006934AF"/>
    <w:rsid w:val="006934F2"/>
    <w:rsid w:val="006935B3"/>
    <w:rsid w:val="00693607"/>
    <w:rsid w:val="00693626"/>
    <w:rsid w:val="00693675"/>
    <w:rsid w:val="00693785"/>
    <w:rsid w:val="006937B3"/>
    <w:rsid w:val="00693829"/>
    <w:rsid w:val="0069386C"/>
    <w:rsid w:val="00693AB2"/>
    <w:rsid w:val="00693D88"/>
    <w:rsid w:val="00693FF7"/>
    <w:rsid w:val="00693FFA"/>
    <w:rsid w:val="0069401A"/>
    <w:rsid w:val="0069402E"/>
    <w:rsid w:val="00694031"/>
    <w:rsid w:val="0069409F"/>
    <w:rsid w:val="00694145"/>
    <w:rsid w:val="0069420B"/>
    <w:rsid w:val="006942C3"/>
    <w:rsid w:val="006942D0"/>
    <w:rsid w:val="00694337"/>
    <w:rsid w:val="006944C3"/>
    <w:rsid w:val="006944D1"/>
    <w:rsid w:val="00694515"/>
    <w:rsid w:val="00694658"/>
    <w:rsid w:val="0069473F"/>
    <w:rsid w:val="00694824"/>
    <w:rsid w:val="006948F9"/>
    <w:rsid w:val="006949F5"/>
    <w:rsid w:val="00694AA0"/>
    <w:rsid w:val="00694AA3"/>
    <w:rsid w:val="00694C0E"/>
    <w:rsid w:val="00694CBE"/>
    <w:rsid w:val="00694DA2"/>
    <w:rsid w:val="00694E93"/>
    <w:rsid w:val="00694EE3"/>
    <w:rsid w:val="00694F91"/>
    <w:rsid w:val="00694F95"/>
    <w:rsid w:val="0069501E"/>
    <w:rsid w:val="00695056"/>
    <w:rsid w:val="0069506D"/>
    <w:rsid w:val="00695158"/>
    <w:rsid w:val="00695302"/>
    <w:rsid w:val="00695460"/>
    <w:rsid w:val="00695647"/>
    <w:rsid w:val="00695775"/>
    <w:rsid w:val="00695A41"/>
    <w:rsid w:val="00695AA5"/>
    <w:rsid w:val="00695AB8"/>
    <w:rsid w:val="00695ABD"/>
    <w:rsid w:val="00695CEE"/>
    <w:rsid w:val="00695F05"/>
    <w:rsid w:val="00696020"/>
    <w:rsid w:val="00696104"/>
    <w:rsid w:val="00696351"/>
    <w:rsid w:val="006968EF"/>
    <w:rsid w:val="00696938"/>
    <w:rsid w:val="00696995"/>
    <w:rsid w:val="00696A65"/>
    <w:rsid w:val="00696D4F"/>
    <w:rsid w:val="00696E83"/>
    <w:rsid w:val="00696E84"/>
    <w:rsid w:val="00696F55"/>
    <w:rsid w:val="00696F63"/>
    <w:rsid w:val="006970F0"/>
    <w:rsid w:val="006972BF"/>
    <w:rsid w:val="00697340"/>
    <w:rsid w:val="006974D0"/>
    <w:rsid w:val="00697597"/>
    <w:rsid w:val="006975A0"/>
    <w:rsid w:val="006975D3"/>
    <w:rsid w:val="00697646"/>
    <w:rsid w:val="0069764E"/>
    <w:rsid w:val="006976A5"/>
    <w:rsid w:val="006976BD"/>
    <w:rsid w:val="00697714"/>
    <w:rsid w:val="0069786B"/>
    <w:rsid w:val="006979D2"/>
    <w:rsid w:val="00697A85"/>
    <w:rsid w:val="00697AB8"/>
    <w:rsid w:val="00697B6F"/>
    <w:rsid w:val="00697BAD"/>
    <w:rsid w:val="00697BEE"/>
    <w:rsid w:val="00697E6E"/>
    <w:rsid w:val="00697EE9"/>
    <w:rsid w:val="006A00A8"/>
    <w:rsid w:val="006A00FA"/>
    <w:rsid w:val="006A0281"/>
    <w:rsid w:val="006A02C4"/>
    <w:rsid w:val="006A03C4"/>
    <w:rsid w:val="006A04D2"/>
    <w:rsid w:val="006A0661"/>
    <w:rsid w:val="006A06FA"/>
    <w:rsid w:val="006A08FC"/>
    <w:rsid w:val="006A0A6A"/>
    <w:rsid w:val="006A0C32"/>
    <w:rsid w:val="006A0DA6"/>
    <w:rsid w:val="006A0DB5"/>
    <w:rsid w:val="006A0EB5"/>
    <w:rsid w:val="006A1093"/>
    <w:rsid w:val="006A10A1"/>
    <w:rsid w:val="006A10BE"/>
    <w:rsid w:val="006A10CA"/>
    <w:rsid w:val="006A10CB"/>
    <w:rsid w:val="006A136E"/>
    <w:rsid w:val="006A13C5"/>
    <w:rsid w:val="006A156B"/>
    <w:rsid w:val="006A160E"/>
    <w:rsid w:val="006A1869"/>
    <w:rsid w:val="006A192B"/>
    <w:rsid w:val="006A1995"/>
    <w:rsid w:val="006A19BB"/>
    <w:rsid w:val="006A1A0C"/>
    <w:rsid w:val="006A1A12"/>
    <w:rsid w:val="006A1BA1"/>
    <w:rsid w:val="006A1C1E"/>
    <w:rsid w:val="006A1C8B"/>
    <w:rsid w:val="006A1DA1"/>
    <w:rsid w:val="006A1DC2"/>
    <w:rsid w:val="006A1E0F"/>
    <w:rsid w:val="006A1E98"/>
    <w:rsid w:val="006A1ED6"/>
    <w:rsid w:val="006A2064"/>
    <w:rsid w:val="006A23D6"/>
    <w:rsid w:val="006A250F"/>
    <w:rsid w:val="006A2536"/>
    <w:rsid w:val="006A25AA"/>
    <w:rsid w:val="006A2705"/>
    <w:rsid w:val="006A281C"/>
    <w:rsid w:val="006A2920"/>
    <w:rsid w:val="006A2957"/>
    <w:rsid w:val="006A2EA3"/>
    <w:rsid w:val="006A2EFA"/>
    <w:rsid w:val="006A3003"/>
    <w:rsid w:val="006A303D"/>
    <w:rsid w:val="006A328B"/>
    <w:rsid w:val="006A34C4"/>
    <w:rsid w:val="006A356B"/>
    <w:rsid w:val="006A35CA"/>
    <w:rsid w:val="006A387C"/>
    <w:rsid w:val="006A38D1"/>
    <w:rsid w:val="006A38EF"/>
    <w:rsid w:val="006A397D"/>
    <w:rsid w:val="006A3990"/>
    <w:rsid w:val="006A3A2F"/>
    <w:rsid w:val="006A3B0B"/>
    <w:rsid w:val="006A3BC4"/>
    <w:rsid w:val="006A3BE0"/>
    <w:rsid w:val="006A3C72"/>
    <w:rsid w:val="006A3D1B"/>
    <w:rsid w:val="006A3E42"/>
    <w:rsid w:val="006A3EF1"/>
    <w:rsid w:val="006A4022"/>
    <w:rsid w:val="006A4092"/>
    <w:rsid w:val="006A4098"/>
    <w:rsid w:val="006A40F4"/>
    <w:rsid w:val="006A413C"/>
    <w:rsid w:val="006A4245"/>
    <w:rsid w:val="006A432A"/>
    <w:rsid w:val="006A4355"/>
    <w:rsid w:val="006A43A9"/>
    <w:rsid w:val="006A44AE"/>
    <w:rsid w:val="006A453E"/>
    <w:rsid w:val="006A457A"/>
    <w:rsid w:val="006A45E0"/>
    <w:rsid w:val="006A476C"/>
    <w:rsid w:val="006A47C3"/>
    <w:rsid w:val="006A489F"/>
    <w:rsid w:val="006A48EC"/>
    <w:rsid w:val="006A49D8"/>
    <w:rsid w:val="006A4A0B"/>
    <w:rsid w:val="006A4B12"/>
    <w:rsid w:val="006A4C1F"/>
    <w:rsid w:val="006A4CDB"/>
    <w:rsid w:val="006A4D25"/>
    <w:rsid w:val="006A4D8B"/>
    <w:rsid w:val="006A4F50"/>
    <w:rsid w:val="006A4F5D"/>
    <w:rsid w:val="006A5051"/>
    <w:rsid w:val="006A5103"/>
    <w:rsid w:val="006A52DD"/>
    <w:rsid w:val="006A530E"/>
    <w:rsid w:val="006A535B"/>
    <w:rsid w:val="006A53D6"/>
    <w:rsid w:val="006A5400"/>
    <w:rsid w:val="006A5408"/>
    <w:rsid w:val="006A5428"/>
    <w:rsid w:val="006A545F"/>
    <w:rsid w:val="006A54C1"/>
    <w:rsid w:val="006A54ED"/>
    <w:rsid w:val="006A564D"/>
    <w:rsid w:val="006A56AB"/>
    <w:rsid w:val="006A57F2"/>
    <w:rsid w:val="006A597B"/>
    <w:rsid w:val="006A5AA6"/>
    <w:rsid w:val="006A5B37"/>
    <w:rsid w:val="006A5B92"/>
    <w:rsid w:val="006A5BD2"/>
    <w:rsid w:val="006A5C04"/>
    <w:rsid w:val="006A5C69"/>
    <w:rsid w:val="006A5E18"/>
    <w:rsid w:val="006A5E25"/>
    <w:rsid w:val="006A5EBF"/>
    <w:rsid w:val="006A5F30"/>
    <w:rsid w:val="006A61A8"/>
    <w:rsid w:val="006A61E9"/>
    <w:rsid w:val="006A6216"/>
    <w:rsid w:val="006A62FC"/>
    <w:rsid w:val="006A63B4"/>
    <w:rsid w:val="006A6549"/>
    <w:rsid w:val="006A6586"/>
    <w:rsid w:val="006A65C0"/>
    <w:rsid w:val="006A6603"/>
    <w:rsid w:val="006A660D"/>
    <w:rsid w:val="006A662F"/>
    <w:rsid w:val="006A6640"/>
    <w:rsid w:val="006A66F1"/>
    <w:rsid w:val="006A6706"/>
    <w:rsid w:val="006A6AC5"/>
    <w:rsid w:val="006A6B18"/>
    <w:rsid w:val="006A6E57"/>
    <w:rsid w:val="006A716A"/>
    <w:rsid w:val="006A71F3"/>
    <w:rsid w:val="006A7221"/>
    <w:rsid w:val="006A7260"/>
    <w:rsid w:val="006A7349"/>
    <w:rsid w:val="006A771E"/>
    <w:rsid w:val="006A77D1"/>
    <w:rsid w:val="006A78D4"/>
    <w:rsid w:val="006A7B50"/>
    <w:rsid w:val="006A7C0A"/>
    <w:rsid w:val="006A7CDC"/>
    <w:rsid w:val="006A7DF6"/>
    <w:rsid w:val="006A7E1D"/>
    <w:rsid w:val="006A7E1F"/>
    <w:rsid w:val="006A7FC3"/>
    <w:rsid w:val="006B01B9"/>
    <w:rsid w:val="006B01D5"/>
    <w:rsid w:val="006B0244"/>
    <w:rsid w:val="006B0311"/>
    <w:rsid w:val="006B0328"/>
    <w:rsid w:val="006B03AE"/>
    <w:rsid w:val="006B04E7"/>
    <w:rsid w:val="006B053E"/>
    <w:rsid w:val="006B0556"/>
    <w:rsid w:val="006B0656"/>
    <w:rsid w:val="006B06FF"/>
    <w:rsid w:val="006B072D"/>
    <w:rsid w:val="006B0738"/>
    <w:rsid w:val="006B074D"/>
    <w:rsid w:val="006B07B0"/>
    <w:rsid w:val="006B080A"/>
    <w:rsid w:val="006B084F"/>
    <w:rsid w:val="006B08B7"/>
    <w:rsid w:val="006B097F"/>
    <w:rsid w:val="006B0F80"/>
    <w:rsid w:val="006B100F"/>
    <w:rsid w:val="006B1169"/>
    <w:rsid w:val="006B1209"/>
    <w:rsid w:val="006B13F2"/>
    <w:rsid w:val="006B148C"/>
    <w:rsid w:val="006B1899"/>
    <w:rsid w:val="006B1936"/>
    <w:rsid w:val="006B1AD9"/>
    <w:rsid w:val="006B1B3B"/>
    <w:rsid w:val="006B1B86"/>
    <w:rsid w:val="006B1BC3"/>
    <w:rsid w:val="006B1D5B"/>
    <w:rsid w:val="006B1DBF"/>
    <w:rsid w:val="006B210C"/>
    <w:rsid w:val="006B2115"/>
    <w:rsid w:val="006B226D"/>
    <w:rsid w:val="006B23FA"/>
    <w:rsid w:val="006B2402"/>
    <w:rsid w:val="006B24EA"/>
    <w:rsid w:val="006B2509"/>
    <w:rsid w:val="006B2538"/>
    <w:rsid w:val="006B26A4"/>
    <w:rsid w:val="006B2706"/>
    <w:rsid w:val="006B27C9"/>
    <w:rsid w:val="006B28DD"/>
    <w:rsid w:val="006B29EC"/>
    <w:rsid w:val="006B29F7"/>
    <w:rsid w:val="006B29FE"/>
    <w:rsid w:val="006B2B70"/>
    <w:rsid w:val="006B2CD6"/>
    <w:rsid w:val="006B2EC6"/>
    <w:rsid w:val="006B2F2F"/>
    <w:rsid w:val="006B2F99"/>
    <w:rsid w:val="006B309A"/>
    <w:rsid w:val="006B31AD"/>
    <w:rsid w:val="006B31BB"/>
    <w:rsid w:val="006B326B"/>
    <w:rsid w:val="006B3300"/>
    <w:rsid w:val="006B330D"/>
    <w:rsid w:val="006B341E"/>
    <w:rsid w:val="006B34C7"/>
    <w:rsid w:val="006B34DC"/>
    <w:rsid w:val="006B350B"/>
    <w:rsid w:val="006B3585"/>
    <w:rsid w:val="006B381E"/>
    <w:rsid w:val="006B3824"/>
    <w:rsid w:val="006B3888"/>
    <w:rsid w:val="006B38BF"/>
    <w:rsid w:val="006B392A"/>
    <w:rsid w:val="006B3A5B"/>
    <w:rsid w:val="006B3A72"/>
    <w:rsid w:val="006B3ACC"/>
    <w:rsid w:val="006B3AF8"/>
    <w:rsid w:val="006B3B9D"/>
    <w:rsid w:val="006B3C22"/>
    <w:rsid w:val="006B3CB1"/>
    <w:rsid w:val="006B3D41"/>
    <w:rsid w:val="006B3DC7"/>
    <w:rsid w:val="006B3E3B"/>
    <w:rsid w:val="006B3E9F"/>
    <w:rsid w:val="006B3EEF"/>
    <w:rsid w:val="006B3F19"/>
    <w:rsid w:val="006B3FC6"/>
    <w:rsid w:val="006B407B"/>
    <w:rsid w:val="006B41BF"/>
    <w:rsid w:val="006B4615"/>
    <w:rsid w:val="006B47F5"/>
    <w:rsid w:val="006B493C"/>
    <w:rsid w:val="006B49AC"/>
    <w:rsid w:val="006B4A55"/>
    <w:rsid w:val="006B4A5C"/>
    <w:rsid w:val="006B4AED"/>
    <w:rsid w:val="006B4BB3"/>
    <w:rsid w:val="006B4BDD"/>
    <w:rsid w:val="006B4D23"/>
    <w:rsid w:val="006B4D70"/>
    <w:rsid w:val="006B4DA7"/>
    <w:rsid w:val="006B4F42"/>
    <w:rsid w:val="006B545D"/>
    <w:rsid w:val="006B5473"/>
    <w:rsid w:val="006B5629"/>
    <w:rsid w:val="006B5685"/>
    <w:rsid w:val="006B574A"/>
    <w:rsid w:val="006B58CE"/>
    <w:rsid w:val="006B5A42"/>
    <w:rsid w:val="006B5D61"/>
    <w:rsid w:val="006B60AC"/>
    <w:rsid w:val="006B60E7"/>
    <w:rsid w:val="006B613B"/>
    <w:rsid w:val="006B624A"/>
    <w:rsid w:val="006B6436"/>
    <w:rsid w:val="006B6479"/>
    <w:rsid w:val="006B65CD"/>
    <w:rsid w:val="006B6615"/>
    <w:rsid w:val="006B6710"/>
    <w:rsid w:val="006B686D"/>
    <w:rsid w:val="006B695A"/>
    <w:rsid w:val="006B69C8"/>
    <w:rsid w:val="006B6A2A"/>
    <w:rsid w:val="006B6A6C"/>
    <w:rsid w:val="006B6C16"/>
    <w:rsid w:val="006B6DAB"/>
    <w:rsid w:val="006B6E4A"/>
    <w:rsid w:val="006B6FA8"/>
    <w:rsid w:val="006B7007"/>
    <w:rsid w:val="006B7018"/>
    <w:rsid w:val="006B7055"/>
    <w:rsid w:val="006B7098"/>
    <w:rsid w:val="006B709B"/>
    <w:rsid w:val="006B70AB"/>
    <w:rsid w:val="006B73F4"/>
    <w:rsid w:val="006B76CC"/>
    <w:rsid w:val="006B787C"/>
    <w:rsid w:val="006B78DA"/>
    <w:rsid w:val="006B78E1"/>
    <w:rsid w:val="006B7997"/>
    <w:rsid w:val="006B7A4C"/>
    <w:rsid w:val="006B7A9C"/>
    <w:rsid w:val="006B7B4C"/>
    <w:rsid w:val="006B7D66"/>
    <w:rsid w:val="006B7FF1"/>
    <w:rsid w:val="006C0039"/>
    <w:rsid w:val="006C005C"/>
    <w:rsid w:val="006C0089"/>
    <w:rsid w:val="006C014F"/>
    <w:rsid w:val="006C0268"/>
    <w:rsid w:val="006C0304"/>
    <w:rsid w:val="006C04AE"/>
    <w:rsid w:val="006C0703"/>
    <w:rsid w:val="006C07B2"/>
    <w:rsid w:val="006C089B"/>
    <w:rsid w:val="006C090A"/>
    <w:rsid w:val="006C0DC5"/>
    <w:rsid w:val="006C0ED1"/>
    <w:rsid w:val="006C0FAE"/>
    <w:rsid w:val="006C10A0"/>
    <w:rsid w:val="006C10C8"/>
    <w:rsid w:val="006C11AD"/>
    <w:rsid w:val="006C13CD"/>
    <w:rsid w:val="006C1697"/>
    <w:rsid w:val="006C1C91"/>
    <w:rsid w:val="006C1CA0"/>
    <w:rsid w:val="006C1E6F"/>
    <w:rsid w:val="006C1EB6"/>
    <w:rsid w:val="006C1F09"/>
    <w:rsid w:val="006C1F54"/>
    <w:rsid w:val="006C1F82"/>
    <w:rsid w:val="006C2033"/>
    <w:rsid w:val="006C217F"/>
    <w:rsid w:val="006C22C4"/>
    <w:rsid w:val="006C23AB"/>
    <w:rsid w:val="006C2580"/>
    <w:rsid w:val="006C265E"/>
    <w:rsid w:val="006C26AD"/>
    <w:rsid w:val="006C2719"/>
    <w:rsid w:val="006C27C9"/>
    <w:rsid w:val="006C2963"/>
    <w:rsid w:val="006C2A3E"/>
    <w:rsid w:val="006C2B7B"/>
    <w:rsid w:val="006C2BAD"/>
    <w:rsid w:val="006C2BE9"/>
    <w:rsid w:val="006C2C9A"/>
    <w:rsid w:val="006C2EAF"/>
    <w:rsid w:val="006C2F2C"/>
    <w:rsid w:val="006C3074"/>
    <w:rsid w:val="006C3688"/>
    <w:rsid w:val="006C36F3"/>
    <w:rsid w:val="006C3764"/>
    <w:rsid w:val="006C380B"/>
    <w:rsid w:val="006C383B"/>
    <w:rsid w:val="006C386E"/>
    <w:rsid w:val="006C39C3"/>
    <w:rsid w:val="006C3A94"/>
    <w:rsid w:val="006C3B98"/>
    <w:rsid w:val="006C3BA5"/>
    <w:rsid w:val="006C3CC2"/>
    <w:rsid w:val="006C3D77"/>
    <w:rsid w:val="006C3EBE"/>
    <w:rsid w:val="006C3EDD"/>
    <w:rsid w:val="006C40B5"/>
    <w:rsid w:val="006C40E7"/>
    <w:rsid w:val="006C4139"/>
    <w:rsid w:val="006C42CE"/>
    <w:rsid w:val="006C4452"/>
    <w:rsid w:val="006C4575"/>
    <w:rsid w:val="006C4621"/>
    <w:rsid w:val="006C472C"/>
    <w:rsid w:val="006C478D"/>
    <w:rsid w:val="006C47B8"/>
    <w:rsid w:val="006C49F9"/>
    <w:rsid w:val="006C4BE9"/>
    <w:rsid w:val="006C4CB3"/>
    <w:rsid w:val="006C4CF7"/>
    <w:rsid w:val="006C4DAF"/>
    <w:rsid w:val="006C4FF9"/>
    <w:rsid w:val="006C5014"/>
    <w:rsid w:val="006C510A"/>
    <w:rsid w:val="006C52A1"/>
    <w:rsid w:val="006C52E3"/>
    <w:rsid w:val="006C53FD"/>
    <w:rsid w:val="006C5404"/>
    <w:rsid w:val="006C5438"/>
    <w:rsid w:val="006C5536"/>
    <w:rsid w:val="006C559A"/>
    <w:rsid w:val="006C55A2"/>
    <w:rsid w:val="006C56BA"/>
    <w:rsid w:val="006C56C5"/>
    <w:rsid w:val="006C5758"/>
    <w:rsid w:val="006C57D8"/>
    <w:rsid w:val="006C5824"/>
    <w:rsid w:val="006C5826"/>
    <w:rsid w:val="006C58EB"/>
    <w:rsid w:val="006C5916"/>
    <w:rsid w:val="006C59B1"/>
    <w:rsid w:val="006C5A6A"/>
    <w:rsid w:val="006C5AAC"/>
    <w:rsid w:val="006C5B01"/>
    <w:rsid w:val="006C5B71"/>
    <w:rsid w:val="006C5CF1"/>
    <w:rsid w:val="006C5D1F"/>
    <w:rsid w:val="006C5D73"/>
    <w:rsid w:val="006C5DE0"/>
    <w:rsid w:val="006C5F19"/>
    <w:rsid w:val="006C5F5C"/>
    <w:rsid w:val="006C5FAD"/>
    <w:rsid w:val="006C5FCF"/>
    <w:rsid w:val="006C6017"/>
    <w:rsid w:val="006C60EE"/>
    <w:rsid w:val="006C6156"/>
    <w:rsid w:val="006C620D"/>
    <w:rsid w:val="006C62D4"/>
    <w:rsid w:val="006C6466"/>
    <w:rsid w:val="006C65FD"/>
    <w:rsid w:val="006C6666"/>
    <w:rsid w:val="006C66BC"/>
    <w:rsid w:val="006C66FC"/>
    <w:rsid w:val="006C6796"/>
    <w:rsid w:val="006C67E4"/>
    <w:rsid w:val="006C69BB"/>
    <w:rsid w:val="006C6B49"/>
    <w:rsid w:val="006C6C58"/>
    <w:rsid w:val="006C6C9C"/>
    <w:rsid w:val="006C6D99"/>
    <w:rsid w:val="006C72A6"/>
    <w:rsid w:val="006C7398"/>
    <w:rsid w:val="006C74D8"/>
    <w:rsid w:val="006C7557"/>
    <w:rsid w:val="006C75E7"/>
    <w:rsid w:val="006C77C7"/>
    <w:rsid w:val="006C7977"/>
    <w:rsid w:val="006C7A5C"/>
    <w:rsid w:val="006C7B86"/>
    <w:rsid w:val="006C7BB6"/>
    <w:rsid w:val="006C7D23"/>
    <w:rsid w:val="006C7E12"/>
    <w:rsid w:val="006C7E62"/>
    <w:rsid w:val="006C7E7F"/>
    <w:rsid w:val="006D0043"/>
    <w:rsid w:val="006D0152"/>
    <w:rsid w:val="006D01D1"/>
    <w:rsid w:val="006D0374"/>
    <w:rsid w:val="006D045A"/>
    <w:rsid w:val="006D048A"/>
    <w:rsid w:val="006D0520"/>
    <w:rsid w:val="006D061F"/>
    <w:rsid w:val="006D079D"/>
    <w:rsid w:val="006D085E"/>
    <w:rsid w:val="006D08F2"/>
    <w:rsid w:val="006D0932"/>
    <w:rsid w:val="006D09E0"/>
    <w:rsid w:val="006D0AD4"/>
    <w:rsid w:val="006D0B8F"/>
    <w:rsid w:val="006D0BC3"/>
    <w:rsid w:val="006D0CA3"/>
    <w:rsid w:val="006D0E8A"/>
    <w:rsid w:val="006D0E97"/>
    <w:rsid w:val="006D0F5E"/>
    <w:rsid w:val="006D10A4"/>
    <w:rsid w:val="006D11E6"/>
    <w:rsid w:val="006D1298"/>
    <w:rsid w:val="006D1363"/>
    <w:rsid w:val="006D13A6"/>
    <w:rsid w:val="006D1482"/>
    <w:rsid w:val="006D16E5"/>
    <w:rsid w:val="006D1779"/>
    <w:rsid w:val="006D17A7"/>
    <w:rsid w:val="006D1873"/>
    <w:rsid w:val="006D1891"/>
    <w:rsid w:val="006D19F9"/>
    <w:rsid w:val="006D1A86"/>
    <w:rsid w:val="006D1CAB"/>
    <w:rsid w:val="006D1CE3"/>
    <w:rsid w:val="006D1D7A"/>
    <w:rsid w:val="006D1D90"/>
    <w:rsid w:val="006D1EB0"/>
    <w:rsid w:val="006D1FD6"/>
    <w:rsid w:val="006D2007"/>
    <w:rsid w:val="006D210D"/>
    <w:rsid w:val="006D2277"/>
    <w:rsid w:val="006D2291"/>
    <w:rsid w:val="006D22EE"/>
    <w:rsid w:val="006D2407"/>
    <w:rsid w:val="006D258F"/>
    <w:rsid w:val="006D2624"/>
    <w:rsid w:val="006D28A9"/>
    <w:rsid w:val="006D2B74"/>
    <w:rsid w:val="006D2BE2"/>
    <w:rsid w:val="006D2C73"/>
    <w:rsid w:val="006D2D74"/>
    <w:rsid w:val="006D2E42"/>
    <w:rsid w:val="006D2E7D"/>
    <w:rsid w:val="006D30EA"/>
    <w:rsid w:val="006D30FC"/>
    <w:rsid w:val="006D3150"/>
    <w:rsid w:val="006D3182"/>
    <w:rsid w:val="006D31F5"/>
    <w:rsid w:val="006D3385"/>
    <w:rsid w:val="006D33E0"/>
    <w:rsid w:val="006D3518"/>
    <w:rsid w:val="006D3647"/>
    <w:rsid w:val="006D36F3"/>
    <w:rsid w:val="006D37EE"/>
    <w:rsid w:val="006D3872"/>
    <w:rsid w:val="006D396C"/>
    <w:rsid w:val="006D3BBD"/>
    <w:rsid w:val="006D3C13"/>
    <w:rsid w:val="006D3C39"/>
    <w:rsid w:val="006D3E2C"/>
    <w:rsid w:val="006D3EC8"/>
    <w:rsid w:val="006D4011"/>
    <w:rsid w:val="006D40EE"/>
    <w:rsid w:val="006D461B"/>
    <w:rsid w:val="006D468B"/>
    <w:rsid w:val="006D46C9"/>
    <w:rsid w:val="006D47B9"/>
    <w:rsid w:val="006D487F"/>
    <w:rsid w:val="006D495D"/>
    <w:rsid w:val="006D49B3"/>
    <w:rsid w:val="006D49BA"/>
    <w:rsid w:val="006D49FE"/>
    <w:rsid w:val="006D4A92"/>
    <w:rsid w:val="006D4B6C"/>
    <w:rsid w:val="006D4E40"/>
    <w:rsid w:val="006D510D"/>
    <w:rsid w:val="006D5397"/>
    <w:rsid w:val="006D544B"/>
    <w:rsid w:val="006D54EA"/>
    <w:rsid w:val="006D55B3"/>
    <w:rsid w:val="006D5741"/>
    <w:rsid w:val="006D5809"/>
    <w:rsid w:val="006D582F"/>
    <w:rsid w:val="006D58EE"/>
    <w:rsid w:val="006D5927"/>
    <w:rsid w:val="006D5A74"/>
    <w:rsid w:val="006D5AE8"/>
    <w:rsid w:val="006D5C65"/>
    <w:rsid w:val="006D5CC1"/>
    <w:rsid w:val="006D5D6A"/>
    <w:rsid w:val="006D6033"/>
    <w:rsid w:val="006D605B"/>
    <w:rsid w:val="006D60C0"/>
    <w:rsid w:val="006D6142"/>
    <w:rsid w:val="006D6181"/>
    <w:rsid w:val="006D6247"/>
    <w:rsid w:val="006D62B4"/>
    <w:rsid w:val="006D6374"/>
    <w:rsid w:val="006D64E5"/>
    <w:rsid w:val="006D6514"/>
    <w:rsid w:val="006D661A"/>
    <w:rsid w:val="006D691D"/>
    <w:rsid w:val="006D69A5"/>
    <w:rsid w:val="006D6AB4"/>
    <w:rsid w:val="006D6AC7"/>
    <w:rsid w:val="006D6BD2"/>
    <w:rsid w:val="006D6C53"/>
    <w:rsid w:val="006D6CCD"/>
    <w:rsid w:val="006D6D81"/>
    <w:rsid w:val="006D6EE7"/>
    <w:rsid w:val="006D702F"/>
    <w:rsid w:val="006D7058"/>
    <w:rsid w:val="006D707E"/>
    <w:rsid w:val="006D7317"/>
    <w:rsid w:val="006D73E6"/>
    <w:rsid w:val="006D7478"/>
    <w:rsid w:val="006D7501"/>
    <w:rsid w:val="006D7502"/>
    <w:rsid w:val="006D7692"/>
    <w:rsid w:val="006D778F"/>
    <w:rsid w:val="006D7807"/>
    <w:rsid w:val="006D784C"/>
    <w:rsid w:val="006D7BA6"/>
    <w:rsid w:val="006D7CD5"/>
    <w:rsid w:val="006D7D9A"/>
    <w:rsid w:val="006D7DB9"/>
    <w:rsid w:val="006D7E55"/>
    <w:rsid w:val="006D7E90"/>
    <w:rsid w:val="006D7FB7"/>
    <w:rsid w:val="006E0012"/>
    <w:rsid w:val="006E0091"/>
    <w:rsid w:val="006E0127"/>
    <w:rsid w:val="006E014A"/>
    <w:rsid w:val="006E01A3"/>
    <w:rsid w:val="006E01CF"/>
    <w:rsid w:val="006E0347"/>
    <w:rsid w:val="006E0397"/>
    <w:rsid w:val="006E03F8"/>
    <w:rsid w:val="006E03FF"/>
    <w:rsid w:val="006E0537"/>
    <w:rsid w:val="006E0556"/>
    <w:rsid w:val="006E063F"/>
    <w:rsid w:val="006E06D8"/>
    <w:rsid w:val="006E07D7"/>
    <w:rsid w:val="006E0987"/>
    <w:rsid w:val="006E0A17"/>
    <w:rsid w:val="006E0AB4"/>
    <w:rsid w:val="006E0B06"/>
    <w:rsid w:val="006E0CA1"/>
    <w:rsid w:val="006E0DDB"/>
    <w:rsid w:val="006E0E24"/>
    <w:rsid w:val="006E0E41"/>
    <w:rsid w:val="006E0E76"/>
    <w:rsid w:val="006E1073"/>
    <w:rsid w:val="006E1081"/>
    <w:rsid w:val="006E10A0"/>
    <w:rsid w:val="006E10DB"/>
    <w:rsid w:val="006E111C"/>
    <w:rsid w:val="006E117E"/>
    <w:rsid w:val="006E1263"/>
    <w:rsid w:val="006E12D2"/>
    <w:rsid w:val="006E13C7"/>
    <w:rsid w:val="006E1423"/>
    <w:rsid w:val="006E15BD"/>
    <w:rsid w:val="006E178F"/>
    <w:rsid w:val="006E18B4"/>
    <w:rsid w:val="006E19C8"/>
    <w:rsid w:val="006E19F1"/>
    <w:rsid w:val="006E1A40"/>
    <w:rsid w:val="006E1A4C"/>
    <w:rsid w:val="006E1A9F"/>
    <w:rsid w:val="006E1C18"/>
    <w:rsid w:val="006E1FEB"/>
    <w:rsid w:val="006E1FFF"/>
    <w:rsid w:val="006E2003"/>
    <w:rsid w:val="006E22BC"/>
    <w:rsid w:val="006E2328"/>
    <w:rsid w:val="006E2449"/>
    <w:rsid w:val="006E2509"/>
    <w:rsid w:val="006E26D9"/>
    <w:rsid w:val="006E2852"/>
    <w:rsid w:val="006E2A89"/>
    <w:rsid w:val="006E2AB0"/>
    <w:rsid w:val="006E2C44"/>
    <w:rsid w:val="006E2F9E"/>
    <w:rsid w:val="006E2FCD"/>
    <w:rsid w:val="006E2FD2"/>
    <w:rsid w:val="006E2FF3"/>
    <w:rsid w:val="006E30F4"/>
    <w:rsid w:val="006E3163"/>
    <w:rsid w:val="006E32AE"/>
    <w:rsid w:val="006E32C4"/>
    <w:rsid w:val="006E32FD"/>
    <w:rsid w:val="006E3370"/>
    <w:rsid w:val="006E364F"/>
    <w:rsid w:val="006E3757"/>
    <w:rsid w:val="006E39B2"/>
    <w:rsid w:val="006E39EA"/>
    <w:rsid w:val="006E3C38"/>
    <w:rsid w:val="006E3DBD"/>
    <w:rsid w:val="006E3F99"/>
    <w:rsid w:val="006E4252"/>
    <w:rsid w:val="006E4330"/>
    <w:rsid w:val="006E4472"/>
    <w:rsid w:val="006E454B"/>
    <w:rsid w:val="006E460B"/>
    <w:rsid w:val="006E4620"/>
    <w:rsid w:val="006E4755"/>
    <w:rsid w:val="006E4C36"/>
    <w:rsid w:val="006E4CF9"/>
    <w:rsid w:val="006E4EB0"/>
    <w:rsid w:val="006E4FA8"/>
    <w:rsid w:val="006E4FB0"/>
    <w:rsid w:val="006E5128"/>
    <w:rsid w:val="006E532A"/>
    <w:rsid w:val="006E5408"/>
    <w:rsid w:val="006E5525"/>
    <w:rsid w:val="006E5644"/>
    <w:rsid w:val="006E57D0"/>
    <w:rsid w:val="006E57EB"/>
    <w:rsid w:val="006E5845"/>
    <w:rsid w:val="006E58B9"/>
    <w:rsid w:val="006E5B48"/>
    <w:rsid w:val="006E5B60"/>
    <w:rsid w:val="006E5BD5"/>
    <w:rsid w:val="006E5CC0"/>
    <w:rsid w:val="006E5CFA"/>
    <w:rsid w:val="006E5E33"/>
    <w:rsid w:val="006E5FD3"/>
    <w:rsid w:val="006E604A"/>
    <w:rsid w:val="006E605F"/>
    <w:rsid w:val="006E611F"/>
    <w:rsid w:val="006E6222"/>
    <w:rsid w:val="006E622A"/>
    <w:rsid w:val="006E6272"/>
    <w:rsid w:val="006E62D6"/>
    <w:rsid w:val="006E63A9"/>
    <w:rsid w:val="006E64FD"/>
    <w:rsid w:val="006E651C"/>
    <w:rsid w:val="006E6549"/>
    <w:rsid w:val="006E656B"/>
    <w:rsid w:val="006E663D"/>
    <w:rsid w:val="006E6868"/>
    <w:rsid w:val="006E68A6"/>
    <w:rsid w:val="006E6919"/>
    <w:rsid w:val="006E692A"/>
    <w:rsid w:val="006E69AE"/>
    <w:rsid w:val="006E69EC"/>
    <w:rsid w:val="006E6BC9"/>
    <w:rsid w:val="006E6BF7"/>
    <w:rsid w:val="006E6C66"/>
    <w:rsid w:val="006E6E99"/>
    <w:rsid w:val="006E6ECA"/>
    <w:rsid w:val="006E6F2D"/>
    <w:rsid w:val="006E6F76"/>
    <w:rsid w:val="006E6FB6"/>
    <w:rsid w:val="006E7101"/>
    <w:rsid w:val="006E71B4"/>
    <w:rsid w:val="006E7249"/>
    <w:rsid w:val="006E72D3"/>
    <w:rsid w:val="006E7523"/>
    <w:rsid w:val="006E76E4"/>
    <w:rsid w:val="006E78ED"/>
    <w:rsid w:val="006E78F6"/>
    <w:rsid w:val="006E79BB"/>
    <w:rsid w:val="006E7A80"/>
    <w:rsid w:val="006E7C53"/>
    <w:rsid w:val="006E7CC7"/>
    <w:rsid w:val="006E7D51"/>
    <w:rsid w:val="006E7D98"/>
    <w:rsid w:val="006E7EAC"/>
    <w:rsid w:val="006E7EDF"/>
    <w:rsid w:val="006E7F09"/>
    <w:rsid w:val="006F00E5"/>
    <w:rsid w:val="006F01D0"/>
    <w:rsid w:val="006F0273"/>
    <w:rsid w:val="006F04AB"/>
    <w:rsid w:val="006F055B"/>
    <w:rsid w:val="006F0582"/>
    <w:rsid w:val="006F05D4"/>
    <w:rsid w:val="006F06C9"/>
    <w:rsid w:val="006F06F1"/>
    <w:rsid w:val="006F0707"/>
    <w:rsid w:val="006F080D"/>
    <w:rsid w:val="006F0887"/>
    <w:rsid w:val="006F08EE"/>
    <w:rsid w:val="006F093D"/>
    <w:rsid w:val="006F099E"/>
    <w:rsid w:val="006F0A1D"/>
    <w:rsid w:val="006F0ADB"/>
    <w:rsid w:val="006F0AF4"/>
    <w:rsid w:val="006F0BEB"/>
    <w:rsid w:val="006F0C74"/>
    <w:rsid w:val="006F0C81"/>
    <w:rsid w:val="006F0EBC"/>
    <w:rsid w:val="006F0EE6"/>
    <w:rsid w:val="006F10F8"/>
    <w:rsid w:val="006F134D"/>
    <w:rsid w:val="006F13D0"/>
    <w:rsid w:val="006F13EC"/>
    <w:rsid w:val="006F147A"/>
    <w:rsid w:val="006F16BD"/>
    <w:rsid w:val="006F172F"/>
    <w:rsid w:val="006F175F"/>
    <w:rsid w:val="006F176E"/>
    <w:rsid w:val="006F1786"/>
    <w:rsid w:val="006F17B5"/>
    <w:rsid w:val="006F1855"/>
    <w:rsid w:val="006F18D2"/>
    <w:rsid w:val="006F1986"/>
    <w:rsid w:val="006F199D"/>
    <w:rsid w:val="006F19BD"/>
    <w:rsid w:val="006F1B84"/>
    <w:rsid w:val="006F1BC6"/>
    <w:rsid w:val="006F1C3E"/>
    <w:rsid w:val="006F1D60"/>
    <w:rsid w:val="006F1DC5"/>
    <w:rsid w:val="006F1F4C"/>
    <w:rsid w:val="006F203E"/>
    <w:rsid w:val="006F20B8"/>
    <w:rsid w:val="006F21B8"/>
    <w:rsid w:val="006F21C3"/>
    <w:rsid w:val="006F22EF"/>
    <w:rsid w:val="006F24D2"/>
    <w:rsid w:val="006F260F"/>
    <w:rsid w:val="006F26AE"/>
    <w:rsid w:val="006F271C"/>
    <w:rsid w:val="006F2750"/>
    <w:rsid w:val="006F276C"/>
    <w:rsid w:val="006F2828"/>
    <w:rsid w:val="006F2ABB"/>
    <w:rsid w:val="006F2AF5"/>
    <w:rsid w:val="006F2C97"/>
    <w:rsid w:val="006F2ECD"/>
    <w:rsid w:val="006F2F57"/>
    <w:rsid w:val="006F303B"/>
    <w:rsid w:val="006F3181"/>
    <w:rsid w:val="006F31E6"/>
    <w:rsid w:val="006F32FB"/>
    <w:rsid w:val="006F3350"/>
    <w:rsid w:val="006F34D7"/>
    <w:rsid w:val="006F35E1"/>
    <w:rsid w:val="006F390A"/>
    <w:rsid w:val="006F3AE3"/>
    <w:rsid w:val="006F3C89"/>
    <w:rsid w:val="006F3D28"/>
    <w:rsid w:val="006F3DD0"/>
    <w:rsid w:val="006F3E33"/>
    <w:rsid w:val="006F3EAE"/>
    <w:rsid w:val="006F3FAE"/>
    <w:rsid w:val="006F3FC8"/>
    <w:rsid w:val="006F417B"/>
    <w:rsid w:val="006F42A4"/>
    <w:rsid w:val="006F4307"/>
    <w:rsid w:val="006F43E0"/>
    <w:rsid w:val="006F449C"/>
    <w:rsid w:val="006F49D1"/>
    <w:rsid w:val="006F4D62"/>
    <w:rsid w:val="006F4D9D"/>
    <w:rsid w:val="006F4DAC"/>
    <w:rsid w:val="006F4FBE"/>
    <w:rsid w:val="006F4FD7"/>
    <w:rsid w:val="006F520A"/>
    <w:rsid w:val="006F542B"/>
    <w:rsid w:val="006F547E"/>
    <w:rsid w:val="006F553E"/>
    <w:rsid w:val="006F57EC"/>
    <w:rsid w:val="006F5943"/>
    <w:rsid w:val="006F5BD5"/>
    <w:rsid w:val="006F5C56"/>
    <w:rsid w:val="006F5CCD"/>
    <w:rsid w:val="006F5D77"/>
    <w:rsid w:val="006F5DB1"/>
    <w:rsid w:val="006F5E73"/>
    <w:rsid w:val="006F5FAE"/>
    <w:rsid w:val="006F6110"/>
    <w:rsid w:val="006F6117"/>
    <w:rsid w:val="006F613F"/>
    <w:rsid w:val="006F6180"/>
    <w:rsid w:val="006F61E5"/>
    <w:rsid w:val="006F621A"/>
    <w:rsid w:val="006F633A"/>
    <w:rsid w:val="006F6356"/>
    <w:rsid w:val="006F6590"/>
    <w:rsid w:val="006F6599"/>
    <w:rsid w:val="006F689D"/>
    <w:rsid w:val="006F68EA"/>
    <w:rsid w:val="006F692B"/>
    <w:rsid w:val="006F69BA"/>
    <w:rsid w:val="006F6B23"/>
    <w:rsid w:val="006F6B89"/>
    <w:rsid w:val="006F6BD6"/>
    <w:rsid w:val="006F6C3C"/>
    <w:rsid w:val="006F6E7F"/>
    <w:rsid w:val="006F6EA7"/>
    <w:rsid w:val="006F6ECE"/>
    <w:rsid w:val="006F6F70"/>
    <w:rsid w:val="006F705B"/>
    <w:rsid w:val="006F7175"/>
    <w:rsid w:val="006F72E5"/>
    <w:rsid w:val="006F734D"/>
    <w:rsid w:val="006F73F7"/>
    <w:rsid w:val="006F7498"/>
    <w:rsid w:val="006F74BA"/>
    <w:rsid w:val="006F7584"/>
    <w:rsid w:val="006F75AF"/>
    <w:rsid w:val="006F7925"/>
    <w:rsid w:val="006F7AC1"/>
    <w:rsid w:val="006F7B3E"/>
    <w:rsid w:val="006F7BFE"/>
    <w:rsid w:val="006F7D4A"/>
    <w:rsid w:val="006F7D5F"/>
    <w:rsid w:val="006F7D95"/>
    <w:rsid w:val="006F7ECF"/>
    <w:rsid w:val="006F7ED9"/>
    <w:rsid w:val="006F7EFB"/>
    <w:rsid w:val="006F7FD1"/>
    <w:rsid w:val="0070008A"/>
    <w:rsid w:val="00700134"/>
    <w:rsid w:val="00700204"/>
    <w:rsid w:val="00700242"/>
    <w:rsid w:val="007002CB"/>
    <w:rsid w:val="00700320"/>
    <w:rsid w:val="00700668"/>
    <w:rsid w:val="00700740"/>
    <w:rsid w:val="007007B2"/>
    <w:rsid w:val="007007B4"/>
    <w:rsid w:val="00700801"/>
    <w:rsid w:val="00700944"/>
    <w:rsid w:val="00700965"/>
    <w:rsid w:val="00700B48"/>
    <w:rsid w:val="00700B82"/>
    <w:rsid w:val="00700CB8"/>
    <w:rsid w:val="00700D3F"/>
    <w:rsid w:val="00700E0D"/>
    <w:rsid w:val="00700E77"/>
    <w:rsid w:val="00700E9D"/>
    <w:rsid w:val="00700F3E"/>
    <w:rsid w:val="007010D2"/>
    <w:rsid w:val="007011D8"/>
    <w:rsid w:val="0070125E"/>
    <w:rsid w:val="0070143F"/>
    <w:rsid w:val="00701509"/>
    <w:rsid w:val="0070157B"/>
    <w:rsid w:val="00701682"/>
    <w:rsid w:val="007016B3"/>
    <w:rsid w:val="007017E6"/>
    <w:rsid w:val="007019CF"/>
    <w:rsid w:val="007019E6"/>
    <w:rsid w:val="00701A5F"/>
    <w:rsid w:val="00701B6B"/>
    <w:rsid w:val="00701DC1"/>
    <w:rsid w:val="00701DDC"/>
    <w:rsid w:val="00701DF0"/>
    <w:rsid w:val="00701F2E"/>
    <w:rsid w:val="0070216F"/>
    <w:rsid w:val="007024BA"/>
    <w:rsid w:val="00702532"/>
    <w:rsid w:val="007025BE"/>
    <w:rsid w:val="00702823"/>
    <w:rsid w:val="0070282A"/>
    <w:rsid w:val="00702A0A"/>
    <w:rsid w:val="00702ACD"/>
    <w:rsid w:val="00702BD0"/>
    <w:rsid w:val="00702D83"/>
    <w:rsid w:val="00702D97"/>
    <w:rsid w:val="00702FE5"/>
    <w:rsid w:val="007030F5"/>
    <w:rsid w:val="007030F8"/>
    <w:rsid w:val="0070321F"/>
    <w:rsid w:val="00703289"/>
    <w:rsid w:val="007033DC"/>
    <w:rsid w:val="007033E9"/>
    <w:rsid w:val="007034E6"/>
    <w:rsid w:val="00703540"/>
    <w:rsid w:val="0070380B"/>
    <w:rsid w:val="007038A5"/>
    <w:rsid w:val="00703A99"/>
    <w:rsid w:val="00703B62"/>
    <w:rsid w:val="00703B7E"/>
    <w:rsid w:val="00703E0B"/>
    <w:rsid w:val="00703E5A"/>
    <w:rsid w:val="00703EDD"/>
    <w:rsid w:val="00703EE6"/>
    <w:rsid w:val="00703F79"/>
    <w:rsid w:val="0070405C"/>
    <w:rsid w:val="007040A8"/>
    <w:rsid w:val="00704229"/>
    <w:rsid w:val="007042F4"/>
    <w:rsid w:val="00704301"/>
    <w:rsid w:val="0070450D"/>
    <w:rsid w:val="0070462A"/>
    <w:rsid w:val="007046B6"/>
    <w:rsid w:val="007048A2"/>
    <w:rsid w:val="00704930"/>
    <w:rsid w:val="00704A05"/>
    <w:rsid w:val="00704C62"/>
    <w:rsid w:val="00704CFC"/>
    <w:rsid w:val="00704DA0"/>
    <w:rsid w:val="00704E48"/>
    <w:rsid w:val="00705021"/>
    <w:rsid w:val="00705138"/>
    <w:rsid w:val="007051C2"/>
    <w:rsid w:val="007051F0"/>
    <w:rsid w:val="007052F8"/>
    <w:rsid w:val="007053D9"/>
    <w:rsid w:val="00705597"/>
    <w:rsid w:val="007056E8"/>
    <w:rsid w:val="00705758"/>
    <w:rsid w:val="00705769"/>
    <w:rsid w:val="007057E5"/>
    <w:rsid w:val="0070580E"/>
    <w:rsid w:val="007059B3"/>
    <w:rsid w:val="007059BE"/>
    <w:rsid w:val="007059C7"/>
    <w:rsid w:val="00705A22"/>
    <w:rsid w:val="00705B39"/>
    <w:rsid w:val="00705BB1"/>
    <w:rsid w:val="00705C62"/>
    <w:rsid w:val="00705C9D"/>
    <w:rsid w:val="00705F03"/>
    <w:rsid w:val="00705F19"/>
    <w:rsid w:val="00705F44"/>
    <w:rsid w:val="00705FF4"/>
    <w:rsid w:val="007060C8"/>
    <w:rsid w:val="00706150"/>
    <w:rsid w:val="00706294"/>
    <w:rsid w:val="0070642B"/>
    <w:rsid w:val="00706480"/>
    <w:rsid w:val="00706525"/>
    <w:rsid w:val="007065E0"/>
    <w:rsid w:val="007065FF"/>
    <w:rsid w:val="0070672D"/>
    <w:rsid w:val="0070676A"/>
    <w:rsid w:val="0070690E"/>
    <w:rsid w:val="00706958"/>
    <w:rsid w:val="00706A10"/>
    <w:rsid w:val="00706F53"/>
    <w:rsid w:val="007070EE"/>
    <w:rsid w:val="00707332"/>
    <w:rsid w:val="0070737C"/>
    <w:rsid w:val="007073EB"/>
    <w:rsid w:val="00707466"/>
    <w:rsid w:val="0070792B"/>
    <w:rsid w:val="00707AAD"/>
    <w:rsid w:val="00707B66"/>
    <w:rsid w:val="00707DE1"/>
    <w:rsid w:val="00707E2D"/>
    <w:rsid w:val="00707E3D"/>
    <w:rsid w:val="00707E3E"/>
    <w:rsid w:val="007100B4"/>
    <w:rsid w:val="00710322"/>
    <w:rsid w:val="0071034B"/>
    <w:rsid w:val="007103BC"/>
    <w:rsid w:val="0071046B"/>
    <w:rsid w:val="0071052B"/>
    <w:rsid w:val="00710593"/>
    <w:rsid w:val="00710665"/>
    <w:rsid w:val="007106E5"/>
    <w:rsid w:val="00710787"/>
    <w:rsid w:val="0071085E"/>
    <w:rsid w:val="00710881"/>
    <w:rsid w:val="00710B66"/>
    <w:rsid w:val="00710BA1"/>
    <w:rsid w:val="00710BAA"/>
    <w:rsid w:val="00710C93"/>
    <w:rsid w:val="00710E35"/>
    <w:rsid w:val="00710FFD"/>
    <w:rsid w:val="00711037"/>
    <w:rsid w:val="0071146F"/>
    <w:rsid w:val="007114CD"/>
    <w:rsid w:val="00711528"/>
    <w:rsid w:val="00711565"/>
    <w:rsid w:val="007116DF"/>
    <w:rsid w:val="00711A33"/>
    <w:rsid w:val="00711AB0"/>
    <w:rsid w:val="00711C10"/>
    <w:rsid w:val="00711D9D"/>
    <w:rsid w:val="0071205C"/>
    <w:rsid w:val="0071207A"/>
    <w:rsid w:val="0071208C"/>
    <w:rsid w:val="0071208E"/>
    <w:rsid w:val="00712099"/>
    <w:rsid w:val="0071209A"/>
    <w:rsid w:val="007120E9"/>
    <w:rsid w:val="0071219D"/>
    <w:rsid w:val="007121BA"/>
    <w:rsid w:val="00712326"/>
    <w:rsid w:val="007123AA"/>
    <w:rsid w:val="00712489"/>
    <w:rsid w:val="00712552"/>
    <w:rsid w:val="007126A3"/>
    <w:rsid w:val="007126BF"/>
    <w:rsid w:val="007126D3"/>
    <w:rsid w:val="0071270C"/>
    <w:rsid w:val="00712743"/>
    <w:rsid w:val="007127EF"/>
    <w:rsid w:val="007127F4"/>
    <w:rsid w:val="00712909"/>
    <w:rsid w:val="0071291C"/>
    <w:rsid w:val="0071291F"/>
    <w:rsid w:val="00712A8C"/>
    <w:rsid w:val="00712BB4"/>
    <w:rsid w:val="00712DFD"/>
    <w:rsid w:val="00712E6D"/>
    <w:rsid w:val="00712F3A"/>
    <w:rsid w:val="00712F93"/>
    <w:rsid w:val="00712FDC"/>
    <w:rsid w:val="007130D9"/>
    <w:rsid w:val="00713225"/>
    <w:rsid w:val="00713379"/>
    <w:rsid w:val="007133C0"/>
    <w:rsid w:val="0071363F"/>
    <w:rsid w:val="007136EA"/>
    <w:rsid w:val="007139E9"/>
    <w:rsid w:val="00713A7E"/>
    <w:rsid w:val="00713AEA"/>
    <w:rsid w:val="00713B64"/>
    <w:rsid w:val="00713B7E"/>
    <w:rsid w:val="00713C3C"/>
    <w:rsid w:val="00713C9A"/>
    <w:rsid w:val="00713DB5"/>
    <w:rsid w:val="00713F41"/>
    <w:rsid w:val="00713FF9"/>
    <w:rsid w:val="007140DC"/>
    <w:rsid w:val="00714433"/>
    <w:rsid w:val="0071451F"/>
    <w:rsid w:val="007146B1"/>
    <w:rsid w:val="007147C1"/>
    <w:rsid w:val="007148F2"/>
    <w:rsid w:val="00714904"/>
    <w:rsid w:val="0071497E"/>
    <w:rsid w:val="007149FA"/>
    <w:rsid w:val="00714B39"/>
    <w:rsid w:val="00714D72"/>
    <w:rsid w:val="00714E16"/>
    <w:rsid w:val="00714E1F"/>
    <w:rsid w:val="00714E6B"/>
    <w:rsid w:val="00714F19"/>
    <w:rsid w:val="007150AF"/>
    <w:rsid w:val="00715169"/>
    <w:rsid w:val="007154A1"/>
    <w:rsid w:val="00715530"/>
    <w:rsid w:val="00715624"/>
    <w:rsid w:val="007156BB"/>
    <w:rsid w:val="0071579A"/>
    <w:rsid w:val="00715803"/>
    <w:rsid w:val="00715858"/>
    <w:rsid w:val="00715867"/>
    <w:rsid w:val="0071589E"/>
    <w:rsid w:val="00715A1A"/>
    <w:rsid w:val="00715AE3"/>
    <w:rsid w:val="00715BAD"/>
    <w:rsid w:val="00715CBE"/>
    <w:rsid w:val="00715CC1"/>
    <w:rsid w:val="00715D04"/>
    <w:rsid w:val="00715DD1"/>
    <w:rsid w:val="00715E4D"/>
    <w:rsid w:val="00715E92"/>
    <w:rsid w:val="0071606D"/>
    <w:rsid w:val="00716271"/>
    <w:rsid w:val="007162FF"/>
    <w:rsid w:val="007164EA"/>
    <w:rsid w:val="00716575"/>
    <w:rsid w:val="0071657F"/>
    <w:rsid w:val="007165FB"/>
    <w:rsid w:val="007166F0"/>
    <w:rsid w:val="0071677B"/>
    <w:rsid w:val="007167D4"/>
    <w:rsid w:val="007169D4"/>
    <w:rsid w:val="00716D67"/>
    <w:rsid w:val="00716E69"/>
    <w:rsid w:val="0071716A"/>
    <w:rsid w:val="007171C3"/>
    <w:rsid w:val="00717424"/>
    <w:rsid w:val="00717430"/>
    <w:rsid w:val="0071764D"/>
    <w:rsid w:val="0071785E"/>
    <w:rsid w:val="00717878"/>
    <w:rsid w:val="0071792A"/>
    <w:rsid w:val="00717A00"/>
    <w:rsid w:val="00717BFA"/>
    <w:rsid w:val="00717C87"/>
    <w:rsid w:val="00717C9A"/>
    <w:rsid w:val="00717D03"/>
    <w:rsid w:val="00717D40"/>
    <w:rsid w:val="0072002F"/>
    <w:rsid w:val="00720038"/>
    <w:rsid w:val="0072047F"/>
    <w:rsid w:val="007204DA"/>
    <w:rsid w:val="007204F3"/>
    <w:rsid w:val="00720601"/>
    <w:rsid w:val="00720630"/>
    <w:rsid w:val="00720675"/>
    <w:rsid w:val="0072078E"/>
    <w:rsid w:val="0072088B"/>
    <w:rsid w:val="00720AC4"/>
    <w:rsid w:val="00720B04"/>
    <w:rsid w:val="00720C0D"/>
    <w:rsid w:val="00720CB5"/>
    <w:rsid w:val="00720F09"/>
    <w:rsid w:val="00720F0E"/>
    <w:rsid w:val="00721000"/>
    <w:rsid w:val="00721069"/>
    <w:rsid w:val="0072107E"/>
    <w:rsid w:val="007210B8"/>
    <w:rsid w:val="00721196"/>
    <w:rsid w:val="007211D1"/>
    <w:rsid w:val="0072125B"/>
    <w:rsid w:val="0072129C"/>
    <w:rsid w:val="007212A9"/>
    <w:rsid w:val="00721516"/>
    <w:rsid w:val="00721564"/>
    <w:rsid w:val="00721700"/>
    <w:rsid w:val="0072176F"/>
    <w:rsid w:val="007217C0"/>
    <w:rsid w:val="00721856"/>
    <w:rsid w:val="00721A93"/>
    <w:rsid w:val="00721CE4"/>
    <w:rsid w:val="00721F39"/>
    <w:rsid w:val="00721F99"/>
    <w:rsid w:val="00722070"/>
    <w:rsid w:val="00722095"/>
    <w:rsid w:val="0072214F"/>
    <w:rsid w:val="007221C9"/>
    <w:rsid w:val="00722213"/>
    <w:rsid w:val="0072223E"/>
    <w:rsid w:val="00722242"/>
    <w:rsid w:val="00722288"/>
    <w:rsid w:val="0072229F"/>
    <w:rsid w:val="007222EA"/>
    <w:rsid w:val="00722469"/>
    <w:rsid w:val="00722571"/>
    <w:rsid w:val="00722728"/>
    <w:rsid w:val="0072289D"/>
    <w:rsid w:val="007228E5"/>
    <w:rsid w:val="00722937"/>
    <w:rsid w:val="007229FC"/>
    <w:rsid w:val="00722B47"/>
    <w:rsid w:val="00722BF1"/>
    <w:rsid w:val="00722CDA"/>
    <w:rsid w:val="00722DA7"/>
    <w:rsid w:val="00722E2E"/>
    <w:rsid w:val="00722E57"/>
    <w:rsid w:val="00722E59"/>
    <w:rsid w:val="00722F44"/>
    <w:rsid w:val="0072305E"/>
    <w:rsid w:val="007230AE"/>
    <w:rsid w:val="007230B1"/>
    <w:rsid w:val="0072311D"/>
    <w:rsid w:val="0072312D"/>
    <w:rsid w:val="007232FD"/>
    <w:rsid w:val="0072330D"/>
    <w:rsid w:val="007233F2"/>
    <w:rsid w:val="0072341E"/>
    <w:rsid w:val="00723682"/>
    <w:rsid w:val="007236DE"/>
    <w:rsid w:val="007236F0"/>
    <w:rsid w:val="00723943"/>
    <w:rsid w:val="0072399B"/>
    <w:rsid w:val="00723AE0"/>
    <w:rsid w:val="00723C43"/>
    <w:rsid w:val="00723CA5"/>
    <w:rsid w:val="00723CB0"/>
    <w:rsid w:val="00723CBE"/>
    <w:rsid w:val="00723D49"/>
    <w:rsid w:val="00723DF6"/>
    <w:rsid w:val="00723E49"/>
    <w:rsid w:val="00723EDE"/>
    <w:rsid w:val="00723F1F"/>
    <w:rsid w:val="00723FB9"/>
    <w:rsid w:val="0072409C"/>
    <w:rsid w:val="007240CD"/>
    <w:rsid w:val="007240D5"/>
    <w:rsid w:val="0072411A"/>
    <w:rsid w:val="00724147"/>
    <w:rsid w:val="00724166"/>
    <w:rsid w:val="00724212"/>
    <w:rsid w:val="00724319"/>
    <w:rsid w:val="0072433D"/>
    <w:rsid w:val="00724360"/>
    <w:rsid w:val="00724364"/>
    <w:rsid w:val="00724458"/>
    <w:rsid w:val="007244E0"/>
    <w:rsid w:val="007246DB"/>
    <w:rsid w:val="0072473B"/>
    <w:rsid w:val="00724B22"/>
    <w:rsid w:val="00724B75"/>
    <w:rsid w:val="00724C5C"/>
    <w:rsid w:val="00724CA7"/>
    <w:rsid w:val="00724CC0"/>
    <w:rsid w:val="00724CEE"/>
    <w:rsid w:val="00724FE9"/>
    <w:rsid w:val="007250CA"/>
    <w:rsid w:val="00725144"/>
    <w:rsid w:val="0072514E"/>
    <w:rsid w:val="007251D1"/>
    <w:rsid w:val="007252AC"/>
    <w:rsid w:val="007252DD"/>
    <w:rsid w:val="00725333"/>
    <w:rsid w:val="007253A7"/>
    <w:rsid w:val="007253E9"/>
    <w:rsid w:val="007253ED"/>
    <w:rsid w:val="00725525"/>
    <w:rsid w:val="00725541"/>
    <w:rsid w:val="0072554F"/>
    <w:rsid w:val="0072564B"/>
    <w:rsid w:val="00725701"/>
    <w:rsid w:val="0072575F"/>
    <w:rsid w:val="00725968"/>
    <w:rsid w:val="00725A67"/>
    <w:rsid w:val="00725AED"/>
    <w:rsid w:val="00725BDD"/>
    <w:rsid w:val="00725C8A"/>
    <w:rsid w:val="00725CBF"/>
    <w:rsid w:val="00725CEF"/>
    <w:rsid w:val="00725DD8"/>
    <w:rsid w:val="00725EE0"/>
    <w:rsid w:val="00725F60"/>
    <w:rsid w:val="00725FFD"/>
    <w:rsid w:val="0072606B"/>
    <w:rsid w:val="007260DF"/>
    <w:rsid w:val="007260F6"/>
    <w:rsid w:val="00726242"/>
    <w:rsid w:val="00726283"/>
    <w:rsid w:val="007262AD"/>
    <w:rsid w:val="007263E6"/>
    <w:rsid w:val="00726406"/>
    <w:rsid w:val="00726478"/>
    <w:rsid w:val="007265ED"/>
    <w:rsid w:val="007266C5"/>
    <w:rsid w:val="00726726"/>
    <w:rsid w:val="007267BD"/>
    <w:rsid w:val="0072686C"/>
    <w:rsid w:val="00726935"/>
    <w:rsid w:val="00726A52"/>
    <w:rsid w:val="00726A7C"/>
    <w:rsid w:val="00726B21"/>
    <w:rsid w:val="00726B91"/>
    <w:rsid w:val="00726C18"/>
    <w:rsid w:val="00726F67"/>
    <w:rsid w:val="00727002"/>
    <w:rsid w:val="0072708C"/>
    <w:rsid w:val="007271A6"/>
    <w:rsid w:val="00727252"/>
    <w:rsid w:val="0072737F"/>
    <w:rsid w:val="00727401"/>
    <w:rsid w:val="00727442"/>
    <w:rsid w:val="00727529"/>
    <w:rsid w:val="0072753A"/>
    <w:rsid w:val="007275A9"/>
    <w:rsid w:val="0072766E"/>
    <w:rsid w:val="007276B5"/>
    <w:rsid w:val="007276CE"/>
    <w:rsid w:val="00727778"/>
    <w:rsid w:val="0072789F"/>
    <w:rsid w:val="0072793F"/>
    <w:rsid w:val="007279EA"/>
    <w:rsid w:val="007279EB"/>
    <w:rsid w:val="00727AB8"/>
    <w:rsid w:val="00727BB8"/>
    <w:rsid w:val="00727C14"/>
    <w:rsid w:val="00727C7A"/>
    <w:rsid w:val="00727CDB"/>
    <w:rsid w:val="00727D55"/>
    <w:rsid w:val="00727EE4"/>
    <w:rsid w:val="00727F0A"/>
    <w:rsid w:val="00727FB1"/>
    <w:rsid w:val="00727FD2"/>
    <w:rsid w:val="00727FF3"/>
    <w:rsid w:val="00730088"/>
    <w:rsid w:val="00730149"/>
    <w:rsid w:val="007302F6"/>
    <w:rsid w:val="0073034F"/>
    <w:rsid w:val="007304E9"/>
    <w:rsid w:val="007305D0"/>
    <w:rsid w:val="007306FE"/>
    <w:rsid w:val="007307FC"/>
    <w:rsid w:val="007308F3"/>
    <w:rsid w:val="0073093F"/>
    <w:rsid w:val="00730A9A"/>
    <w:rsid w:val="00730AB5"/>
    <w:rsid w:val="00730BA0"/>
    <w:rsid w:val="00730BA1"/>
    <w:rsid w:val="00730BE8"/>
    <w:rsid w:val="00730CC1"/>
    <w:rsid w:val="00730CF1"/>
    <w:rsid w:val="00730D39"/>
    <w:rsid w:val="00730F65"/>
    <w:rsid w:val="00730F7A"/>
    <w:rsid w:val="00731064"/>
    <w:rsid w:val="007310AC"/>
    <w:rsid w:val="0073118C"/>
    <w:rsid w:val="007311C8"/>
    <w:rsid w:val="00731360"/>
    <w:rsid w:val="0073136E"/>
    <w:rsid w:val="007313B6"/>
    <w:rsid w:val="00731433"/>
    <w:rsid w:val="007315A5"/>
    <w:rsid w:val="0073167D"/>
    <w:rsid w:val="00731742"/>
    <w:rsid w:val="00731747"/>
    <w:rsid w:val="007317A8"/>
    <w:rsid w:val="0073181F"/>
    <w:rsid w:val="00731895"/>
    <w:rsid w:val="00731906"/>
    <w:rsid w:val="00731920"/>
    <w:rsid w:val="00731921"/>
    <w:rsid w:val="00731B06"/>
    <w:rsid w:val="00731B7A"/>
    <w:rsid w:val="00731BB8"/>
    <w:rsid w:val="00731BBC"/>
    <w:rsid w:val="00731CF7"/>
    <w:rsid w:val="00731CFB"/>
    <w:rsid w:val="00731D36"/>
    <w:rsid w:val="00731E06"/>
    <w:rsid w:val="00731F16"/>
    <w:rsid w:val="00731F61"/>
    <w:rsid w:val="00731FAE"/>
    <w:rsid w:val="007320E3"/>
    <w:rsid w:val="0073214C"/>
    <w:rsid w:val="0073226C"/>
    <w:rsid w:val="0073246D"/>
    <w:rsid w:val="007324D0"/>
    <w:rsid w:val="007324D4"/>
    <w:rsid w:val="007325EF"/>
    <w:rsid w:val="0073268A"/>
    <w:rsid w:val="00732731"/>
    <w:rsid w:val="007327A8"/>
    <w:rsid w:val="00732847"/>
    <w:rsid w:val="007328A3"/>
    <w:rsid w:val="0073297D"/>
    <w:rsid w:val="00732B3F"/>
    <w:rsid w:val="00732C0C"/>
    <w:rsid w:val="00732C73"/>
    <w:rsid w:val="00732D16"/>
    <w:rsid w:val="00732D36"/>
    <w:rsid w:val="00732E69"/>
    <w:rsid w:val="00732E85"/>
    <w:rsid w:val="00732ED9"/>
    <w:rsid w:val="00732F14"/>
    <w:rsid w:val="00733020"/>
    <w:rsid w:val="00733053"/>
    <w:rsid w:val="007330D6"/>
    <w:rsid w:val="00733241"/>
    <w:rsid w:val="0073335B"/>
    <w:rsid w:val="00733455"/>
    <w:rsid w:val="00733468"/>
    <w:rsid w:val="007334C1"/>
    <w:rsid w:val="00733551"/>
    <w:rsid w:val="00733559"/>
    <w:rsid w:val="007335CC"/>
    <w:rsid w:val="00733682"/>
    <w:rsid w:val="007336AA"/>
    <w:rsid w:val="007336AE"/>
    <w:rsid w:val="007338BC"/>
    <w:rsid w:val="007338BD"/>
    <w:rsid w:val="007339E5"/>
    <w:rsid w:val="00733A55"/>
    <w:rsid w:val="00733BCE"/>
    <w:rsid w:val="00733BE6"/>
    <w:rsid w:val="00733C89"/>
    <w:rsid w:val="00733CB9"/>
    <w:rsid w:val="00733D82"/>
    <w:rsid w:val="00734019"/>
    <w:rsid w:val="00734152"/>
    <w:rsid w:val="00734178"/>
    <w:rsid w:val="007342E6"/>
    <w:rsid w:val="007342FE"/>
    <w:rsid w:val="0073432A"/>
    <w:rsid w:val="0073434A"/>
    <w:rsid w:val="007343C4"/>
    <w:rsid w:val="007343F9"/>
    <w:rsid w:val="00734459"/>
    <w:rsid w:val="007346B4"/>
    <w:rsid w:val="007346F9"/>
    <w:rsid w:val="0073474B"/>
    <w:rsid w:val="0073494E"/>
    <w:rsid w:val="00734A03"/>
    <w:rsid w:val="00734A18"/>
    <w:rsid w:val="00734B4C"/>
    <w:rsid w:val="00734B7E"/>
    <w:rsid w:val="00734BBF"/>
    <w:rsid w:val="00734BF7"/>
    <w:rsid w:val="00734DAB"/>
    <w:rsid w:val="00734DE8"/>
    <w:rsid w:val="00734EF0"/>
    <w:rsid w:val="0073506A"/>
    <w:rsid w:val="007350A3"/>
    <w:rsid w:val="007351A5"/>
    <w:rsid w:val="00735285"/>
    <w:rsid w:val="00735369"/>
    <w:rsid w:val="007353D8"/>
    <w:rsid w:val="007353F7"/>
    <w:rsid w:val="00735575"/>
    <w:rsid w:val="007355BE"/>
    <w:rsid w:val="00735808"/>
    <w:rsid w:val="007359E8"/>
    <w:rsid w:val="007359F2"/>
    <w:rsid w:val="00735C43"/>
    <w:rsid w:val="00735D13"/>
    <w:rsid w:val="00735FA9"/>
    <w:rsid w:val="00735FCC"/>
    <w:rsid w:val="00736041"/>
    <w:rsid w:val="0073605A"/>
    <w:rsid w:val="00736083"/>
    <w:rsid w:val="007360C7"/>
    <w:rsid w:val="0073615C"/>
    <w:rsid w:val="0073615F"/>
    <w:rsid w:val="0073635C"/>
    <w:rsid w:val="00736392"/>
    <w:rsid w:val="007364F1"/>
    <w:rsid w:val="007365C7"/>
    <w:rsid w:val="00736718"/>
    <w:rsid w:val="00736764"/>
    <w:rsid w:val="0073683F"/>
    <w:rsid w:val="007368B0"/>
    <w:rsid w:val="007369DE"/>
    <w:rsid w:val="00736B59"/>
    <w:rsid w:val="00736D4A"/>
    <w:rsid w:val="00736EBE"/>
    <w:rsid w:val="00736FFE"/>
    <w:rsid w:val="00737032"/>
    <w:rsid w:val="00737098"/>
    <w:rsid w:val="0073709F"/>
    <w:rsid w:val="0073713D"/>
    <w:rsid w:val="00737152"/>
    <w:rsid w:val="00737161"/>
    <w:rsid w:val="00737174"/>
    <w:rsid w:val="00737232"/>
    <w:rsid w:val="00737277"/>
    <w:rsid w:val="007372B8"/>
    <w:rsid w:val="007373C3"/>
    <w:rsid w:val="00737422"/>
    <w:rsid w:val="0073766C"/>
    <w:rsid w:val="007378E3"/>
    <w:rsid w:val="0073792F"/>
    <w:rsid w:val="00737A57"/>
    <w:rsid w:val="00737B60"/>
    <w:rsid w:val="00737BD1"/>
    <w:rsid w:val="00737C92"/>
    <w:rsid w:val="00737CC9"/>
    <w:rsid w:val="00737CD2"/>
    <w:rsid w:val="00737D9D"/>
    <w:rsid w:val="00737DA7"/>
    <w:rsid w:val="00737E96"/>
    <w:rsid w:val="00737EF2"/>
    <w:rsid w:val="007400DD"/>
    <w:rsid w:val="0074018E"/>
    <w:rsid w:val="0074019C"/>
    <w:rsid w:val="007402DD"/>
    <w:rsid w:val="0074057F"/>
    <w:rsid w:val="0074076E"/>
    <w:rsid w:val="0074078D"/>
    <w:rsid w:val="007407A0"/>
    <w:rsid w:val="0074083F"/>
    <w:rsid w:val="0074093F"/>
    <w:rsid w:val="0074095B"/>
    <w:rsid w:val="00740C81"/>
    <w:rsid w:val="00740E20"/>
    <w:rsid w:val="00741039"/>
    <w:rsid w:val="0074109A"/>
    <w:rsid w:val="007410AF"/>
    <w:rsid w:val="007410B8"/>
    <w:rsid w:val="00741120"/>
    <w:rsid w:val="007412BD"/>
    <w:rsid w:val="007412E9"/>
    <w:rsid w:val="00741398"/>
    <w:rsid w:val="00741410"/>
    <w:rsid w:val="007415E0"/>
    <w:rsid w:val="007416E5"/>
    <w:rsid w:val="0074184A"/>
    <w:rsid w:val="00741880"/>
    <w:rsid w:val="007418D4"/>
    <w:rsid w:val="0074198B"/>
    <w:rsid w:val="00741A53"/>
    <w:rsid w:val="00741AFF"/>
    <w:rsid w:val="00741B8B"/>
    <w:rsid w:val="00741B94"/>
    <w:rsid w:val="00741BBC"/>
    <w:rsid w:val="00741C98"/>
    <w:rsid w:val="00741D66"/>
    <w:rsid w:val="00741F3D"/>
    <w:rsid w:val="0074210B"/>
    <w:rsid w:val="007422A8"/>
    <w:rsid w:val="007424A4"/>
    <w:rsid w:val="007424D1"/>
    <w:rsid w:val="0074283B"/>
    <w:rsid w:val="00742874"/>
    <w:rsid w:val="00742AFD"/>
    <w:rsid w:val="00742B16"/>
    <w:rsid w:val="00742B1E"/>
    <w:rsid w:val="00742B3C"/>
    <w:rsid w:val="00742C59"/>
    <w:rsid w:val="00742CFF"/>
    <w:rsid w:val="00742DA3"/>
    <w:rsid w:val="00742E2C"/>
    <w:rsid w:val="00742EAC"/>
    <w:rsid w:val="00742EE6"/>
    <w:rsid w:val="00742F3E"/>
    <w:rsid w:val="00742FAB"/>
    <w:rsid w:val="00743009"/>
    <w:rsid w:val="0074300A"/>
    <w:rsid w:val="0074309F"/>
    <w:rsid w:val="007430DE"/>
    <w:rsid w:val="0074341E"/>
    <w:rsid w:val="0074349D"/>
    <w:rsid w:val="0074356C"/>
    <w:rsid w:val="0074358B"/>
    <w:rsid w:val="007435BC"/>
    <w:rsid w:val="007435D0"/>
    <w:rsid w:val="00743787"/>
    <w:rsid w:val="00743895"/>
    <w:rsid w:val="0074399B"/>
    <w:rsid w:val="007439BD"/>
    <w:rsid w:val="007439EE"/>
    <w:rsid w:val="00743C14"/>
    <w:rsid w:val="00743CD6"/>
    <w:rsid w:val="00743D0F"/>
    <w:rsid w:val="00743D48"/>
    <w:rsid w:val="00743F66"/>
    <w:rsid w:val="007444E4"/>
    <w:rsid w:val="0074451B"/>
    <w:rsid w:val="007447DA"/>
    <w:rsid w:val="0074483B"/>
    <w:rsid w:val="007448A1"/>
    <w:rsid w:val="00744983"/>
    <w:rsid w:val="007449B6"/>
    <w:rsid w:val="007449CD"/>
    <w:rsid w:val="00744AE9"/>
    <w:rsid w:val="00744B0A"/>
    <w:rsid w:val="00744C34"/>
    <w:rsid w:val="00744C55"/>
    <w:rsid w:val="00744D21"/>
    <w:rsid w:val="00744EA5"/>
    <w:rsid w:val="00744FE4"/>
    <w:rsid w:val="00745247"/>
    <w:rsid w:val="007452BA"/>
    <w:rsid w:val="00745330"/>
    <w:rsid w:val="00745386"/>
    <w:rsid w:val="007453E4"/>
    <w:rsid w:val="007454BF"/>
    <w:rsid w:val="007456FE"/>
    <w:rsid w:val="00745753"/>
    <w:rsid w:val="0074576D"/>
    <w:rsid w:val="007459AA"/>
    <w:rsid w:val="00745A0A"/>
    <w:rsid w:val="00745A0F"/>
    <w:rsid w:val="00745AC3"/>
    <w:rsid w:val="00745CC1"/>
    <w:rsid w:val="00745CCE"/>
    <w:rsid w:val="00745D21"/>
    <w:rsid w:val="00745D56"/>
    <w:rsid w:val="00745F65"/>
    <w:rsid w:val="00745FB0"/>
    <w:rsid w:val="00745FD3"/>
    <w:rsid w:val="007460FD"/>
    <w:rsid w:val="007463EE"/>
    <w:rsid w:val="00746472"/>
    <w:rsid w:val="00746516"/>
    <w:rsid w:val="007465E9"/>
    <w:rsid w:val="00746672"/>
    <w:rsid w:val="007467A7"/>
    <w:rsid w:val="007467D8"/>
    <w:rsid w:val="007469AD"/>
    <w:rsid w:val="007469D0"/>
    <w:rsid w:val="00746B13"/>
    <w:rsid w:val="00746C20"/>
    <w:rsid w:val="00746C35"/>
    <w:rsid w:val="00746C7C"/>
    <w:rsid w:val="00746CE0"/>
    <w:rsid w:val="00746D77"/>
    <w:rsid w:val="00746DF1"/>
    <w:rsid w:val="00746E4C"/>
    <w:rsid w:val="00746F04"/>
    <w:rsid w:val="00746F33"/>
    <w:rsid w:val="00746F7F"/>
    <w:rsid w:val="0074701C"/>
    <w:rsid w:val="007470B5"/>
    <w:rsid w:val="007470BB"/>
    <w:rsid w:val="007471DC"/>
    <w:rsid w:val="007472C5"/>
    <w:rsid w:val="00747365"/>
    <w:rsid w:val="00747510"/>
    <w:rsid w:val="00747676"/>
    <w:rsid w:val="007476F3"/>
    <w:rsid w:val="00747718"/>
    <w:rsid w:val="007478CE"/>
    <w:rsid w:val="00747944"/>
    <w:rsid w:val="007479E4"/>
    <w:rsid w:val="00747B4B"/>
    <w:rsid w:val="00747B91"/>
    <w:rsid w:val="00747C32"/>
    <w:rsid w:val="00747D0D"/>
    <w:rsid w:val="00747DCD"/>
    <w:rsid w:val="007501CE"/>
    <w:rsid w:val="00750212"/>
    <w:rsid w:val="007502DD"/>
    <w:rsid w:val="007503B4"/>
    <w:rsid w:val="00750483"/>
    <w:rsid w:val="00750496"/>
    <w:rsid w:val="007504D4"/>
    <w:rsid w:val="007504E4"/>
    <w:rsid w:val="007504EA"/>
    <w:rsid w:val="00750625"/>
    <w:rsid w:val="0075063F"/>
    <w:rsid w:val="00750658"/>
    <w:rsid w:val="0075074A"/>
    <w:rsid w:val="007507FF"/>
    <w:rsid w:val="00750870"/>
    <w:rsid w:val="00750B6A"/>
    <w:rsid w:val="00750BB3"/>
    <w:rsid w:val="00750CC8"/>
    <w:rsid w:val="00750D81"/>
    <w:rsid w:val="00750DF8"/>
    <w:rsid w:val="00750E22"/>
    <w:rsid w:val="00750F94"/>
    <w:rsid w:val="00750FC5"/>
    <w:rsid w:val="00751004"/>
    <w:rsid w:val="0075106D"/>
    <w:rsid w:val="007511E9"/>
    <w:rsid w:val="00751214"/>
    <w:rsid w:val="0075158C"/>
    <w:rsid w:val="007515A8"/>
    <w:rsid w:val="007516A2"/>
    <w:rsid w:val="00751A3C"/>
    <w:rsid w:val="00751A3E"/>
    <w:rsid w:val="00751A6E"/>
    <w:rsid w:val="00751AAB"/>
    <w:rsid w:val="00751B57"/>
    <w:rsid w:val="00751BB9"/>
    <w:rsid w:val="00751BDC"/>
    <w:rsid w:val="00751DC2"/>
    <w:rsid w:val="00751F06"/>
    <w:rsid w:val="00751F0E"/>
    <w:rsid w:val="00752008"/>
    <w:rsid w:val="00752026"/>
    <w:rsid w:val="00752064"/>
    <w:rsid w:val="007520F1"/>
    <w:rsid w:val="007521FA"/>
    <w:rsid w:val="00752201"/>
    <w:rsid w:val="007523AE"/>
    <w:rsid w:val="007524B1"/>
    <w:rsid w:val="007524BC"/>
    <w:rsid w:val="007524ED"/>
    <w:rsid w:val="0075250E"/>
    <w:rsid w:val="0075279D"/>
    <w:rsid w:val="007527BC"/>
    <w:rsid w:val="00752B07"/>
    <w:rsid w:val="00752B3F"/>
    <w:rsid w:val="00752C36"/>
    <w:rsid w:val="00752C85"/>
    <w:rsid w:val="00752CEA"/>
    <w:rsid w:val="00752E1C"/>
    <w:rsid w:val="00752EC5"/>
    <w:rsid w:val="00752F1E"/>
    <w:rsid w:val="00752F36"/>
    <w:rsid w:val="00752F90"/>
    <w:rsid w:val="0075305F"/>
    <w:rsid w:val="00753100"/>
    <w:rsid w:val="007531DF"/>
    <w:rsid w:val="00753214"/>
    <w:rsid w:val="00753302"/>
    <w:rsid w:val="00753474"/>
    <w:rsid w:val="00753494"/>
    <w:rsid w:val="0075356D"/>
    <w:rsid w:val="007535A0"/>
    <w:rsid w:val="00753619"/>
    <w:rsid w:val="00753671"/>
    <w:rsid w:val="00753786"/>
    <w:rsid w:val="00753823"/>
    <w:rsid w:val="00753870"/>
    <w:rsid w:val="00753882"/>
    <w:rsid w:val="00753915"/>
    <w:rsid w:val="00753B08"/>
    <w:rsid w:val="00753B7B"/>
    <w:rsid w:val="00753BED"/>
    <w:rsid w:val="00753C6D"/>
    <w:rsid w:val="00753D44"/>
    <w:rsid w:val="00753EB1"/>
    <w:rsid w:val="00753ED2"/>
    <w:rsid w:val="00754011"/>
    <w:rsid w:val="0075402D"/>
    <w:rsid w:val="0075425B"/>
    <w:rsid w:val="00754303"/>
    <w:rsid w:val="0075430B"/>
    <w:rsid w:val="007543F6"/>
    <w:rsid w:val="00754418"/>
    <w:rsid w:val="0075450F"/>
    <w:rsid w:val="0075457F"/>
    <w:rsid w:val="007547E6"/>
    <w:rsid w:val="007547FF"/>
    <w:rsid w:val="00754845"/>
    <w:rsid w:val="00754A66"/>
    <w:rsid w:val="00754E6A"/>
    <w:rsid w:val="00754EC3"/>
    <w:rsid w:val="007550CD"/>
    <w:rsid w:val="00755124"/>
    <w:rsid w:val="0075514C"/>
    <w:rsid w:val="007551B8"/>
    <w:rsid w:val="00755336"/>
    <w:rsid w:val="00755365"/>
    <w:rsid w:val="0075536C"/>
    <w:rsid w:val="007554F9"/>
    <w:rsid w:val="00755567"/>
    <w:rsid w:val="0075561A"/>
    <w:rsid w:val="00755753"/>
    <w:rsid w:val="00755781"/>
    <w:rsid w:val="00755852"/>
    <w:rsid w:val="00755889"/>
    <w:rsid w:val="00755BB8"/>
    <w:rsid w:val="00755D9F"/>
    <w:rsid w:val="00755EC5"/>
    <w:rsid w:val="00755FC1"/>
    <w:rsid w:val="00755FE3"/>
    <w:rsid w:val="00756108"/>
    <w:rsid w:val="00756185"/>
    <w:rsid w:val="0075624C"/>
    <w:rsid w:val="00756378"/>
    <w:rsid w:val="00756428"/>
    <w:rsid w:val="0075643F"/>
    <w:rsid w:val="00756497"/>
    <w:rsid w:val="00756573"/>
    <w:rsid w:val="00756575"/>
    <w:rsid w:val="0075658D"/>
    <w:rsid w:val="007565BD"/>
    <w:rsid w:val="007565E5"/>
    <w:rsid w:val="007566F1"/>
    <w:rsid w:val="0075673A"/>
    <w:rsid w:val="00756922"/>
    <w:rsid w:val="007569A7"/>
    <w:rsid w:val="007569AC"/>
    <w:rsid w:val="00756A83"/>
    <w:rsid w:val="00756B0D"/>
    <w:rsid w:val="00756C55"/>
    <w:rsid w:val="00756DBA"/>
    <w:rsid w:val="00756E1D"/>
    <w:rsid w:val="00756E47"/>
    <w:rsid w:val="007570CE"/>
    <w:rsid w:val="00757197"/>
    <w:rsid w:val="007571AE"/>
    <w:rsid w:val="0075725D"/>
    <w:rsid w:val="007573D1"/>
    <w:rsid w:val="007574AE"/>
    <w:rsid w:val="007574C6"/>
    <w:rsid w:val="00757799"/>
    <w:rsid w:val="007579C0"/>
    <w:rsid w:val="00757AB2"/>
    <w:rsid w:val="00757B81"/>
    <w:rsid w:val="00757CD6"/>
    <w:rsid w:val="00757D06"/>
    <w:rsid w:val="00757D27"/>
    <w:rsid w:val="00757D34"/>
    <w:rsid w:val="00757F78"/>
    <w:rsid w:val="0076004E"/>
    <w:rsid w:val="0076011C"/>
    <w:rsid w:val="007602CA"/>
    <w:rsid w:val="007602E5"/>
    <w:rsid w:val="0076035C"/>
    <w:rsid w:val="007603CE"/>
    <w:rsid w:val="007603F6"/>
    <w:rsid w:val="0076041D"/>
    <w:rsid w:val="0076044C"/>
    <w:rsid w:val="007604C7"/>
    <w:rsid w:val="00760573"/>
    <w:rsid w:val="007605C7"/>
    <w:rsid w:val="007606A9"/>
    <w:rsid w:val="007606BD"/>
    <w:rsid w:val="00760757"/>
    <w:rsid w:val="00760766"/>
    <w:rsid w:val="007609C3"/>
    <w:rsid w:val="007609E4"/>
    <w:rsid w:val="00760A46"/>
    <w:rsid w:val="00760BD3"/>
    <w:rsid w:val="00760C58"/>
    <w:rsid w:val="00760CBE"/>
    <w:rsid w:val="00760D6A"/>
    <w:rsid w:val="00760DC4"/>
    <w:rsid w:val="00760DCA"/>
    <w:rsid w:val="00760E88"/>
    <w:rsid w:val="0076101C"/>
    <w:rsid w:val="00761053"/>
    <w:rsid w:val="00761218"/>
    <w:rsid w:val="0076144B"/>
    <w:rsid w:val="007615A2"/>
    <w:rsid w:val="0076168A"/>
    <w:rsid w:val="007618EC"/>
    <w:rsid w:val="007619F0"/>
    <w:rsid w:val="00761AB4"/>
    <w:rsid w:val="00761B81"/>
    <w:rsid w:val="00761C53"/>
    <w:rsid w:val="00761CA0"/>
    <w:rsid w:val="00761D1E"/>
    <w:rsid w:val="00761FB4"/>
    <w:rsid w:val="00761FCD"/>
    <w:rsid w:val="0076218A"/>
    <w:rsid w:val="007621CA"/>
    <w:rsid w:val="00762296"/>
    <w:rsid w:val="0076247B"/>
    <w:rsid w:val="007624F1"/>
    <w:rsid w:val="00762501"/>
    <w:rsid w:val="007625B0"/>
    <w:rsid w:val="00762762"/>
    <w:rsid w:val="00762785"/>
    <w:rsid w:val="007627D2"/>
    <w:rsid w:val="0076285C"/>
    <w:rsid w:val="00762A36"/>
    <w:rsid w:val="00762B44"/>
    <w:rsid w:val="00762CD7"/>
    <w:rsid w:val="00762D30"/>
    <w:rsid w:val="00762D7C"/>
    <w:rsid w:val="00762DDF"/>
    <w:rsid w:val="00762F47"/>
    <w:rsid w:val="00763164"/>
    <w:rsid w:val="007631BF"/>
    <w:rsid w:val="007631DB"/>
    <w:rsid w:val="007632CD"/>
    <w:rsid w:val="0076335D"/>
    <w:rsid w:val="00763385"/>
    <w:rsid w:val="00763418"/>
    <w:rsid w:val="007634D0"/>
    <w:rsid w:val="0076369F"/>
    <w:rsid w:val="007636E2"/>
    <w:rsid w:val="007637D4"/>
    <w:rsid w:val="0076391A"/>
    <w:rsid w:val="00763926"/>
    <w:rsid w:val="0076397E"/>
    <w:rsid w:val="00763989"/>
    <w:rsid w:val="007639B4"/>
    <w:rsid w:val="007639C9"/>
    <w:rsid w:val="007639CA"/>
    <w:rsid w:val="00763B23"/>
    <w:rsid w:val="00763B7C"/>
    <w:rsid w:val="00763D31"/>
    <w:rsid w:val="00763D41"/>
    <w:rsid w:val="00764092"/>
    <w:rsid w:val="007640B7"/>
    <w:rsid w:val="00764199"/>
    <w:rsid w:val="007641D0"/>
    <w:rsid w:val="007642C0"/>
    <w:rsid w:val="007643F3"/>
    <w:rsid w:val="007644A0"/>
    <w:rsid w:val="007644D2"/>
    <w:rsid w:val="0076463C"/>
    <w:rsid w:val="0076469D"/>
    <w:rsid w:val="007646C4"/>
    <w:rsid w:val="00764734"/>
    <w:rsid w:val="007647BB"/>
    <w:rsid w:val="00764A11"/>
    <w:rsid w:val="00764B1B"/>
    <w:rsid w:val="00764B50"/>
    <w:rsid w:val="00764BA0"/>
    <w:rsid w:val="00764C0A"/>
    <w:rsid w:val="00764C51"/>
    <w:rsid w:val="00764C58"/>
    <w:rsid w:val="0076510F"/>
    <w:rsid w:val="0076511A"/>
    <w:rsid w:val="00765224"/>
    <w:rsid w:val="00765396"/>
    <w:rsid w:val="007654E2"/>
    <w:rsid w:val="007656A1"/>
    <w:rsid w:val="00765721"/>
    <w:rsid w:val="007657D4"/>
    <w:rsid w:val="007658B8"/>
    <w:rsid w:val="00765978"/>
    <w:rsid w:val="007659A1"/>
    <w:rsid w:val="00765A45"/>
    <w:rsid w:val="00765AF5"/>
    <w:rsid w:val="00765BF5"/>
    <w:rsid w:val="00765C14"/>
    <w:rsid w:val="00765C5C"/>
    <w:rsid w:val="00765CC8"/>
    <w:rsid w:val="00765CCB"/>
    <w:rsid w:val="00765D71"/>
    <w:rsid w:val="00765DC9"/>
    <w:rsid w:val="00765F5B"/>
    <w:rsid w:val="00765FCE"/>
    <w:rsid w:val="00765FFF"/>
    <w:rsid w:val="00766098"/>
    <w:rsid w:val="00766143"/>
    <w:rsid w:val="007661CE"/>
    <w:rsid w:val="0076625D"/>
    <w:rsid w:val="00766353"/>
    <w:rsid w:val="007665E4"/>
    <w:rsid w:val="0076671E"/>
    <w:rsid w:val="007667C1"/>
    <w:rsid w:val="00766976"/>
    <w:rsid w:val="007669C2"/>
    <w:rsid w:val="00766AF7"/>
    <w:rsid w:val="00766B3E"/>
    <w:rsid w:val="00766B5E"/>
    <w:rsid w:val="00766C6B"/>
    <w:rsid w:val="00766DA0"/>
    <w:rsid w:val="00766E73"/>
    <w:rsid w:val="00766EE4"/>
    <w:rsid w:val="00766EEF"/>
    <w:rsid w:val="00766FA4"/>
    <w:rsid w:val="00766FE7"/>
    <w:rsid w:val="0076705F"/>
    <w:rsid w:val="007670EA"/>
    <w:rsid w:val="00767298"/>
    <w:rsid w:val="007673B1"/>
    <w:rsid w:val="0076756D"/>
    <w:rsid w:val="007675EA"/>
    <w:rsid w:val="00767622"/>
    <w:rsid w:val="007677FD"/>
    <w:rsid w:val="00767857"/>
    <w:rsid w:val="0076792C"/>
    <w:rsid w:val="00767AC1"/>
    <w:rsid w:val="00767B03"/>
    <w:rsid w:val="00767B6D"/>
    <w:rsid w:val="00767C17"/>
    <w:rsid w:val="00767CBB"/>
    <w:rsid w:val="00767E66"/>
    <w:rsid w:val="00767F98"/>
    <w:rsid w:val="0077001F"/>
    <w:rsid w:val="0077007F"/>
    <w:rsid w:val="007700A5"/>
    <w:rsid w:val="00770243"/>
    <w:rsid w:val="00770307"/>
    <w:rsid w:val="0077032B"/>
    <w:rsid w:val="00770372"/>
    <w:rsid w:val="00770416"/>
    <w:rsid w:val="0077044A"/>
    <w:rsid w:val="00770599"/>
    <w:rsid w:val="007705E7"/>
    <w:rsid w:val="00770759"/>
    <w:rsid w:val="00770858"/>
    <w:rsid w:val="00770876"/>
    <w:rsid w:val="007709EE"/>
    <w:rsid w:val="00770A6A"/>
    <w:rsid w:val="00770A7C"/>
    <w:rsid w:val="00770B59"/>
    <w:rsid w:val="00770C43"/>
    <w:rsid w:val="00770CEA"/>
    <w:rsid w:val="00770DFD"/>
    <w:rsid w:val="00770E77"/>
    <w:rsid w:val="007710D7"/>
    <w:rsid w:val="00771191"/>
    <w:rsid w:val="0077125C"/>
    <w:rsid w:val="0077135E"/>
    <w:rsid w:val="007714D0"/>
    <w:rsid w:val="00771612"/>
    <w:rsid w:val="007718EE"/>
    <w:rsid w:val="00771943"/>
    <w:rsid w:val="00771B3F"/>
    <w:rsid w:val="00771D89"/>
    <w:rsid w:val="00771DEB"/>
    <w:rsid w:val="00771F4E"/>
    <w:rsid w:val="007720AF"/>
    <w:rsid w:val="007720E7"/>
    <w:rsid w:val="0077216A"/>
    <w:rsid w:val="007721FE"/>
    <w:rsid w:val="00772247"/>
    <w:rsid w:val="00772258"/>
    <w:rsid w:val="0077246F"/>
    <w:rsid w:val="00772540"/>
    <w:rsid w:val="007726AF"/>
    <w:rsid w:val="007726C1"/>
    <w:rsid w:val="007726F8"/>
    <w:rsid w:val="0077284E"/>
    <w:rsid w:val="007728AF"/>
    <w:rsid w:val="00772A73"/>
    <w:rsid w:val="00772BC1"/>
    <w:rsid w:val="00772D39"/>
    <w:rsid w:val="00772DF9"/>
    <w:rsid w:val="00772EAB"/>
    <w:rsid w:val="00772F15"/>
    <w:rsid w:val="00772F27"/>
    <w:rsid w:val="00772F8E"/>
    <w:rsid w:val="00772FB2"/>
    <w:rsid w:val="00773195"/>
    <w:rsid w:val="00773342"/>
    <w:rsid w:val="00773350"/>
    <w:rsid w:val="00773360"/>
    <w:rsid w:val="00773374"/>
    <w:rsid w:val="007733D5"/>
    <w:rsid w:val="007734DD"/>
    <w:rsid w:val="0077353E"/>
    <w:rsid w:val="00773544"/>
    <w:rsid w:val="00773546"/>
    <w:rsid w:val="007736A2"/>
    <w:rsid w:val="007736B4"/>
    <w:rsid w:val="007736BC"/>
    <w:rsid w:val="0077377E"/>
    <w:rsid w:val="007737F6"/>
    <w:rsid w:val="0077385F"/>
    <w:rsid w:val="00773A9C"/>
    <w:rsid w:val="00773ADE"/>
    <w:rsid w:val="00773B7F"/>
    <w:rsid w:val="00773C42"/>
    <w:rsid w:val="00773CAD"/>
    <w:rsid w:val="00773DC4"/>
    <w:rsid w:val="00773E34"/>
    <w:rsid w:val="00773E50"/>
    <w:rsid w:val="00773EDD"/>
    <w:rsid w:val="00773F84"/>
    <w:rsid w:val="007740A0"/>
    <w:rsid w:val="00774242"/>
    <w:rsid w:val="00774302"/>
    <w:rsid w:val="00774402"/>
    <w:rsid w:val="0077440A"/>
    <w:rsid w:val="00774424"/>
    <w:rsid w:val="0077451D"/>
    <w:rsid w:val="007745D9"/>
    <w:rsid w:val="007746F6"/>
    <w:rsid w:val="00774762"/>
    <w:rsid w:val="007747B7"/>
    <w:rsid w:val="007747BE"/>
    <w:rsid w:val="007747FD"/>
    <w:rsid w:val="00774AE3"/>
    <w:rsid w:val="00774B54"/>
    <w:rsid w:val="00774BB5"/>
    <w:rsid w:val="00774C3D"/>
    <w:rsid w:val="00774D49"/>
    <w:rsid w:val="00774E93"/>
    <w:rsid w:val="00774EF0"/>
    <w:rsid w:val="00774F82"/>
    <w:rsid w:val="0077504C"/>
    <w:rsid w:val="007751B0"/>
    <w:rsid w:val="007752EB"/>
    <w:rsid w:val="0077530F"/>
    <w:rsid w:val="00775328"/>
    <w:rsid w:val="00775490"/>
    <w:rsid w:val="00775798"/>
    <w:rsid w:val="007757ED"/>
    <w:rsid w:val="0077592F"/>
    <w:rsid w:val="00775BA9"/>
    <w:rsid w:val="00775BCC"/>
    <w:rsid w:val="00775CE5"/>
    <w:rsid w:val="00775FEA"/>
    <w:rsid w:val="00776022"/>
    <w:rsid w:val="00776200"/>
    <w:rsid w:val="00776300"/>
    <w:rsid w:val="00776554"/>
    <w:rsid w:val="007765CD"/>
    <w:rsid w:val="007765F9"/>
    <w:rsid w:val="0077665E"/>
    <w:rsid w:val="007766F2"/>
    <w:rsid w:val="00776720"/>
    <w:rsid w:val="0077680C"/>
    <w:rsid w:val="00776953"/>
    <w:rsid w:val="00776969"/>
    <w:rsid w:val="0077697D"/>
    <w:rsid w:val="0077698C"/>
    <w:rsid w:val="00776BAF"/>
    <w:rsid w:val="00776DB1"/>
    <w:rsid w:val="00776E49"/>
    <w:rsid w:val="0077708E"/>
    <w:rsid w:val="00777126"/>
    <w:rsid w:val="00777184"/>
    <w:rsid w:val="007772E3"/>
    <w:rsid w:val="00777362"/>
    <w:rsid w:val="007773B1"/>
    <w:rsid w:val="00777575"/>
    <w:rsid w:val="007776F8"/>
    <w:rsid w:val="007777DA"/>
    <w:rsid w:val="0077782E"/>
    <w:rsid w:val="007778D4"/>
    <w:rsid w:val="00777979"/>
    <w:rsid w:val="00777A64"/>
    <w:rsid w:val="00777DCF"/>
    <w:rsid w:val="00777FB9"/>
    <w:rsid w:val="00780076"/>
    <w:rsid w:val="00780152"/>
    <w:rsid w:val="007801EC"/>
    <w:rsid w:val="007802EF"/>
    <w:rsid w:val="007803A9"/>
    <w:rsid w:val="00780469"/>
    <w:rsid w:val="00780567"/>
    <w:rsid w:val="007806BA"/>
    <w:rsid w:val="0078070D"/>
    <w:rsid w:val="0078074F"/>
    <w:rsid w:val="00780762"/>
    <w:rsid w:val="007807FE"/>
    <w:rsid w:val="007808B4"/>
    <w:rsid w:val="0078090F"/>
    <w:rsid w:val="00780969"/>
    <w:rsid w:val="00780ADF"/>
    <w:rsid w:val="00780B7B"/>
    <w:rsid w:val="00780BDE"/>
    <w:rsid w:val="00780C85"/>
    <w:rsid w:val="00780C9E"/>
    <w:rsid w:val="00780CA0"/>
    <w:rsid w:val="00780D18"/>
    <w:rsid w:val="00780D4C"/>
    <w:rsid w:val="00780FDA"/>
    <w:rsid w:val="0078104D"/>
    <w:rsid w:val="007810B4"/>
    <w:rsid w:val="00781182"/>
    <w:rsid w:val="00781208"/>
    <w:rsid w:val="0078124D"/>
    <w:rsid w:val="00781765"/>
    <w:rsid w:val="0078182E"/>
    <w:rsid w:val="007818AF"/>
    <w:rsid w:val="00781901"/>
    <w:rsid w:val="00781999"/>
    <w:rsid w:val="00781A80"/>
    <w:rsid w:val="00781AA7"/>
    <w:rsid w:val="00781AB1"/>
    <w:rsid w:val="00781E49"/>
    <w:rsid w:val="00781FB9"/>
    <w:rsid w:val="00782387"/>
    <w:rsid w:val="007824A8"/>
    <w:rsid w:val="007824F4"/>
    <w:rsid w:val="00782958"/>
    <w:rsid w:val="00782B43"/>
    <w:rsid w:val="00782B7A"/>
    <w:rsid w:val="00782C3B"/>
    <w:rsid w:val="00782C8C"/>
    <w:rsid w:val="00782D1B"/>
    <w:rsid w:val="007830BC"/>
    <w:rsid w:val="007830C7"/>
    <w:rsid w:val="007830EE"/>
    <w:rsid w:val="00783205"/>
    <w:rsid w:val="007833F8"/>
    <w:rsid w:val="00783667"/>
    <w:rsid w:val="007837CC"/>
    <w:rsid w:val="00783886"/>
    <w:rsid w:val="00783992"/>
    <w:rsid w:val="00783B41"/>
    <w:rsid w:val="00783BCC"/>
    <w:rsid w:val="00783BD3"/>
    <w:rsid w:val="00783DB0"/>
    <w:rsid w:val="007840B2"/>
    <w:rsid w:val="007840F1"/>
    <w:rsid w:val="007841D5"/>
    <w:rsid w:val="00784218"/>
    <w:rsid w:val="007842C7"/>
    <w:rsid w:val="0078440C"/>
    <w:rsid w:val="00784494"/>
    <w:rsid w:val="007844CE"/>
    <w:rsid w:val="00784553"/>
    <w:rsid w:val="007845DC"/>
    <w:rsid w:val="0078464F"/>
    <w:rsid w:val="0078468F"/>
    <w:rsid w:val="007846B8"/>
    <w:rsid w:val="0078472E"/>
    <w:rsid w:val="00784758"/>
    <w:rsid w:val="00784811"/>
    <w:rsid w:val="0078487D"/>
    <w:rsid w:val="007849B9"/>
    <w:rsid w:val="00784A1A"/>
    <w:rsid w:val="00784ADC"/>
    <w:rsid w:val="00784B08"/>
    <w:rsid w:val="00784E2F"/>
    <w:rsid w:val="00784F60"/>
    <w:rsid w:val="00785040"/>
    <w:rsid w:val="007850F3"/>
    <w:rsid w:val="00785107"/>
    <w:rsid w:val="00785163"/>
    <w:rsid w:val="007851E7"/>
    <w:rsid w:val="007851EA"/>
    <w:rsid w:val="007851F3"/>
    <w:rsid w:val="007855D2"/>
    <w:rsid w:val="00785637"/>
    <w:rsid w:val="00785757"/>
    <w:rsid w:val="00785874"/>
    <w:rsid w:val="007858CA"/>
    <w:rsid w:val="00785935"/>
    <w:rsid w:val="00785958"/>
    <w:rsid w:val="0078596E"/>
    <w:rsid w:val="00785984"/>
    <w:rsid w:val="00785A78"/>
    <w:rsid w:val="00785AC0"/>
    <w:rsid w:val="00785AD6"/>
    <w:rsid w:val="00785BE4"/>
    <w:rsid w:val="00785CEB"/>
    <w:rsid w:val="00785D11"/>
    <w:rsid w:val="00785EE7"/>
    <w:rsid w:val="00785F07"/>
    <w:rsid w:val="00785FC0"/>
    <w:rsid w:val="0078601A"/>
    <w:rsid w:val="007860FB"/>
    <w:rsid w:val="007862EF"/>
    <w:rsid w:val="007863DA"/>
    <w:rsid w:val="0078654B"/>
    <w:rsid w:val="0078674B"/>
    <w:rsid w:val="007867C9"/>
    <w:rsid w:val="007867D8"/>
    <w:rsid w:val="00786858"/>
    <w:rsid w:val="007869C6"/>
    <w:rsid w:val="007869E4"/>
    <w:rsid w:val="00786B73"/>
    <w:rsid w:val="00786B9D"/>
    <w:rsid w:val="00786D35"/>
    <w:rsid w:val="00786D76"/>
    <w:rsid w:val="00786D9F"/>
    <w:rsid w:val="00786DD6"/>
    <w:rsid w:val="00786DDA"/>
    <w:rsid w:val="00786E14"/>
    <w:rsid w:val="00786F78"/>
    <w:rsid w:val="0078706C"/>
    <w:rsid w:val="0078707B"/>
    <w:rsid w:val="007870FE"/>
    <w:rsid w:val="00787186"/>
    <w:rsid w:val="00787236"/>
    <w:rsid w:val="007872F0"/>
    <w:rsid w:val="00787429"/>
    <w:rsid w:val="007874DB"/>
    <w:rsid w:val="007875C7"/>
    <w:rsid w:val="00787649"/>
    <w:rsid w:val="0078769C"/>
    <w:rsid w:val="00787784"/>
    <w:rsid w:val="007877E9"/>
    <w:rsid w:val="00787833"/>
    <w:rsid w:val="0078792A"/>
    <w:rsid w:val="00787A57"/>
    <w:rsid w:val="00787B20"/>
    <w:rsid w:val="00787C60"/>
    <w:rsid w:val="00787C91"/>
    <w:rsid w:val="00787E8B"/>
    <w:rsid w:val="00787EB3"/>
    <w:rsid w:val="00787FD8"/>
    <w:rsid w:val="00790075"/>
    <w:rsid w:val="00790459"/>
    <w:rsid w:val="00790533"/>
    <w:rsid w:val="0079067C"/>
    <w:rsid w:val="00790738"/>
    <w:rsid w:val="0079099B"/>
    <w:rsid w:val="00790A5F"/>
    <w:rsid w:val="00790A64"/>
    <w:rsid w:val="00790A7A"/>
    <w:rsid w:val="00790D31"/>
    <w:rsid w:val="00790E36"/>
    <w:rsid w:val="00790ECB"/>
    <w:rsid w:val="007913CB"/>
    <w:rsid w:val="007914B8"/>
    <w:rsid w:val="0079150E"/>
    <w:rsid w:val="0079157A"/>
    <w:rsid w:val="007915E9"/>
    <w:rsid w:val="00791738"/>
    <w:rsid w:val="007917A5"/>
    <w:rsid w:val="00791824"/>
    <w:rsid w:val="0079183E"/>
    <w:rsid w:val="00791899"/>
    <w:rsid w:val="007918EA"/>
    <w:rsid w:val="00791913"/>
    <w:rsid w:val="007919B7"/>
    <w:rsid w:val="00791A7B"/>
    <w:rsid w:val="00791AA0"/>
    <w:rsid w:val="00791DA1"/>
    <w:rsid w:val="00791EC9"/>
    <w:rsid w:val="00791F36"/>
    <w:rsid w:val="00791F44"/>
    <w:rsid w:val="0079203B"/>
    <w:rsid w:val="007920DA"/>
    <w:rsid w:val="007922A5"/>
    <w:rsid w:val="0079232F"/>
    <w:rsid w:val="007923DC"/>
    <w:rsid w:val="007924D0"/>
    <w:rsid w:val="007925B9"/>
    <w:rsid w:val="00792747"/>
    <w:rsid w:val="0079278B"/>
    <w:rsid w:val="007927FF"/>
    <w:rsid w:val="007928F2"/>
    <w:rsid w:val="007928F7"/>
    <w:rsid w:val="00792974"/>
    <w:rsid w:val="00792B2D"/>
    <w:rsid w:val="00792D2C"/>
    <w:rsid w:val="00792D3D"/>
    <w:rsid w:val="00792D95"/>
    <w:rsid w:val="00792F95"/>
    <w:rsid w:val="007930BB"/>
    <w:rsid w:val="007930E3"/>
    <w:rsid w:val="007931E4"/>
    <w:rsid w:val="00793315"/>
    <w:rsid w:val="00793397"/>
    <w:rsid w:val="007933DD"/>
    <w:rsid w:val="00793480"/>
    <w:rsid w:val="007934C5"/>
    <w:rsid w:val="007934EB"/>
    <w:rsid w:val="007935F8"/>
    <w:rsid w:val="00793614"/>
    <w:rsid w:val="00793673"/>
    <w:rsid w:val="00793742"/>
    <w:rsid w:val="0079384F"/>
    <w:rsid w:val="00793862"/>
    <w:rsid w:val="007938E0"/>
    <w:rsid w:val="007938E9"/>
    <w:rsid w:val="00793971"/>
    <w:rsid w:val="007939D1"/>
    <w:rsid w:val="00793AA9"/>
    <w:rsid w:val="00793C6D"/>
    <w:rsid w:val="00793C9B"/>
    <w:rsid w:val="00793D14"/>
    <w:rsid w:val="00793DAD"/>
    <w:rsid w:val="00793E11"/>
    <w:rsid w:val="00793F60"/>
    <w:rsid w:val="00793FAF"/>
    <w:rsid w:val="007941AC"/>
    <w:rsid w:val="00794226"/>
    <w:rsid w:val="0079437D"/>
    <w:rsid w:val="007943C8"/>
    <w:rsid w:val="0079447A"/>
    <w:rsid w:val="007944BB"/>
    <w:rsid w:val="007944BD"/>
    <w:rsid w:val="00794662"/>
    <w:rsid w:val="0079471E"/>
    <w:rsid w:val="00794792"/>
    <w:rsid w:val="007947B1"/>
    <w:rsid w:val="00794970"/>
    <w:rsid w:val="00794998"/>
    <w:rsid w:val="00794A3B"/>
    <w:rsid w:val="00794AB7"/>
    <w:rsid w:val="00794ABC"/>
    <w:rsid w:val="00794AC5"/>
    <w:rsid w:val="00794BE6"/>
    <w:rsid w:val="00794D9A"/>
    <w:rsid w:val="00794DBC"/>
    <w:rsid w:val="00794FF4"/>
    <w:rsid w:val="00795041"/>
    <w:rsid w:val="00795075"/>
    <w:rsid w:val="007950E3"/>
    <w:rsid w:val="007951C4"/>
    <w:rsid w:val="007952B7"/>
    <w:rsid w:val="007958D4"/>
    <w:rsid w:val="00795A79"/>
    <w:rsid w:val="00795AC4"/>
    <w:rsid w:val="00795B14"/>
    <w:rsid w:val="00795BA2"/>
    <w:rsid w:val="00795CE6"/>
    <w:rsid w:val="00795E3E"/>
    <w:rsid w:val="00795E88"/>
    <w:rsid w:val="00795F8C"/>
    <w:rsid w:val="00795FB7"/>
    <w:rsid w:val="00796091"/>
    <w:rsid w:val="007960D5"/>
    <w:rsid w:val="00796198"/>
    <w:rsid w:val="0079629D"/>
    <w:rsid w:val="007962F2"/>
    <w:rsid w:val="00796376"/>
    <w:rsid w:val="0079643E"/>
    <w:rsid w:val="007964C4"/>
    <w:rsid w:val="00796543"/>
    <w:rsid w:val="0079658F"/>
    <w:rsid w:val="00796615"/>
    <w:rsid w:val="007968E5"/>
    <w:rsid w:val="007969F2"/>
    <w:rsid w:val="00796B61"/>
    <w:rsid w:val="00796B7A"/>
    <w:rsid w:val="00796BD1"/>
    <w:rsid w:val="00796D0B"/>
    <w:rsid w:val="00796D85"/>
    <w:rsid w:val="00796DE7"/>
    <w:rsid w:val="00796E34"/>
    <w:rsid w:val="00796ED3"/>
    <w:rsid w:val="00796EDA"/>
    <w:rsid w:val="00796F01"/>
    <w:rsid w:val="0079702C"/>
    <w:rsid w:val="007971D2"/>
    <w:rsid w:val="007971D6"/>
    <w:rsid w:val="00797364"/>
    <w:rsid w:val="007973A1"/>
    <w:rsid w:val="007973B4"/>
    <w:rsid w:val="007973D7"/>
    <w:rsid w:val="00797518"/>
    <w:rsid w:val="0079756D"/>
    <w:rsid w:val="00797676"/>
    <w:rsid w:val="00797770"/>
    <w:rsid w:val="00797837"/>
    <w:rsid w:val="00797864"/>
    <w:rsid w:val="00797879"/>
    <w:rsid w:val="007978FC"/>
    <w:rsid w:val="00797950"/>
    <w:rsid w:val="00797954"/>
    <w:rsid w:val="007979A6"/>
    <w:rsid w:val="00797A0A"/>
    <w:rsid w:val="00797ABB"/>
    <w:rsid w:val="00797B63"/>
    <w:rsid w:val="00797BCB"/>
    <w:rsid w:val="00797C49"/>
    <w:rsid w:val="00797D13"/>
    <w:rsid w:val="00797E26"/>
    <w:rsid w:val="00797FAF"/>
    <w:rsid w:val="007A00F7"/>
    <w:rsid w:val="007A036E"/>
    <w:rsid w:val="007A038B"/>
    <w:rsid w:val="007A0398"/>
    <w:rsid w:val="007A039F"/>
    <w:rsid w:val="007A03FD"/>
    <w:rsid w:val="007A046C"/>
    <w:rsid w:val="007A0567"/>
    <w:rsid w:val="007A05AB"/>
    <w:rsid w:val="007A087E"/>
    <w:rsid w:val="007A0889"/>
    <w:rsid w:val="007A093B"/>
    <w:rsid w:val="007A0AD0"/>
    <w:rsid w:val="007A0CF5"/>
    <w:rsid w:val="007A0E33"/>
    <w:rsid w:val="007A0F04"/>
    <w:rsid w:val="007A1031"/>
    <w:rsid w:val="007A1055"/>
    <w:rsid w:val="007A10D9"/>
    <w:rsid w:val="007A12E8"/>
    <w:rsid w:val="007A163C"/>
    <w:rsid w:val="007A174B"/>
    <w:rsid w:val="007A1760"/>
    <w:rsid w:val="007A17A6"/>
    <w:rsid w:val="007A1964"/>
    <w:rsid w:val="007A198C"/>
    <w:rsid w:val="007A1BCD"/>
    <w:rsid w:val="007A1C71"/>
    <w:rsid w:val="007A1F16"/>
    <w:rsid w:val="007A1F72"/>
    <w:rsid w:val="007A20B3"/>
    <w:rsid w:val="007A2129"/>
    <w:rsid w:val="007A22F5"/>
    <w:rsid w:val="007A2608"/>
    <w:rsid w:val="007A280F"/>
    <w:rsid w:val="007A28BE"/>
    <w:rsid w:val="007A2909"/>
    <w:rsid w:val="007A297B"/>
    <w:rsid w:val="007A2A6B"/>
    <w:rsid w:val="007A2AE4"/>
    <w:rsid w:val="007A2B50"/>
    <w:rsid w:val="007A2BF8"/>
    <w:rsid w:val="007A2CA9"/>
    <w:rsid w:val="007A2DC4"/>
    <w:rsid w:val="007A2F58"/>
    <w:rsid w:val="007A314F"/>
    <w:rsid w:val="007A320F"/>
    <w:rsid w:val="007A3244"/>
    <w:rsid w:val="007A3347"/>
    <w:rsid w:val="007A33B3"/>
    <w:rsid w:val="007A3534"/>
    <w:rsid w:val="007A36DF"/>
    <w:rsid w:val="007A3757"/>
    <w:rsid w:val="007A379F"/>
    <w:rsid w:val="007A3860"/>
    <w:rsid w:val="007A39DC"/>
    <w:rsid w:val="007A3B20"/>
    <w:rsid w:val="007A3BD9"/>
    <w:rsid w:val="007A3D4D"/>
    <w:rsid w:val="007A3D91"/>
    <w:rsid w:val="007A3DE2"/>
    <w:rsid w:val="007A3EBB"/>
    <w:rsid w:val="007A4046"/>
    <w:rsid w:val="007A4201"/>
    <w:rsid w:val="007A4398"/>
    <w:rsid w:val="007A445B"/>
    <w:rsid w:val="007A4478"/>
    <w:rsid w:val="007A44B1"/>
    <w:rsid w:val="007A4593"/>
    <w:rsid w:val="007A461A"/>
    <w:rsid w:val="007A471B"/>
    <w:rsid w:val="007A477A"/>
    <w:rsid w:val="007A48A1"/>
    <w:rsid w:val="007A48C1"/>
    <w:rsid w:val="007A4B8D"/>
    <w:rsid w:val="007A4D9F"/>
    <w:rsid w:val="007A4DDB"/>
    <w:rsid w:val="007A4E64"/>
    <w:rsid w:val="007A514A"/>
    <w:rsid w:val="007A5196"/>
    <w:rsid w:val="007A51BB"/>
    <w:rsid w:val="007A5298"/>
    <w:rsid w:val="007A52FC"/>
    <w:rsid w:val="007A5440"/>
    <w:rsid w:val="007A551E"/>
    <w:rsid w:val="007A55C5"/>
    <w:rsid w:val="007A55FF"/>
    <w:rsid w:val="007A560D"/>
    <w:rsid w:val="007A57AA"/>
    <w:rsid w:val="007A5866"/>
    <w:rsid w:val="007A5868"/>
    <w:rsid w:val="007A5945"/>
    <w:rsid w:val="007A59F0"/>
    <w:rsid w:val="007A5A26"/>
    <w:rsid w:val="007A5A8C"/>
    <w:rsid w:val="007A5AC9"/>
    <w:rsid w:val="007A5B9A"/>
    <w:rsid w:val="007A5C0F"/>
    <w:rsid w:val="007A5D02"/>
    <w:rsid w:val="007A5F34"/>
    <w:rsid w:val="007A5F92"/>
    <w:rsid w:val="007A61A1"/>
    <w:rsid w:val="007A6239"/>
    <w:rsid w:val="007A6386"/>
    <w:rsid w:val="007A63F5"/>
    <w:rsid w:val="007A6407"/>
    <w:rsid w:val="007A64B5"/>
    <w:rsid w:val="007A64F7"/>
    <w:rsid w:val="007A6529"/>
    <w:rsid w:val="007A668C"/>
    <w:rsid w:val="007A669F"/>
    <w:rsid w:val="007A66C7"/>
    <w:rsid w:val="007A6B50"/>
    <w:rsid w:val="007A6BA7"/>
    <w:rsid w:val="007A6C36"/>
    <w:rsid w:val="007A6C37"/>
    <w:rsid w:val="007A6E9C"/>
    <w:rsid w:val="007A7090"/>
    <w:rsid w:val="007A7117"/>
    <w:rsid w:val="007A7188"/>
    <w:rsid w:val="007A71CF"/>
    <w:rsid w:val="007A7411"/>
    <w:rsid w:val="007A74EC"/>
    <w:rsid w:val="007A7674"/>
    <w:rsid w:val="007A771F"/>
    <w:rsid w:val="007A775A"/>
    <w:rsid w:val="007A77AF"/>
    <w:rsid w:val="007A7831"/>
    <w:rsid w:val="007A785E"/>
    <w:rsid w:val="007A787E"/>
    <w:rsid w:val="007A7895"/>
    <w:rsid w:val="007A7B27"/>
    <w:rsid w:val="007A7E82"/>
    <w:rsid w:val="007A7E99"/>
    <w:rsid w:val="007B01B6"/>
    <w:rsid w:val="007B03A0"/>
    <w:rsid w:val="007B0402"/>
    <w:rsid w:val="007B0650"/>
    <w:rsid w:val="007B065C"/>
    <w:rsid w:val="007B07AB"/>
    <w:rsid w:val="007B07B8"/>
    <w:rsid w:val="007B0822"/>
    <w:rsid w:val="007B089F"/>
    <w:rsid w:val="007B0901"/>
    <w:rsid w:val="007B093B"/>
    <w:rsid w:val="007B09CC"/>
    <w:rsid w:val="007B09D5"/>
    <w:rsid w:val="007B09FF"/>
    <w:rsid w:val="007B0A16"/>
    <w:rsid w:val="007B0A70"/>
    <w:rsid w:val="007B0A79"/>
    <w:rsid w:val="007B0DB8"/>
    <w:rsid w:val="007B0DB9"/>
    <w:rsid w:val="007B0DEF"/>
    <w:rsid w:val="007B0EC9"/>
    <w:rsid w:val="007B106C"/>
    <w:rsid w:val="007B1145"/>
    <w:rsid w:val="007B127A"/>
    <w:rsid w:val="007B12A2"/>
    <w:rsid w:val="007B1378"/>
    <w:rsid w:val="007B1395"/>
    <w:rsid w:val="007B1412"/>
    <w:rsid w:val="007B146A"/>
    <w:rsid w:val="007B148D"/>
    <w:rsid w:val="007B14FC"/>
    <w:rsid w:val="007B1605"/>
    <w:rsid w:val="007B1620"/>
    <w:rsid w:val="007B174B"/>
    <w:rsid w:val="007B1A01"/>
    <w:rsid w:val="007B1A20"/>
    <w:rsid w:val="007B1A9F"/>
    <w:rsid w:val="007B1B04"/>
    <w:rsid w:val="007B1B3F"/>
    <w:rsid w:val="007B1B7B"/>
    <w:rsid w:val="007B1CFA"/>
    <w:rsid w:val="007B1E59"/>
    <w:rsid w:val="007B1F0B"/>
    <w:rsid w:val="007B1F50"/>
    <w:rsid w:val="007B1FC4"/>
    <w:rsid w:val="007B202A"/>
    <w:rsid w:val="007B2067"/>
    <w:rsid w:val="007B207E"/>
    <w:rsid w:val="007B2120"/>
    <w:rsid w:val="007B2270"/>
    <w:rsid w:val="007B22C0"/>
    <w:rsid w:val="007B25F6"/>
    <w:rsid w:val="007B263C"/>
    <w:rsid w:val="007B266A"/>
    <w:rsid w:val="007B2971"/>
    <w:rsid w:val="007B2A5C"/>
    <w:rsid w:val="007B2AA4"/>
    <w:rsid w:val="007B2C06"/>
    <w:rsid w:val="007B2D10"/>
    <w:rsid w:val="007B2D79"/>
    <w:rsid w:val="007B2E33"/>
    <w:rsid w:val="007B2EA3"/>
    <w:rsid w:val="007B2EB8"/>
    <w:rsid w:val="007B2EE8"/>
    <w:rsid w:val="007B3104"/>
    <w:rsid w:val="007B32BB"/>
    <w:rsid w:val="007B33FF"/>
    <w:rsid w:val="007B34A9"/>
    <w:rsid w:val="007B3571"/>
    <w:rsid w:val="007B3729"/>
    <w:rsid w:val="007B3971"/>
    <w:rsid w:val="007B3981"/>
    <w:rsid w:val="007B3992"/>
    <w:rsid w:val="007B3B3B"/>
    <w:rsid w:val="007B3D8D"/>
    <w:rsid w:val="007B3DA5"/>
    <w:rsid w:val="007B3E10"/>
    <w:rsid w:val="007B3F53"/>
    <w:rsid w:val="007B3FE8"/>
    <w:rsid w:val="007B407B"/>
    <w:rsid w:val="007B41BE"/>
    <w:rsid w:val="007B4285"/>
    <w:rsid w:val="007B42C2"/>
    <w:rsid w:val="007B42CB"/>
    <w:rsid w:val="007B44AA"/>
    <w:rsid w:val="007B44EA"/>
    <w:rsid w:val="007B4513"/>
    <w:rsid w:val="007B46BE"/>
    <w:rsid w:val="007B478D"/>
    <w:rsid w:val="007B4865"/>
    <w:rsid w:val="007B491E"/>
    <w:rsid w:val="007B49EA"/>
    <w:rsid w:val="007B4A0F"/>
    <w:rsid w:val="007B4B75"/>
    <w:rsid w:val="007B4E32"/>
    <w:rsid w:val="007B4E99"/>
    <w:rsid w:val="007B4FAF"/>
    <w:rsid w:val="007B5194"/>
    <w:rsid w:val="007B55BE"/>
    <w:rsid w:val="007B55ED"/>
    <w:rsid w:val="007B55F3"/>
    <w:rsid w:val="007B5702"/>
    <w:rsid w:val="007B579B"/>
    <w:rsid w:val="007B57A4"/>
    <w:rsid w:val="007B589A"/>
    <w:rsid w:val="007B5937"/>
    <w:rsid w:val="007B5A22"/>
    <w:rsid w:val="007B5BEC"/>
    <w:rsid w:val="007B5C6E"/>
    <w:rsid w:val="007B5CB5"/>
    <w:rsid w:val="007B5D59"/>
    <w:rsid w:val="007B5DAA"/>
    <w:rsid w:val="007B6036"/>
    <w:rsid w:val="007B6158"/>
    <w:rsid w:val="007B6211"/>
    <w:rsid w:val="007B6221"/>
    <w:rsid w:val="007B62AF"/>
    <w:rsid w:val="007B64E0"/>
    <w:rsid w:val="007B64F8"/>
    <w:rsid w:val="007B6507"/>
    <w:rsid w:val="007B6568"/>
    <w:rsid w:val="007B6587"/>
    <w:rsid w:val="007B65D3"/>
    <w:rsid w:val="007B66E4"/>
    <w:rsid w:val="007B67E6"/>
    <w:rsid w:val="007B683D"/>
    <w:rsid w:val="007B686C"/>
    <w:rsid w:val="007B68E1"/>
    <w:rsid w:val="007B68E7"/>
    <w:rsid w:val="007B6997"/>
    <w:rsid w:val="007B69D3"/>
    <w:rsid w:val="007B6B41"/>
    <w:rsid w:val="007B6B48"/>
    <w:rsid w:val="007B6C6A"/>
    <w:rsid w:val="007B6CC8"/>
    <w:rsid w:val="007B6D2D"/>
    <w:rsid w:val="007B6DC5"/>
    <w:rsid w:val="007B6F72"/>
    <w:rsid w:val="007B701F"/>
    <w:rsid w:val="007B7045"/>
    <w:rsid w:val="007B714A"/>
    <w:rsid w:val="007B7210"/>
    <w:rsid w:val="007B7319"/>
    <w:rsid w:val="007B73CF"/>
    <w:rsid w:val="007B7444"/>
    <w:rsid w:val="007B744E"/>
    <w:rsid w:val="007B7476"/>
    <w:rsid w:val="007B7579"/>
    <w:rsid w:val="007B75EB"/>
    <w:rsid w:val="007B766C"/>
    <w:rsid w:val="007B76C6"/>
    <w:rsid w:val="007B788B"/>
    <w:rsid w:val="007B7913"/>
    <w:rsid w:val="007B79CE"/>
    <w:rsid w:val="007B7C2D"/>
    <w:rsid w:val="007B7CFC"/>
    <w:rsid w:val="007B7E2A"/>
    <w:rsid w:val="007B7E76"/>
    <w:rsid w:val="007B7E92"/>
    <w:rsid w:val="007C0164"/>
    <w:rsid w:val="007C047B"/>
    <w:rsid w:val="007C04A2"/>
    <w:rsid w:val="007C04EF"/>
    <w:rsid w:val="007C052C"/>
    <w:rsid w:val="007C077C"/>
    <w:rsid w:val="007C0889"/>
    <w:rsid w:val="007C088D"/>
    <w:rsid w:val="007C0971"/>
    <w:rsid w:val="007C09ED"/>
    <w:rsid w:val="007C0B9B"/>
    <w:rsid w:val="007C0BB7"/>
    <w:rsid w:val="007C0C05"/>
    <w:rsid w:val="007C0E9B"/>
    <w:rsid w:val="007C0EF8"/>
    <w:rsid w:val="007C10C4"/>
    <w:rsid w:val="007C113F"/>
    <w:rsid w:val="007C1159"/>
    <w:rsid w:val="007C17B0"/>
    <w:rsid w:val="007C1815"/>
    <w:rsid w:val="007C1963"/>
    <w:rsid w:val="007C198E"/>
    <w:rsid w:val="007C1B93"/>
    <w:rsid w:val="007C1BD0"/>
    <w:rsid w:val="007C1D7E"/>
    <w:rsid w:val="007C1E18"/>
    <w:rsid w:val="007C1EC6"/>
    <w:rsid w:val="007C1F50"/>
    <w:rsid w:val="007C1FA4"/>
    <w:rsid w:val="007C2099"/>
    <w:rsid w:val="007C223A"/>
    <w:rsid w:val="007C22D1"/>
    <w:rsid w:val="007C22EA"/>
    <w:rsid w:val="007C2340"/>
    <w:rsid w:val="007C24F4"/>
    <w:rsid w:val="007C26E7"/>
    <w:rsid w:val="007C27B2"/>
    <w:rsid w:val="007C28DB"/>
    <w:rsid w:val="007C290B"/>
    <w:rsid w:val="007C2910"/>
    <w:rsid w:val="007C2918"/>
    <w:rsid w:val="007C2919"/>
    <w:rsid w:val="007C2939"/>
    <w:rsid w:val="007C2A16"/>
    <w:rsid w:val="007C2ABA"/>
    <w:rsid w:val="007C2B68"/>
    <w:rsid w:val="007C2DAF"/>
    <w:rsid w:val="007C3034"/>
    <w:rsid w:val="007C3062"/>
    <w:rsid w:val="007C326E"/>
    <w:rsid w:val="007C32D8"/>
    <w:rsid w:val="007C346C"/>
    <w:rsid w:val="007C347A"/>
    <w:rsid w:val="007C384E"/>
    <w:rsid w:val="007C3BCD"/>
    <w:rsid w:val="007C3C12"/>
    <w:rsid w:val="007C3CC5"/>
    <w:rsid w:val="007C3CD0"/>
    <w:rsid w:val="007C3FDC"/>
    <w:rsid w:val="007C4050"/>
    <w:rsid w:val="007C41A1"/>
    <w:rsid w:val="007C4343"/>
    <w:rsid w:val="007C43B3"/>
    <w:rsid w:val="007C44CC"/>
    <w:rsid w:val="007C4529"/>
    <w:rsid w:val="007C4823"/>
    <w:rsid w:val="007C48BA"/>
    <w:rsid w:val="007C4921"/>
    <w:rsid w:val="007C4A56"/>
    <w:rsid w:val="007C4C30"/>
    <w:rsid w:val="007C4DF0"/>
    <w:rsid w:val="007C4E2C"/>
    <w:rsid w:val="007C4EB7"/>
    <w:rsid w:val="007C4EBF"/>
    <w:rsid w:val="007C4F5E"/>
    <w:rsid w:val="007C51AF"/>
    <w:rsid w:val="007C5231"/>
    <w:rsid w:val="007C52A2"/>
    <w:rsid w:val="007C5321"/>
    <w:rsid w:val="007C5441"/>
    <w:rsid w:val="007C5643"/>
    <w:rsid w:val="007C5670"/>
    <w:rsid w:val="007C567E"/>
    <w:rsid w:val="007C5813"/>
    <w:rsid w:val="007C58BC"/>
    <w:rsid w:val="007C5952"/>
    <w:rsid w:val="007C59B2"/>
    <w:rsid w:val="007C5AC6"/>
    <w:rsid w:val="007C5ACD"/>
    <w:rsid w:val="007C5CBE"/>
    <w:rsid w:val="007C5D1B"/>
    <w:rsid w:val="007C5D4B"/>
    <w:rsid w:val="007C5EF2"/>
    <w:rsid w:val="007C6052"/>
    <w:rsid w:val="007C6058"/>
    <w:rsid w:val="007C62AF"/>
    <w:rsid w:val="007C62C3"/>
    <w:rsid w:val="007C62FE"/>
    <w:rsid w:val="007C6321"/>
    <w:rsid w:val="007C63D2"/>
    <w:rsid w:val="007C6409"/>
    <w:rsid w:val="007C659E"/>
    <w:rsid w:val="007C663F"/>
    <w:rsid w:val="007C6775"/>
    <w:rsid w:val="007C68CA"/>
    <w:rsid w:val="007C68D3"/>
    <w:rsid w:val="007C69FF"/>
    <w:rsid w:val="007C6A94"/>
    <w:rsid w:val="007C6AA9"/>
    <w:rsid w:val="007C6BA5"/>
    <w:rsid w:val="007C6BB5"/>
    <w:rsid w:val="007C6BBF"/>
    <w:rsid w:val="007C6C1B"/>
    <w:rsid w:val="007C6CB7"/>
    <w:rsid w:val="007C6CBA"/>
    <w:rsid w:val="007C6D3F"/>
    <w:rsid w:val="007C6D75"/>
    <w:rsid w:val="007C6DAD"/>
    <w:rsid w:val="007C6F83"/>
    <w:rsid w:val="007C6FCE"/>
    <w:rsid w:val="007C7158"/>
    <w:rsid w:val="007C7240"/>
    <w:rsid w:val="007C75A1"/>
    <w:rsid w:val="007C7622"/>
    <w:rsid w:val="007C7687"/>
    <w:rsid w:val="007C7872"/>
    <w:rsid w:val="007C797B"/>
    <w:rsid w:val="007C7C1B"/>
    <w:rsid w:val="007C7D07"/>
    <w:rsid w:val="007C7DA0"/>
    <w:rsid w:val="007C7DD2"/>
    <w:rsid w:val="007D0024"/>
    <w:rsid w:val="007D008F"/>
    <w:rsid w:val="007D016C"/>
    <w:rsid w:val="007D01E4"/>
    <w:rsid w:val="007D0231"/>
    <w:rsid w:val="007D0310"/>
    <w:rsid w:val="007D03B2"/>
    <w:rsid w:val="007D03DF"/>
    <w:rsid w:val="007D04DF"/>
    <w:rsid w:val="007D065C"/>
    <w:rsid w:val="007D069C"/>
    <w:rsid w:val="007D0743"/>
    <w:rsid w:val="007D0AC4"/>
    <w:rsid w:val="007D0AD4"/>
    <w:rsid w:val="007D0C24"/>
    <w:rsid w:val="007D0C41"/>
    <w:rsid w:val="007D0CA3"/>
    <w:rsid w:val="007D0D02"/>
    <w:rsid w:val="007D0D67"/>
    <w:rsid w:val="007D0D95"/>
    <w:rsid w:val="007D0F4F"/>
    <w:rsid w:val="007D10F5"/>
    <w:rsid w:val="007D114C"/>
    <w:rsid w:val="007D11D9"/>
    <w:rsid w:val="007D11DA"/>
    <w:rsid w:val="007D1392"/>
    <w:rsid w:val="007D139D"/>
    <w:rsid w:val="007D1455"/>
    <w:rsid w:val="007D1489"/>
    <w:rsid w:val="007D1528"/>
    <w:rsid w:val="007D1725"/>
    <w:rsid w:val="007D17E6"/>
    <w:rsid w:val="007D1915"/>
    <w:rsid w:val="007D1931"/>
    <w:rsid w:val="007D199E"/>
    <w:rsid w:val="007D19A6"/>
    <w:rsid w:val="007D1A35"/>
    <w:rsid w:val="007D1A8C"/>
    <w:rsid w:val="007D1B32"/>
    <w:rsid w:val="007D1BF4"/>
    <w:rsid w:val="007D1D03"/>
    <w:rsid w:val="007D1D77"/>
    <w:rsid w:val="007D1E9F"/>
    <w:rsid w:val="007D1EFA"/>
    <w:rsid w:val="007D2169"/>
    <w:rsid w:val="007D216D"/>
    <w:rsid w:val="007D22A9"/>
    <w:rsid w:val="007D22ED"/>
    <w:rsid w:val="007D2350"/>
    <w:rsid w:val="007D24E5"/>
    <w:rsid w:val="007D27F5"/>
    <w:rsid w:val="007D2A14"/>
    <w:rsid w:val="007D2A2A"/>
    <w:rsid w:val="007D2A58"/>
    <w:rsid w:val="007D2ADE"/>
    <w:rsid w:val="007D2B1C"/>
    <w:rsid w:val="007D2CEE"/>
    <w:rsid w:val="007D2D9F"/>
    <w:rsid w:val="007D2E1D"/>
    <w:rsid w:val="007D2E5A"/>
    <w:rsid w:val="007D2F3C"/>
    <w:rsid w:val="007D3030"/>
    <w:rsid w:val="007D316F"/>
    <w:rsid w:val="007D31CB"/>
    <w:rsid w:val="007D31FF"/>
    <w:rsid w:val="007D3217"/>
    <w:rsid w:val="007D32F6"/>
    <w:rsid w:val="007D3331"/>
    <w:rsid w:val="007D33DB"/>
    <w:rsid w:val="007D348C"/>
    <w:rsid w:val="007D3700"/>
    <w:rsid w:val="007D371E"/>
    <w:rsid w:val="007D3778"/>
    <w:rsid w:val="007D377B"/>
    <w:rsid w:val="007D39D1"/>
    <w:rsid w:val="007D3A6D"/>
    <w:rsid w:val="007D3A8A"/>
    <w:rsid w:val="007D3B6A"/>
    <w:rsid w:val="007D3C2F"/>
    <w:rsid w:val="007D3C89"/>
    <w:rsid w:val="007D3CD4"/>
    <w:rsid w:val="007D3D18"/>
    <w:rsid w:val="007D3D29"/>
    <w:rsid w:val="007D3F9E"/>
    <w:rsid w:val="007D40B0"/>
    <w:rsid w:val="007D4108"/>
    <w:rsid w:val="007D4145"/>
    <w:rsid w:val="007D4197"/>
    <w:rsid w:val="007D4266"/>
    <w:rsid w:val="007D4345"/>
    <w:rsid w:val="007D43C6"/>
    <w:rsid w:val="007D4476"/>
    <w:rsid w:val="007D4545"/>
    <w:rsid w:val="007D4588"/>
    <w:rsid w:val="007D45D6"/>
    <w:rsid w:val="007D462F"/>
    <w:rsid w:val="007D4698"/>
    <w:rsid w:val="007D46B2"/>
    <w:rsid w:val="007D46E8"/>
    <w:rsid w:val="007D470B"/>
    <w:rsid w:val="007D4749"/>
    <w:rsid w:val="007D478D"/>
    <w:rsid w:val="007D479A"/>
    <w:rsid w:val="007D4A1E"/>
    <w:rsid w:val="007D4AE7"/>
    <w:rsid w:val="007D4C50"/>
    <w:rsid w:val="007D4D5E"/>
    <w:rsid w:val="007D4D79"/>
    <w:rsid w:val="007D4E5D"/>
    <w:rsid w:val="007D508E"/>
    <w:rsid w:val="007D5271"/>
    <w:rsid w:val="007D536B"/>
    <w:rsid w:val="007D5396"/>
    <w:rsid w:val="007D5414"/>
    <w:rsid w:val="007D54AA"/>
    <w:rsid w:val="007D5562"/>
    <w:rsid w:val="007D5658"/>
    <w:rsid w:val="007D58CF"/>
    <w:rsid w:val="007D5AEB"/>
    <w:rsid w:val="007D5B9F"/>
    <w:rsid w:val="007D5BD6"/>
    <w:rsid w:val="007D5C67"/>
    <w:rsid w:val="007D5CA0"/>
    <w:rsid w:val="007D5DFB"/>
    <w:rsid w:val="007D5EE8"/>
    <w:rsid w:val="007D5F51"/>
    <w:rsid w:val="007D6008"/>
    <w:rsid w:val="007D60F2"/>
    <w:rsid w:val="007D614A"/>
    <w:rsid w:val="007D6177"/>
    <w:rsid w:val="007D6197"/>
    <w:rsid w:val="007D6247"/>
    <w:rsid w:val="007D6287"/>
    <w:rsid w:val="007D6349"/>
    <w:rsid w:val="007D6412"/>
    <w:rsid w:val="007D644B"/>
    <w:rsid w:val="007D65C9"/>
    <w:rsid w:val="007D6662"/>
    <w:rsid w:val="007D68C3"/>
    <w:rsid w:val="007D696B"/>
    <w:rsid w:val="007D6A06"/>
    <w:rsid w:val="007D6A27"/>
    <w:rsid w:val="007D6A48"/>
    <w:rsid w:val="007D6AC3"/>
    <w:rsid w:val="007D6AD6"/>
    <w:rsid w:val="007D6B86"/>
    <w:rsid w:val="007D6CCC"/>
    <w:rsid w:val="007D6D27"/>
    <w:rsid w:val="007D6DB5"/>
    <w:rsid w:val="007D6E14"/>
    <w:rsid w:val="007D6EE9"/>
    <w:rsid w:val="007D6EF0"/>
    <w:rsid w:val="007D6FB0"/>
    <w:rsid w:val="007D7044"/>
    <w:rsid w:val="007D7060"/>
    <w:rsid w:val="007D7226"/>
    <w:rsid w:val="007D729C"/>
    <w:rsid w:val="007D7304"/>
    <w:rsid w:val="007D7393"/>
    <w:rsid w:val="007D73D7"/>
    <w:rsid w:val="007D7490"/>
    <w:rsid w:val="007D74B2"/>
    <w:rsid w:val="007D74D5"/>
    <w:rsid w:val="007D7528"/>
    <w:rsid w:val="007D766F"/>
    <w:rsid w:val="007D76CA"/>
    <w:rsid w:val="007D774A"/>
    <w:rsid w:val="007D797A"/>
    <w:rsid w:val="007D79F2"/>
    <w:rsid w:val="007D7A5E"/>
    <w:rsid w:val="007D7B05"/>
    <w:rsid w:val="007D7B79"/>
    <w:rsid w:val="007D7D3C"/>
    <w:rsid w:val="007D7E13"/>
    <w:rsid w:val="007D7E47"/>
    <w:rsid w:val="007D7FC0"/>
    <w:rsid w:val="007E02A1"/>
    <w:rsid w:val="007E032A"/>
    <w:rsid w:val="007E03F1"/>
    <w:rsid w:val="007E040C"/>
    <w:rsid w:val="007E0566"/>
    <w:rsid w:val="007E07E8"/>
    <w:rsid w:val="007E0960"/>
    <w:rsid w:val="007E09D1"/>
    <w:rsid w:val="007E0B91"/>
    <w:rsid w:val="007E0C17"/>
    <w:rsid w:val="007E0CA0"/>
    <w:rsid w:val="007E0D4E"/>
    <w:rsid w:val="007E0D53"/>
    <w:rsid w:val="007E0E47"/>
    <w:rsid w:val="007E0F98"/>
    <w:rsid w:val="007E10C3"/>
    <w:rsid w:val="007E1130"/>
    <w:rsid w:val="007E1152"/>
    <w:rsid w:val="007E128A"/>
    <w:rsid w:val="007E12F0"/>
    <w:rsid w:val="007E133D"/>
    <w:rsid w:val="007E1368"/>
    <w:rsid w:val="007E1599"/>
    <w:rsid w:val="007E1699"/>
    <w:rsid w:val="007E1949"/>
    <w:rsid w:val="007E19AF"/>
    <w:rsid w:val="007E1F2D"/>
    <w:rsid w:val="007E1F92"/>
    <w:rsid w:val="007E21EB"/>
    <w:rsid w:val="007E2206"/>
    <w:rsid w:val="007E2398"/>
    <w:rsid w:val="007E23FB"/>
    <w:rsid w:val="007E242D"/>
    <w:rsid w:val="007E25CA"/>
    <w:rsid w:val="007E2797"/>
    <w:rsid w:val="007E27B3"/>
    <w:rsid w:val="007E27DA"/>
    <w:rsid w:val="007E2826"/>
    <w:rsid w:val="007E28AE"/>
    <w:rsid w:val="007E28DF"/>
    <w:rsid w:val="007E2A11"/>
    <w:rsid w:val="007E2BFA"/>
    <w:rsid w:val="007E2C15"/>
    <w:rsid w:val="007E2C6A"/>
    <w:rsid w:val="007E2EFC"/>
    <w:rsid w:val="007E2F1B"/>
    <w:rsid w:val="007E2F5D"/>
    <w:rsid w:val="007E31AE"/>
    <w:rsid w:val="007E322A"/>
    <w:rsid w:val="007E3421"/>
    <w:rsid w:val="007E34B9"/>
    <w:rsid w:val="007E34E5"/>
    <w:rsid w:val="007E35CA"/>
    <w:rsid w:val="007E3663"/>
    <w:rsid w:val="007E3683"/>
    <w:rsid w:val="007E3726"/>
    <w:rsid w:val="007E3766"/>
    <w:rsid w:val="007E38F5"/>
    <w:rsid w:val="007E38F8"/>
    <w:rsid w:val="007E3974"/>
    <w:rsid w:val="007E3A12"/>
    <w:rsid w:val="007E3AF5"/>
    <w:rsid w:val="007E3B9D"/>
    <w:rsid w:val="007E3BAB"/>
    <w:rsid w:val="007E3CB4"/>
    <w:rsid w:val="007E3D84"/>
    <w:rsid w:val="007E3F8F"/>
    <w:rsid w:val="007E3FCF"/>
    <w:rsid w:val="007E4049"/>
    <w:rsid w:val="007E4086"/>
    <w:rsid w:val="007E40FE"/>
    <w:rsid w:val="007E4154"/>
    <w:rsid w:val="007E4240"/>
    <w:rsid w:val="007E4264"/>
    <w:rsid w:val="007E42B2"/>
    <w:rsid w:val="007E4470"/>
    <w:rsid w:val="007E4589"/>
    <w:rsid w:val="007E4861"/>
    <w:rsid w:val="007E48F2"/>
    <w:rsid w:val="007E491C"/>
    <w:rsid w:val="007E49D3"/>
    <w:rsid w:val="007E4AF5"/>
    <w:rsid w:val="007E4AF8"/>
    <w:rsid w:val="007E4DF5"/>
    <w:rsid w:val="007E4DFB"/>
    <w:rsid w:val="007E4F32"/>
    <w:rsid w:val="007E4FAB"/>
    <w:rsid w:val="007E4FDD"/>
    <w:rsid w:val="007E504D"/>
    <w:rsid w:val="007E51A7"/>
    <w:rsid w:val="007E5260"/>
    <w:rsid w:val="007E54D7"/>
    <w:rsid w:val="007E5554"/>
    <w:rsid w:val="007E5570"/>
    <w:rsid w:val="007E557B"/>
    <w:rsid w:val="007E5588"/>
    <w:rsid w:val="007E55F4"/>
    <w:rsid w:val="007E55FA"/>
    <w:rsid w:val="007E560E"/>
    <w:rsid w:val="007E58FB"/>
    <w:rsid w:val="007E5B16"/>
    <w:rsid w:val="007E5B48"/>
    <w:rsid w:val="007E5D73"/>
    <w:rsid w:val="007E5EAF"/>
    <w:rsid w:val="007E60EF"/>
    <w:rsid w:val="007E612D"/>
    <w:rsid w:val="007E617F"/>
    <w:rsid w:val="007E6194"/>
    <w:rsid w:val="007E647B"/>
    <w:rsid w:val="007E649E"/>
    <w:rsid w:val="007E6753"/>
    <w:rsid w:val="007E679E"/>
    <w:rsid w:val="007E6858"/>
    <w:rsid w:val="007E68B6"/>
    <w:rsid w:val="007E68C5"/>
    <w:rsid w:val="007E695A"/>
    <w:rsid w:val="007E697D"/>
    <w:rsid w:val="007E6A63"/>
    <w:rsid w:val="007E6B18"/>
    <w:rsid w:val="007E6B1A"/>
    <w:rsid w:val="007E6C6C"/>
    <w:rsid w:val="007E6D05"/>
    <w:rsid w:val="007E6E8F"/>
    <w:rsid w:val="007E6F10"/>
    <w:rsid w:val="007E6F9A"/>
    <w:rsid w:val="007E6FD1"/>
    <w:rsid w:val="007E70EF"/>
    <w:rsid w:val="007E714C"/>
    <w:rsid w:val="007E722D"/>
    <w:rsid w:val="007E72AD"/>
    <w:rsid w:val="007E72C0"/>
    <w:rsid w:val="007E730E"/>
    <w:rsid w:val="007E738E"/>
    <w:rsid w:val="007E73DD"/>
    <w:rsid w:val="007E73DF"/>
    <w:rsid w:val="007E7467"/>
    <w:rsid w:val="007E748F"/>
    <w:rsid w:val="007E7495"/>
    <w:rsid w:val="007E76AF"/>
    <w:rsid w:val="007E76F5"/>
    <w:rsid w:val="007E77FE"/>
    <w:rsid w:val="007E7883"/>
    <w:rsid w:val="007E78F5"/>
    <w:rsid w:val="007E7907"/>
    <w:rsid w:val="007E7ADD"/>
    <w:rsid w:val="007E7CF5"/>
    <w:rsid w:val="007F00A6"/>
    <w:rsid w:val="007F0199"/>
    <w:rsid w:val="007F0572"/>
    <w:rsid w:val="007F06CC"/>
    <w:rsid w:val="007F06DA"/>
    <w:rsid w:val="007F0B76"/>
    <w:rsid w:val="007F0B88"/>
    <w:rsid w:val="007F0C4B"/>
    <w:rsid w:val="007F0D25"/>
    <w:rsid w:val="007F0E78"/>
    <w:rsid w:val="007F0EBE"/>
    <w:rsid w:val="007F0F76"/>
    <w:rsid w:val="007F0FAD"/>
    <w:rsid w:val="007F1015"/>
    <w:rsid w:val="007F1036"/>
    <w:rsid w:val="007F10D7"/>
    <w:rsid w:val="007F10EB"/>
    <w:rsid w:val="007F1128"/>
    <w:rsid w:val="007F11C0"/>
    <w:rsid w:val="007F11E9"/>
    <w:rsid w:val="007F15DC"/>
    <w:rsid w:val="007F167C"/>
    <w:rsid w:val="007F16D2"/>
    <w:rsid w:val="007F175D"/>
    <w:rsid w:val="007F186E"/>
    <w:rsid w:val="007F18E7"/>
    <w:rsid w:val="007F19AF"/>
    <w:rsid w:val="007F19E0"/>
    <w:rsid w:val="007F19F0"/>
    <w:rsid w:val="007F1A8B"/>
    <w:rsid w:val="007F1B7B"/>
    <w:rsid w:val="007F1BCB"/>
    <w:rsid w:val="007F1BE9"/>
    <w:rsid w:val="007F1C87"/>
    <w:rsid w:val="007F1CF8"/>
    <w:rsid w:val="007F1D1D"/>
    <w:rsid w:val="007F1E00"/>
    <w:rsid w:val="007F1EA9"/>
    <w:rsid w:val="007F1F75"/>
    <w:rsid w:val="007F1F8C"/>
    <w:rsid w:val="007F2051"/>
    <w:rsid w:val="007F213F"/>
    <w:rsid w:val="007F223C"/>
    <w:rsid w:val="007F2264"/>
    <w:rsid w:val="007F231E"/>
    <w:rsid w:val="007F2585"/>
    <w:rsid w:val="007F2588"/>
    <w:rsid w:val="007F264A"/>
    <w:rsid w:val="007F2659"/>
    <w:rsid w:val="007F282D"/>
    <w:rsid w:val="007F28D7"/>
    <w:rsid w:val="007F294D"/>
    <w:rsid w:val="007F29A3"/>
    <w:rsid w:val="007F2B22"/>
    <w:rsid w:val="007F2E4F"/>
    <w:rsid w:val="007F2ED3"/>
    <w:rsid w:val="007F2EF2"/>
    <w:rsid w:val="007F2F9E"/>
    <w:rsid w:val="007F3023"/>
    <w:rsid w:val="007F3058"/>
    <w:rsid w:val="007F310A"/>
    <w:rsid w:val="007F3173"/>
    <w:rsid w:val="007F3253"/>
    <w:rsid w:val="007F325C"/>
    <w:rsid w:val="007F33EF"/>
    <w:rsid w:val="007F3865"/>
    <w:rsid w:val="007F3879"/>
    <w:rsid w:val="007F3A89"/>
    <w:rsid w:val="007F3AE3"/>
    <w:rsid w:val="007F3B11"/>
    <w:rsid w:val="007F3C8F"/>
    <w:rsid w:val="007F3C90"/>
    <w:rsid w:val="007F3CCA"/>
    <w:rsid w:val="007F3D6A"/>
    <w:rsid w:val="007F3EA5"/>
    <w:rsid w:val="007F3F89"/>
    <w:rsid w:val="007F401F"/>
    <w:rsid w:val="007F40C2"/>
    <w:rsid w:val="007F41AE"/>
    <w:rsid w:val="007F4353"/>
    <w:rsid w:val="007F43FA"/>
    <w:rsid w:val="007F4410"/>
    <w:rsid w:val="007F442B"/>
    <w:rsid w:val="007F44F2"/>
    <w:rsid w:val="007F450E"/>
    <w:rsid w:val="007F4685"/>
    <w:rsid w:val="007F46D3"/>
    <w:rsid w:val="007F4752"/>
    <w:rsid w:val="007F475F"/>
    <w:rsid w:val="007F47DF"/>
    <w:rsid w:val="007F49FD"/>
    <w:rsid w:val="007F4A39"/>
    <w:rsid w:val="007F4B95"/>
    <w:rsid w:val="007F4C01"/>
    <w:rsid w:val="007F4CA2"/>
    <w:rsid w:val="007F4DA7"/>
    <w:rsid w:val="007F4F66"/>
    <w:rsid w:val="007F4F7F"/>
    <w:rsid w:val="007F4F81"/>
    <w:rsid w:val="007F4FB6"/>
    <w:rsid w:val="007F4FF2"/>
    <w:rsid w:val="007F509B"/>
    <w:rsid w:val="007F51C1"/>
    <w:rsid w:val="007F5223"/>
    <w:rsid w:val="007F5242"/>
    <w:rsid w:val="007F5341"/>
    <w:rsid w:val="007F5496"/>
    <w:rsid w:val="007F54C9"/>
    <w:rsid w:val="007F557D"/>
    <w:rsid w:val="007F55A6"/>
    <w:rsid w:val="007F55C7"/>
    <w:rsid w:val="007F5638"/>
    <w:rsid w:val="007F56A1"/>
    <w:rsid w:val="007F5721"/>
    <w:rsid w:val="007F577D"/>
    <w:rsid w:val="007F58EA"/>
    <w:rsid w:val="007F5918"/>
    <w:rsid w:val="007F5A5C"/>
    <w:rsid w:val="007F5B77"/>
    <w:rsid w:val="007F5BDE"/>
    <w:rsid w:val="007F5D8D"/>
    <w:rsid w:val="007F5DB8"/>
    <w:rsid w:val="007F5DC0"/>
    <w:rsid w:val="007F5E41"/>
    <w:rsid w:val="007F5F0F"/>
    <w:rsid w:val="007F5F2E"/>
    <w:rsid w:val="007F5F50"/>
    <w:rsid w:val="007F5FBA"/>
    <w:rsid w:val="007F5FD9"/>
    <w:rsid w:val="007F5FE9"/>
    <w:rsid w:val="007F6001"/>
    <w:rsid w:val="007F606E"/>
    <w:rsid w:val="007F60B6"/>
    <w:rsid w:val="007F611D"/>
    <w:rsid w:val="007F62C9"/>
    <w:rsid w:val="007F637E"/>
    <w:rsid w:val="007F63C0"/>
    <w:rsid w:val="007F657B"/>
    <w:rsid w:val="007F659A"/>
    <w:rsid w:val="007F65E6"/>
    <w:rsid w:val="007F6617"/>
    <w:rsid w:val="007F666A"/>
    <w:rsid w:val="007F669C"/>
    <w:rsid w:val="007F6715"/>
    <w:rsid w:val="007F6794"/>
    <w:rsid w:val="007F67BA"/>
    <w:rsid w:val="007F67F6"/>
    <w:rsid w:val="007F68A1"/>
    <w:rsid w:val="007F68FD"/>
    <w:rsid w:val="007F6A3E"/>
    <w:rsid w:val="007F6A9F"/>
    <w:rsid w:val="007F6AC9"/>
    <w:rsid w:val="007F6B4B"/>
    <w:rsid w:val="007F6C0B"/>
    <w:rsid w:val="007F6C2F"/>
    <w:rsid w:val="007F6CB4"/>
    <w:rsid w:val="007F6DBD"/>
    <w:rsid w:val="007F6F32"/>
    <w:rsid w:val="007F7098"/>
    <w:rsid w:val="007F7138"/>
    <w:rsid w:val="007F7292"/>
    <w:rsid w:val="007F7324"/>
    <w:rsid w:val="007F7391"/>
    <w:rsid w:val="007F7497"/>
    <w:rsid w:val="007F764F"/>
    <w:rsid w:val="007F77B4"/>
    <w:rsid w:val="007F77FB"/>
    <w:rsid w:val="007F7868"/>
    <w:rsid w:val="007F788A"/>
    <w:rsid w:val="007F796E"/>
    <w:rsid w:val="007F7A21"/>
    <w:rsid w:val="007F7C9F"/>
    <w:rsid w:val="007F7DCE"/>
    <w:rsid w:val="007F7E10"/>
    <w:rsid w:val="007F7EE5"/>
    <w:rsid w:val="008000F1"/>
    <w:rsid w:val="00800180"/>
    <w:rsid w:val="0080022C"/>
    <w:rsid w:val="00800246"/>
    <w:rsid w:val="0080024F"/>
    <w:rsid w:val="008002E0"/>
    <w:rsid w:val="00800430"/>
    <w:rsid w:val="008006A0"/>
    <w:rsid w:val="008006F4"/>
    <w:rsid w:val="0080095D"/>
    <w:rsid w:val="00800A18"/>
    <w:rsid w:val="00800B85"/>
    <w:rsid w:val="00800BF9"/>
    <w:rsid w:val="00800EB6"/>
    <w:rsid w:val="00801020"/>
    <w:rsid w:val="008010C8"/>
    <w:rsid w:val="00801176"/>
    <w:rsid w:val="00801204"/>
    <w:rsid w:val="008012A0"/>
    <w:rsid w:val="008013BF"/>
    <w:rsid w:val="008013CC"/>
    <w:rsid w:val="0080144F"/>
    <w:rsid w:val="008014AE"/>
    <w:rsid w:val="00801548"/>
    <w:rsid w:val="008015C2"/>
    <w:rsid w:val="008017A2"/>
    <w:rsid w:val="00801A40"/>
    <w:rsid w:val="00801B56"/>
    <w:rsid w:val="00801C3C"/>
    <w:rsid w:val="00801C43"/>
    <w:rsid w:val="00801CE8"/>
    <w:rsid w:val="00801D01"/>
    <w:rsid w:val="00801D41"/>
    <w:rsid w:val="00801E37"/>
    <w:rsid w:val="00801ED6"/>
    <w:rsid w:val="00801F58"/>
    <w:rsid w:val="00801F73"/>
    <w:rsid w:val="00801FC7"/>
    <w:rsid w:val="00802099"/>
    <w:rsid w:val="00802120"/>
    <w:rsid w:val="008021E1"/>
    <w:rsid w:val="00802228"/>
    <w:rsid w:val="008022C0"/>
    <w:rsid w:val="0080248E"/>
    <w:rsid w:val="008024B6"/>
    <w:rsid w:val="0080259E"/>
    <w:rsid w:val="00802618"/>
    <w:rsid w:val="00802785"/>
    <w:rsid w:val="00802812"/>
    <w:rsid w:val="00802854"/>
    <w:rsid w:val="008028A6"/>
    <w:rsid w:val="008029AE"/>
    <w:rsid w:val="008029C5"/>
    <w:rsid w:val="008029EC"/>
    <w:rsid w:val="00802A5D"/>
    <w:rsid w:val="00802AEB"/>
    <w:rsid w:val="00802BDC"/>
    <w:rsid w:val="00802D90"/>
    <w:rsid w:val="00802DBC"/>
    <w:rsid w:val="00802DE3"/>
    <w:rsid w:val="0080308F"/>
    <w:rsid w:val="00803169"/>
    <w:rsid w:val="0080324F"/>
    <w:rsid w:val="00803310"/>
    <w:rsid w:val="0080339B"/>
    <w:rsid w:val="00803434"/>
    <w:rsid w:val="00803475"/>
    <w:rsid w:val="008034C4"/>
    <w:rsid w:val="008035C2"/>
    <w:rsid w:val="008036D5"/>
    <w:rsid w:val="00803725"/>
    <w:rsid w:val="00803754"/>
    <w:rsid w:val="008037A2"/>
    <w:rsid w:val="0080380D"/>
    <w:rsid w:val="0080386E"/>
    <w:rsid w:val="00803D26"/>
    <w:rsid w:val="00803E8A"/>
    <w:rsid w:val="00803F31"/>
    <w:rsid w:val="00803F32"/>
    <w:rsid w:val="0080414C"/>
    <w:rsid w:val="008041F1"/>
    <w:rsid w:val="00804221"/>
    <w:rsid w:val="00804293"/>
    <w:rsid w:val="00804344"/>
    <w:rsid w:val="008043FD"/>
    <w:rsid w:val="00804441"/>
    <w:rsid w:val="00804557"/>
    <w:rsid w:val="008046EF"/>
    <w:rsid w:val="00804935"/>
    <w:rsid w:val="00804990"/>
    <w:rsid w:val="00804A11"/>
    <w:rsid w:val="00804A64"/>
    <w:rsid w:val="00804AA0"/>
    <w:rsid w:val="00804BCD"/>
    <w:rsid w:val="00804C29"/>
    <w:rsid w:val="00804D81"/>
    <w:rsid w:val="00804DAC"/>
    <w:rsid w:val="00804F38"/>
    <w:rsid w:val="00804F77"/>
    <w:rsid w:val="00805025"/>
    <w:rsid w:val="00805110"/>
    <w:rsid w:val="00805164"/>
    <w:rsid w:val="00805190"/>
    <w:rsid w:val="00805217"/>
    <w:rsid w:val="008053BC"/>
    <w:rsid w:val="00805532"/>
    <w:rsid w:val="0080558A"/>
    <w:rsid w:val="008056E8"/>
    <w:rsid w:val="00805742"/>
    <w:rsid w:val="008057E7"/>
    <w:rsid w:val="0080580F"/>
    <w:rsid w:val="0080585F"/>
    <w:rsid w:val="00805A4B"/>
    <w:rsid w:val="00805B11"/>
    <w:rsid w:val="00805B75"/>
    <w:rsid w:val="00805B99"/>
    <w:rsid w:val="00805C12"/>
    <w:rsid w:val="00805CA9"/>
    <w:rsid w:val="00805D45"/>
    <w:rsid w:val="00805DC0"/>
    <w:rsid w:val="00805E5D"/>
    <w:rsid w:val="00805FAA"/>
    <w:rsid w:val="00805FB5"/>
    <w:rsid w:val="00806056"/>
    <w:rsid w:val="008060EA"/>
    <w:rsid w:val="0080612D"/>
    <w:rsid w:val="00806132"/>
    <w:rsid w:val="0080618A"/>
    <w:rsid w:val="0080620B"/>
    <w:rsid w:val="008063CC"/>
    <w:rsid w:val="00806426"/>
    <w:rsid w:val="008064C0"/>
    <w:rsid w:val="00806500"/>
    <w:rsid w:val="008065F8"/>
    <w:rsid w:val="0080672F"/>
    <w:rsid w:val="008067A0"/>
    <w:rsid w:val="008068DA"/>
    <w:rsid w:val="008069A7"/>
    <w:rsid w:val="00806A40"/>
    <w:rsid w:val="00806B1C"/>
    <w:rsid w:val="00806B2B"/>
    <w:rsid w:val="00806B63"/>
    <w:rsid w:val="00806B6E"/>
    <w:rsid w:val="00806C33"/>
    <w:rsid w:val="00806D9C"/>
    <w:rsid w:val="00806E19"/>
    <w:rsid w:val="00806E1C"/>
    <w:rsid w:val="00806E98"/>
    <w:rsid w:val="0080705E"/>
    <w:rsid w:val="00807181"/>
    <w:rsid w:val="0080750D"/>
    <w:rsid w:val="008075F2"/>
    <w:rsid w:val="00807957"/>
    <w:rsid w:val="008079F6"/>
    <w:rsid w:val="00807A15"/>
    <w:rsid w:val="00807AD1"/>
    <w:rsid w:val="00807BA4"/>
    <w:rsid w:val="00807C5A"/>
    <w:rsid w:val="00807DC5"/>
    <w:rsid w:val="00807EE3"/>
    <w:rsid w:val="00807FDE"/>
    <w:rsid w:val="00810015"/>
    <w:rsid w:val="0081012F"/>
    <w:rsid w:val="008101A3"/>
    <w:rsid w:val="008101FA"/>
    <w:rsid w:val="00810259"/>
    <w:rsid w:val="00810376"/>
    <w:rsid w:val="0081050F"/>
    <w:rsid w:val="00810617"/>
    <w:rsid w:val="00810688"/>
    <w:rsid w:val="008108A0"/>
    <w:rsid w:val="008108D6"/>
    <w:rsid w:val="00810915"/>
    <w:rsid w:val="00810AED"/>
    <w:rsid w:val="00810B37"/>
    <w:rsid w:val="00810CA7"/>
    <w:rsid w:val="00810D2D"/>
    <w:rsid w:val="00810DDE"/>
    <w:rsid w:val="00810E1A"/>
    <w:rsid w:val="00810FF3"/>
    <w:rsid w:val="00811033"/>
    <w:rsid w:val="0081103A"/>
    <w:rsid w:val="0081106B"/>
    <w:rsid w:val="0081118A"/>
    <w:rsid w:val="00811352"/>
    <w:rsid w:val="0081142B"/>
    <w:rsid w:val="00811471"/>
    <w:rsid w:val="008115A5"/>
    <w:rsid w:val="0081170A"/>
    <w:rsid w:val="00811844"/>
    <w:rsid w:val="00811984"/>
    <w:rsid w:val="00811B9D"/>
    <w:rsid w:val="00811D2F"/>
    <w:rsid w:val="00811D47"/>
    <w:rsid w:val="00811D6B"/>
    <w:rsid w:val="00812147"/>
    <w:rsid w:val="0081214E"/>
    <w:rsid w:val="008121D1"/>
    <w:rsid w:val="008123CD"/>
    <w:rsid w:val="0081241B"/>
    <w:rsid w:val="00812499"/>
    <w:rsid w:val="008124BF"/>
    <w:rsid w:val="008124D3"/>
    <w:rsid w:val="0081296D"/>
    <w:rsid w:val="00812BCA"/>
    <w:rsid w:val="00812BDB"/>
    <w:rsid w:val="00812C8E"/>
    <w:rsid w:val="00812FE0"/>
    <w:rsid w:val="0081303F"/>
    <w:rsid w:val="00813088"/>
    <w:rsid w:val="00813176"/>
    <w:rsid w:val="0081317D"/>
    <w:rsid w:val="008132E4"/>
    <w:rsid w:val="008132F4"/>
    <w:rsid w:val="008133FD"/>
    <w:rsid w:val="008134AC"/>
    <w:rsid w:val="008134BA"/>
    <w:rsid w:val="008136EA"/>
    <w:rsid w:val="008136F4"/>
    <w:rsid w:val="00813790"/>
    <w:rsid w:val="0081383F"/>
    <w:rsid w:val="0081396E"/>
    <w:rsid w:val="008139C5"/>
    <w:rsid w:val="00813B4B"/>
    <w:rsid w:val="00813B90"/>
    <w:rsid w:val="00813BE3"/>
    <w:rsid w:val="00813C35"/>
    <w:rsid w:val="00813C52"/>
    <w:rsid w:val="00813C8B"/>
    <w:rsid w:val="0081401B"/>
    <w:rsid w:val="0081410B"/>
    <w:rsid w:val="00814233"/>
    <w:rsid w:val="00814315"/>
    <w:rsid w:val="00814447"/>
    <w:rsid w:val="008144E3"/>
    <w:rsid w:val="00814578"/>
    <w:rsid w:val="00814579"/>
    <w:rsid w:val="008145D7"/>
    <w:rsid w:val="0081463A"/>
    <w:rsid w:val="00814687"/>
    <w:rsid w:val="008146C1"/>
    <w:rsid w:val="008147EA"/>
    <w:rsid w:val="0081485F"/>
    <w:rsid w:val="0081491F"/>
    <w:rsid w:val="00814AEB"/>
    <w:rsid w:val="00814B04"/>
    <w:rsid w:val="00814C0D"/>
    <w:rsid w:val="00814D79"/>
    <w:rsid w:val="00814D92"/>
    <w:rsid w:val="00814DFF"/>
    <w:rsid w:val="00814E99"/>
    <w:rsid w:val="00814F43"/>
    <w:rsid w:val="00814F97"/>
    <w:rsid w:val="00815085"/>
    <w:rsid w:val="008151BC"/>
    <w:rsid w:val="008152A2"/>
    <w:rsid w:val="008152A8"/>
    <w:rsid w:val="00815447"/>
    <w:rsid w:val="00815458"/>
    <w:rsid w:val="008154B4"/>
    <w:rsid w:val="00815698"/>
    <w:rsid w:val="0081574E"/>
    <w:rsid w:val="008157B3"/>
    <w:rsid w:val="00815844"/>
    <w:rsid w:val="00815904"/>
    <w:rsid w:val="00815B8F"/>
    <w:rsid w:val="00815BC9"/>
    <w:rsid w:val="00815CC8"/>
    <w:rsid w:val="00815DB6"/>
    <w:rsid w:val="00815E7B"/>
    <w:rsid w:val="00815F2D"/>
    <w:rsid w:val="0081601F"/>
    <w:rsid w:val="00816089"/>
    <w:rsid w:val="00816294"/>
    <w:rsid w:val="008162BC"/>
    <w:rsid w:val="0081638F"/>
    <w:rsid w:val="00816398"/>
    <w:rsid w:val="00816480"/>
    <w:rsid w:val="00816483"/>
    <w:rsid w:val="0081675C"/>
    <w:rsid w:val="00816B7F"/>
    <w:rsid w:val="00816C73"/>
    <w:rsid w:val="00816C87"/>
    <w:rsid w:val="00816D6C"/>
    <w:rsid w:val="00816DBA"/>
    <w:rsid w:val="00816E36"/>
    <w:rsid w:val="00816F26"/>
    <w:rsid w:val="00816FA7"/>
    <w:rsid w:val="0081700F"/>
    <w:rsid w:val="00817029"/>
    <w:rsid w:val="008171BA"/>
    <w:rsid w:val="008173AB"/>
    <w:rsid w:val="00817506"/>
    <w:rsid w:val="0081772F"/>
    <w:rsid w:val="0081774E"/>
    <w:rsid w:val="00817760"/>
    <w:rsid w:val="008177D1"/>
    <w:rsid w:val="0081796A"/>
    <w:rsid w:val="008179AF"/>
    <w:rsid w:val="008179FF"/>
    <w:rsid w:val="00817B12"/>
    <w:rsid w:val="00817BF8"/>
    <w:rsid w:val="00817C65"/>
    <w:rsid w:val="00817DA6"/>
    <w:rsid w:val="00817DBB"/>
    <w:rsid w:val="00817EE5"/>
    <w:rsid w:val="00820039"/>
    <w:rsid w:val="00820181"/>
    <w:rsid w:val="0082023B"/>
    <w:rsid w:val="008203F7"/>
    <w:rsid w:val="00820402"/>
    <w:rsid w:val="0082049D"/>
    <w:rsid w:val="00820556"/>
    <w:rsid w:val="00820677"/>
    <w:rsid w:val="00820825"/>
    <w:rsid w:val="00820AA0"/>
    <w:rsid w:val="00820AA2"/>
    <w:rsid w:val="00820ADF"/>
    <w:rsid w:val="00820AF4"/>
    <w:rsid w:val="00820E8F"/>
    <w:rsid w:val="00820F08"/>
    <w:rsid w:val="0082105B"/>
    <w:rsid w:val="00821190"/>
    <w:rsid w:val="008211DD"/>
    <w:rsid w:val="008215A1"/>
    <w:rsid w:val="008215D8"/>
    <w:rsid w:val="00821648"/>
    <w:rsid w:val="00821723"/>
    <w:rsid w:val="0082186B"/>
    <w:rsid w:val="00821870"/>
    <w:rsid w:val="00821923"/>
    <w:rsid w:val="0082195E"/>
    <w:rsid w:val="00821A11"/>
    <w:rsid w:val="00821A76"/>
    <w:rsid w:val="00821A8C"/>
    <w:rsid w:val="00821AEA"/>
    <w:rsid w:val="00821B62"/>
    <w:rsid w:val="00821B64"/>
    <w:rsid w:val="00821B84"/>
    <w:rsid w:val="00821C83"/>
    <w:rsid w:val="00821C9D"/>
    <w:rsid w:val="00821D15"/>
    <w:rsid w:val="00821EDC"/>
    <w:rsid w:val="00821F0E"/>
    <w:rsid w:val="00821F80"/>
    <w:rsid w:val="00822108"/>
    <w:rsid w:val="00822340"/>
    <w:rsid w:val="00822357"/>
    <w:rsid w:val="00822386"/>
    <w:rsid w:val="00822409"/>
    <w:rsid w:val="008227C4"/>
    <w:rsid w:val="00822A92"/>
    <w:rsid w:val="00822B21"/>
    <w:rsid w:val="00822DF8"/>
    <w:rsid w:val="00822E6A"/>
    <w:rsid w:val="00822FEB"/>
    <w:rsid w:val="00822FFC"/>
    <w:rsid w:val="00823030"/>
    <w:rsid w:val="00823143"/>
    <w:rsid w:val="008231C8"/>
    <w:rsid w:val="0082321C"/>
    <w:rsid w:val="008232A6"/>
    <w:rsid w:val="008232D8"/>
    <w:rsid w:val="008232F1"/>
    <w:rsid w:val="00823325"/>
    <w:rsid w:val="00823551"/>
    <w:rsid w:val="00823573"/>
    <w:rsid w:val="0082366E"/>
    <w:rsid w:val="0082367F"/>
    <w:rsid w:val="00823779"/>
    <w:rsid w:val="008237B6"/>
    <w:rsid w:val="00823843"/>
    <w:rsid w:val="00823972"/>
    <w:rsid w:val="0082398D"/>
    <w:rsid w:val="00823B86"/>
    <w:rsid w:val="00823B91"/>
    <w:rsid w:val="00823CC7"/>
    <w:rsid w:val="00823CE0"/>
    <w:rsid w:val="00823D2D"/>
    <w:rsid w:val="00823D6D"/>
    <w:rsid w:val="0082400F"/>
    <w:rsid w:val="0082411F"/>
    <w:rsid w:val="0082417C"/>
    <w:rsid w:val="00824180"/>
    <w:rsid w:val="008241EC"/>
    <w:rsid w:val="008241F1"/>
    <w:rsid w:val="00824211"/>
    <w:rsid w:val="008242F6"/>
    <w:rsid w:val="00824359"/>
    <w:rsid w:val="008244E5"/>
    <w:rsid w:val="00824831"/>
    <w:rsid w:val="008249A4"/>
    <w:rsid w:val="008249BD"/>
    <w:rsid w:val="00824A84"/>
    <w:rsid w:val="00824BE9"/>
    <w:rsid w:val="00824C05"/>
    <w:rsid w:val="00824C2D"/>
    <w:rsid w:val="00824CA0"/>
    <w:rsid w:val="00824E43"/>
    <w:rsid w:val="00824EAB"/>
    <w:rsid w:val="00824FCD"/>
    <w:rsid w:val="00824FDE"/>
    <w:rsid w:val="00825093"/>
    <w:rsid w:val="008250D3"/>
    <w:rsid w:val="00825164"/>
    <w:rsid w:val="00825177"/>
    <w:rsid w:val="00825269"/>
    <w:rsid w:val="0082531E"/>
    <w:rsid w:val="00825409"/>
    <w:rsid w:val="008254C2"/>
    <w:rsid w:val="00825545"/>
    <w:rsid w:val="00825576"/>
    <w:rsid w:val="00825662"/>
    <w:rsid w:val="00825805"/>
    <w:rsid w:val="00825A78"/>
    <w:rsid w:val="00825BAD"/>
    <w:rsid w:val="00825C5E"/>
    <w:rsid w:val="0082612A"/>
    <w:rsid w:val="008261C3"/>
    <w:rsid w:val="00826214"/>
    <w:rsid w:val="00826253"/>
    <w:rsid w:val="0082635F"/>
    <w:rsid w:val="00826371"/>
    <w:rsid w:val="008263DA"/>
    <w:rsid w:val="008263FB"/>
    <w:rsid w:val="008264FB"/>
    <w:rsid w:val="008267DE"/>
    <w:rsid w:val="008268BC"/>
    <w:rsid w:val="008269A6"/>
    <w:rsid w:val="008269CE"/>
    <w:rsid w:val="008269E2"/>
    <w:rsid w:val="00826A38"/>
    <w:rsid w:val="00826A70"/>
    <w:rsid w:val="00826B66"/>
    <w:rsid w:val="00826BFE"/>
    <w:rsid w:val="00826CB5"/>
    <w:rsid w:val="00826CF5"/>
    <w:rsid w:val="00826D9B"/>
    <w:rsid w:val="00826FDB"/>
    <w:rsid w:val="008270E1"/>
    <w:rsid w:val="008271F8"/>
    <w:rsid w:val="0082726A"/>
    <w:rsid w:val="0082727F"/>
    <w:rsid w:val="00827310"/>
    <w:rsid w:val="0082732D"/>
    <w:rsid w:val="0082739E"/>
    <w:rsid w:val="00827440"/>
    <w:rsid w:val="00827786"/>
    <w:rsid w:val="00827A1A"/>
    <w:rsid w:val="00827A86"/>
    <w:rsid w:val="00827BC7"/>
    <w:rsid w:val="00827C1A"/>
    <w:rsid w:val="00827C73"/>
    <w:rsid w:val="00827CF4"/>
    <w:rsid w:val="00827DEC"/>
    <w:rsid w:val="00827FD6"/>
    <w:rsid w:val="008300C6"/>
    <w:rsid w:val="00830110"/>
    <w:rsid w:val="00830283"/>
    <w:rsid w:val="008302C3"/>
    <w:rsid w:val="008302EF"/>
    <w:rsid w:val="0083038A"/>
    <w:rsid w:val="00830421"/>
    <w:rsid w:val="00830757"/>
    <w:rsid w:val="008307BE"/>
    <w:rsid w:val="008308A7"/>
    <w:rsid w:val="0083097B"/>
    <w:rsid w:val="0083099A"/>
    <w:rsid w:val="008309DA"/>
    <w:rsid w:val="00830C36"/>
    <w:rsid w:val="00830DD5"/>
    <w:rsid w:val="00830EAA"/>
    <w:rsid w:val="00830F1F"/>
    <w:rsid w:val="0083105F"/>
    <w:rsid w:val="008310A4"/>
    <w:rsid w:val="00831127"/>
    <w:rsid w:val="0083115C"/>
    <w:rsid w:val="008311B2"/>
    <w:rsid w:val="00831242"/>
    <w:rsid w:val="00831445"/>
    <w:rsid w:val="00831566"/>
    <w:rsid w:val="0083159E"/>
    <w:rsid w:val="008315A6"/>
    <w:rsid w:val="00831729"/>
    <w:rsid w:val="00831785"/>
    <w:rsid w:val="00831787"/>
    <w:rsid w:val="0083195F"/>
    <w:rsid w:val="008319B6"/>
    <w:rsid w:val="00831A6A"/>
    <w:rsid w:val="00831C16"/>
    <w:rsid w:val="00831CB9"/>
    <w:rsid w:val="00831D2B"/>
    <w:rsid w:val="00831DA7"/>
    <w:rsid w:val="00831F74"/>
    <w:rsid w:val="00831FF0"/>
    <w:rsid w:val="00832149"/>
    <w:rsid w:val="008321D6"/>
    <w:rsid w:val="0083227B"/>
    <w:rsid w:val="008322E0"/>
    <w:rsid w:val="00832402"/>
    <w:rsid w:val="008324C5"/>
    <w:rsid w:val="008326D3"/>
    <w:rsid w:val="00832850"/>
    <w:rsid w:val="0083285B"/>
    <w:rsid w:val="0083287B"/>
    <w:rsid w:val="008328F7"/>
    <w:rsid w:val="00832962"/>
    <w:rsid w:val="00832A90"/>
    <w:rsid w:val="00832BA2"/>
    <w:rsid w:val="00832BD4"/>
    <w:rsid w:val="00832C31"/>
    <w:rsid w:val="00832C71"/>
    <w:rsid w:val="00832C7E"/>
    <w:rsid w:val="00832C91"/>
    <w:rsid w:val="00832CA9"/>
    <w:rsid w:val="00832D51"/>
    <w:rsid w:val="00832E45"/>
    <w:rsid w:val="00832EA2"/>
    <w:rsid w:val="00832ED9"/>
    <w:rsid w:val="00832F94"/>
    <w:rsid w:val="00832FB8"/>
    <w:rsid w:val="00832FCF"/>
    <w:rsid w:val="008330D1"/>
    <w:rsid w:val="0083314C"/>
    <w:rsid w:val="00833211"/>
    <w:rsid w:val="00833315"/>
    <w:rsid w:val="00833336"/>
    <w:rsid w:val="0083338A"/>
    <w:rsid w:val="00833440"/>
    <w:rsid w:val="0083346A"/>
    <w:rsid w:val="008335A1"/>
    <w:rsid w:val="008336F9"/>
    <w:rsid w:val="008337C2"/>
    <w:rsid w:val="00833883"/>
    <w:rsid w:val="00833AE8"/>
    <w:rsid w:val="00833B37"/>
    <w:rsid w:val="00833B7C"/>
    <w:rsid w:val="00833D60"/>
    <w:rsid w:val="00833E51"/>
    <w:rsid w:val="00833FAB"/>
    <w:rsid w:val="00834004"/>
    <w:rsid w:val="00834178"/>
    <w:rsid w:val="00834179"/>
    <w:rsid w:val="008341BC"/>
    <w:rsid w:val="008341BF"/>
    <w:rsid w:val="0083420A"/>
    <w:rsid w:val="00834271"/>
    <w:rsid w:val="0083431B"/>
    <w:rsid w:val="00834412"/>
    <w:rsid w:val="0083446B"/>
    <w:rsid w:val="00834518"/>
    <w:rsid w:val="00834528"/>
    <w:rsid w:val="0083464D"/>
    <w:rsid w:val="00834985"/>
    <w:rsid w:val="00834AAE"/>
    <w:rsid w:val="00834B29"/>
    <w:rsid w:val="00834B39"/>
    <w:rsid w:val="00834C72"/>
    <w:rsid w:val="00834E2F"/>
    <w:rsid w:val="00834E84"/>
    <w:rsid w:val="00835294"/>
    <w:rsid w:val="0083555B"/>
    <w:rsid w:val="008357AE"/>
    <w:rsid w:val="0083583A"/>
    <w:rsid w:val="008358F4"/>
    <w:rsid w:val="00835948"/>
    <w:rsid w:val="008359A7"/>
    <w:rsid w:val="008359BE"/>
    <w:rsid w:val="00835C10"/>
    <w:rsid w:val="00835C3C"/>
    <w:rsid w:val="00835C61"/>
    <w:rsid w:val="00835CC7"/>
    <w:rsid w:val="00835D4A"/>
    <w:rsid w:val="00835E1F"/>
    <w:rsid w:val="00835EFF"/>
    <w:rsid w:val="00835F21"/>
    <w:rsid w:val="00835F4E"/>
    <w:rsid w:val="00835FEE"/>
    <w:rsid w:val="008360ED"/>
    <w:rsid w:val="00836145"/>
    <w:rsid w:val="00836253"/>
    <w:rsid w:val="0083629C"/>
    <w:rsid w:val="008364C2"/>
    <w:rsid w:val="00836782"/>
    <w:rsid w:val="00836805"/>
    <w:rsid w:val="00836869"/>
    <w:rsid w:val="00836880"/>
    <w:rsid w:val="008368AA"/>
    <w:rsid w:val="008369BF"/>
    <w:rsid w:val="00836A1A"/>
    <w:rsid w:val="00836AE8"/>
    <w:rsid w:val="00836B1B"/>
    <w:rsid w:val="00836BEE"/>
    <w:rsid w:val="00836C9E"/>
    <w:rsid w:val="00836D88"/>
    <w:rsid w:val="00836E7E"/>
    <w:rsid w:val="00836FAE"/>
    <w:rsid w:val="00836FFF"/>
    <w:rsid w:val="00837001"/>
    <w:rsid w:val="00837095"/>
    <w:rsid w:val="00837283"/>
    <w:rsid w:val="008373A6"/>
    <w:rsid w:val="008373DC"/>
    <w:rsid w:val="008374EA"/>
    <w:rsid w:val="00837544"/>
    <w:rsid w:val="00837579"/>
    <w:rsid w:val="0083767D"/>
    <w:rsid w:val="0083784A"/>
    <w:rsid w:val="0083789D"/>
    <w:rsid w:val="0083790E"/>
    <w:rsid w:val="00837B10"/>
    <w:rsid w:val="00837BA2"/>
    <w:rsid w:val="00837C08"/>
    <w:rsid w:val="00837CD0"/>
    <w:rsid w:val="00837CE7"/>
    <w:rsid w:val="00837D64"/>
    <w:rsid w:val="00837EC3"/>
    <w:rsid w:val="00837EE9"/>
    <w:rsid w:val="0084008A"/>
    <w:rsid w:val="008400B1"/>
    <w:rsid w:val="00840561"/>
    <w:rsid w:val="00840631"/>
    <w:rsid w:val="00840652"/>
    <w:rsid w:val="008407D0"/>
    <w:rsid w:val="00840946"/>
    <w:rsid w:val="008409A7"/>
    <w:rsid w:val="00840A5C"/>
    <w:rsid w:val="00840BD4"/>
    <w:rsid w:val="00840C40"/>
    <w:rsid w:val="00840CD0"/>
    <w:rsid w:val="00840CD2"/>
    <w:rsid w:val="00840F8C"/>
    <w:rsid w:val="00840FC5"/>
    <w:rsid w:val="00840FF4"/>
    <w:rsid w:val="00841015"/>
    <w:rsid w:val="00841021"/>
    <w:rsid w:val="00841048"/>
    <w:rsid w:val="008411D3"/>
    <w:rsid w:val="0084123C"/>
    <w:rsid w:val="0084135F"/>
    <w:rsid w:val="00841376"/>
    <w:rsid w:val="008415F9"/>
    <w:rsid w:val="0084161B"/>
    <w:rsid w:val="0084172A"/>
    <w:rsid w:val="008417F1"/>
    <w:rsid w:val="00841827"/>
    <w:rsid w:val="008418BF"/>
    <w:rsid w:val="0084196A"/>
    <w:rsid w:val="00841B81"/>
    <w:rsid w:val="00841C7A"/>
    <w:rsid w:val="00841D9B"/>
    <w:rsid w:val="00841E3A"/>
    <w:rsid w:val="00841E68"/>
    <w:rsid w:val="00841E6C"/>
    <w:rsid w:val="00841EDD"/>
    <w:rsid w:val="00841F49"/>
    <w:rsid w:val="00841F6E"/>
    <w:rsid w:val="00842002"/>
    <w:rsid w:val="00842055"/>
    <w:rsid w:val="008422D6"/>
    <w:rsid w:val="008422D9"/>
    <w:rsid w:val="008422F5"/>
    <w:rsid w:val="00842373"/>
    <w:rsid w:val="008423CD"/>
    <w:rsid w:val="00842504"/>
    <w:rsid w:val="008425FF"/>
    <w:rsid w:val="008427F5"/>
    <w:rsid w:val="00842935"/>
    <w:rsid w:val="008429DA"/>
    <w:rsid w:val="00842A94"/>
    <w:rsid w:val="00842AF8"/>
    <w:rsid w:val="00842C27"/>
    <w:rsid w:val="00842C85"/>
    <w:rsid w:val="00842CD5"/>
    <w:rsid w:val="00842E97"/>
    <w:rsid w:val="00842EF0"/>
    <w:rsid w:val="00842F04"/>
    <w:rsid w:val="00843093"/>
    <w:rsid w:val="00843096"/>
    <w:rsid w:val="008431A4"/>
    <w:rsid w:val="00843316"/>
    <w:rsid w:val="0084343A"/>
    <w:rsid w:val="008434F3"/>
    <w:rsid w:val="00843672"/>
    <w:rsid w:val="00843760"/>
    <w:rsid w:val="0084380D"/>
    <w:rsid w:val="008438C5"/>
    <w:rsid w:val="00843916"/>
    <w:rsid w:val="00843C8C"/>
    <w:rsid w:val="00843CA3"/>
    <w:rsid w:val="00843D81"/>
    <w:rsid w:val="00843EA1"/>
    <w:rsid w:val="0084410D"/>
    <w:rsid w:val="0084414A"/>
    <w:rsid w:val="0084416B"/>
    <w:rsid w:val="008442C2"/>
    <w:rsid w:val="008442E4"/>
    <w:rsid w:val="008443E0"/>
    <w:rsid w:val="008445F0"/>
    <w:rsid w:val="00844658"/>
    <w:rsid w:val="008446CE"/>
    <w:rsid w:val="00844757"/>
    <w:rsid w:val="008447E9"/>
    <w:rsid w:val="0084481D"/>
    <w:rsid w:val="00844A90"/>
    <w:rsid w:val="00844B59"/>
    <w:rsid w:val="00844D8A"/>
    <w:rsid w:val="00844DAB"/>
    <w:rsid w:val="0084518F"/>
    <w:rsid w:val="00845231"/>
    <w:rsid w:val="00845263"/>
    <w:rsid w:val="00845272"/>
    <w:rsid w:val="008452FB"/>
    <w:rsid w:val="008453F7"/>
    <w:rsid w:val="0084542D"/>
    <w:rsid w:val="00845479"/>
    <w:rsid w:val="008455DB"/>
    <w:rsid w:val="00845657"/>
    <w:rsid w:val="0084565C"/>
    <w:rsid w:val="008456D8"/>
    <w:rsid w:val="0084572D"/>
    <w:rsid w:val="008457AA"/>
    <w:rsid w:val="0084586E"/>
    <w:rsid w:val="00845927"/>
    <w:rsid w:val="0084597F"/>
    <w:rsid w:val="00845A10"/>
    <w:rsid w:val="00845BD4"/>
    <w:rsid w:val="00845C91"/>
    <w:rsid w:val="00845D22"/>
    <w:rsid w:val="00845D98"/>
    <w:rsid w:val="00845E6A"/>
    <w:rsid w:val="00845EE0"/>
    <w:rsid w:val="00846046"/>
    <w:rsid w:val="0084608D"/>
    <w:rsid w:val="008460C2"/>
    <w:rsid w:val="008461A5"/>
    <w:rsid w:val="00846428"/>
    <w:rsid w:val="0084645A"/>
    <w:rsid w:val="00846507"/>
    <w:rsid w:val="008465B1"/>
    <w:rsid w:val="0084678A"/>
    <w:rsid w:val="0084678D"/>
    <w:rsid w:val="00846B3F"/>
    <w:rsid w:val="00846B47"/>
    <w:rsid w:val="00846B57"/>
    <w:rsid w:val="00846C3F"/>
    <w:rsid w:val="00846C97"/>
    <w:rsid w:val="00846D17"/>
    <w:rsid w:val="00846D48"/>
    <w:rsid w:val="00846F81"/>
    <w:rsid w:val="00846F92"/>
    <w:rsid w:val="008471B3"/>
    <w:rsid w:val="0084743A"/>
    <w:rsid w:val="0084750C"/>
    <w:rsid w:val="00847760"/>
    <w:rsid w:val="008477F2"/>
    <w:rsid w:val="00847813"/>
    <w:rsid w:val="00847836"/>
    <w:rsid w:val="0084794B"/>
    <w:rsid w:val="00847A4F"/>
    <w:rsid w:val="00847A7E"/>
    <w:rsid w:val="00847A87"/>
    <w:rsid w:val="00847A9B"/>
    <w:rsid w:val="00847D31"/>
    <w:rsid w:val="00847F64"/>
    <w:rsid w:val="00847F8B"/>
    <w:rsid w:val="00850067"/>
    <w:rsid w:val="00850118"/>
    <w:rsid w:val="00850131"/>
    <w:rsid w:val="00850337"/>
    <w:rsid w:val="008503E2"/>
    <w:rsid w:val="00850429"/>
    <w:rsid w:val="008504CC"/>
    <w:rsid w:val="00850513"/>
    <w:rsid w:val="00850570"/>
    <w:rsid w:val="008507A0"/>
    <w:rsid w:val="00850802"/>
    <w:rsid w:val="008508A0"/>
    <w:rsid w:val="008509B0"/>
    <w:rsid w:val="008509FE"/>
    <w:rsid w:val="00850A60"/>
    <w:rsid w:val="00850B4C"/>
    <w:rsid w:val="00850E0E"/>
    <w:rsid w:val="00850E4E"/>
    <w:rsid w:val="00850E99"/>
    <w:rsid w:val="00851033"/>
    <w:rsid w:val="00851061"/>
    <w:rsid w:val="008510A7"/>
    <w:rsid w:val="008512B6"/>
    <w:rsid w:val="00851393"/>
    <w:rsid w:val="008513AA"/>
    <w:rsid w:val="0085146F"/>
    <w:rsid w:val="00851471"/>
    <w:rsid w:val="00851555"/>
    <w:rsid w:val="008515CA"/>
    <w:rsid w:val="008516AC"/>
    <w:rsid w:val="0085182F"/>
    <w:rsid w:val="00851942"/>
    <w:rsid w:val="00851A45"/>
    <w:rsid w:val="00851AE8"/>
    <w:rsid w:val="00851BE5"/>
    <w:rsid w:val="00851E0B"/>
    <w:rsid w:val="00851E9C"/>
    <w:rsid w:val="00851EE0"/>
    <w:rsid w:val="00851EF1"/>
    <w:rsid w:val="00851FA1"/>
    <w:rsid w:val="00852058"/>
    <w:rsid w:val="00852173"/>
    <w:rsid w:val="00852239"/>
    <w:rsid w:val="00852320"/>
    <w:rsid w:val="008523F4"/>
    <w:rsid w:val="0085273A"/>
    <w:rsid w:val="0085296C"/>
    <w:rsid w:val="00852A2E"/>
    <w:rsid w:val="00852A48"/>
    <w:rsid w:val="00852A7F"/>
    <w:rsid w:val="00852AFE"/>
    <w:rsid w:val="00852C7B"/>
    <w:rsid w:val="00852CB2"/>
    <w:rsid w:val="00852D71"/>
    <w:rsid w:val="00852D99"/>
    <w:rsid w:val="00852DD2"/>
    <w:rsid w:val="00852F36"/>
    <w:rsid w:val="0085308E"/>
    <w:rsid w:val="008530BE"/>
    <w:rsid w:val="008531A5"/>
    <w:rsid w:val="008531B2"/>
    <w:rsid w:val="00853282"/>
    <w:rsid w:val="008532F6"/>
    <w:rsid w:val="00853677"/>
    <w:rsid w:val="008536B4"/>
    <w:rsid w:val="00853768"/>
    <w:rsid w:val="00853773"/>
    <w:rsid w:val="008537D7"/>
    <w:rsid w:val="00853875"/>
    <w:rsid w:val="008538B0"/>
    <w:rsid w:val="008538C9"/>
    <w:rsid w:val="0085393B"/>
    <w:rsid w:val="00853A5F"/>
    <w:rsid w:val="00853C0E"/>
    <w:rsid w:val="00853C8D"/>
    <w:rsid w:val="00853D03"/>
    <w:rsid w:val="00853D8E"/>
    <w:rsid w:val="00853E28"/>
    <w:rsid w:val="00853F25"/>
    <w:rsid w:val="008540E6"/>
    <w:rsid w:val="0085443F"/>
    <w:rsid w:val="00854440"/>
    <w:rsid w:val="00854507"/>
    <w:rsid w:val="0085451C"/>
    <w:rsid w:val="00854564"/>
    <w:rsid w:val="0085472B"/>
    <w:rsid w:val="0085483E"/>
    <w:rsid w:val="00854CB6"/>
    <w:rsid w:val="00854E95"/>
    <w:rsid w:val="00854EB6"/>
    <w:rsid w:val="00854F06"/>
    <w:rsid w:val="00854FE0"/>
    <w:rsid w:val="00855008"/>
    <w:rsid w:val="008550F9"/>
    <w:rsid w:val="00855127"/>
    <w:rsid w:val="00855152"/>
    <w:rsid w:val="0085518A"/>
    <w:rsid w:val="00855255"/>
    <w:rsid w:val="008553F9"/>
    <w:rsid w:val="00855444"/>
    <w:rsid w:val="0085563C"/>
    <w:rsid w:val="0085571F"/>
    <w:rsid w:val="00855795"/>
    <w:rsid w:val="008557E5"/>
    <w:rsid w:val="00855966"/>
    <w:rsid w:val="008559B9"/>
    <w:rsid w:val="00855AA6"/>
    <w:rsid w:val="00855AB6"/>
    <w:rsid w:val="00855B01"/>
    <w:rsid w:val="00855F0E"/>
    <w:rsid w:val="00855FD7"/>
    <w:rsid w:val="008560E3"/>
    <w:rsid w:val="00856115"/>
    <w:rsid w:val="0085616F"/>
    <w:rsid w:val="008561D4"/>
    <w:rsid w:val="008562B5"/>
    <w:rsid w:val="008563AD"/>
    <w:rsid w:val="00856603"/>
    <w:rsid w:val="00856833"/>
    <w:rsid w:val="00856850"/>
    <w:rsid w:val="008568EC"/>
    <w:rsid w:val="00856919"/>
    <w:rsid w:val="00856A90"/>
    <w:rsid w:val="00856ABC"/>
    <w:rsid w:val="00856BE9"/>
    <w:rsid w:val="00856DDE"/>
    <w:rsid w:val="00856E01"/>
    <w:rsid w:val="00856E38"/>
    <w:rsid w:val="00856E51"/>
    <w:rsid w:val="00857008"/>
    <w:rsid w:val="00857049"/>
    <w:rsid w:val="008570B4"/>
    <w:rsid w:val="00857129"/>
    <w:rsid w:val="00857131"/>
    <w:rsid w:val="00857185"/>
    <w:rsid w:val="0085719D"/>
    <w:rsid w:val="008571D0"/>
    <w:rsid w:val="008575E6"/>
    <w:rsid w:val="008576B8"/>
    <w:rsid w:val="008576D1"/>
    <w:rsid w:val="00857753"/>
    <w:rsid w:val="008577B0"/>
    <w:rsid w:val="0085781D"/>
    <w:rsid w:val="0085789F"/>
    <w:rsid w:val="00857906"/>
    <w:rsid w:val="00857908"/>
    <w:rsid w:val="00857B7C"/>
    <w:rsid w:val="00857BF5"/>
    <w:rsid w:val="00857D27"/>
    <w:rsid w:val="00857E92"/>
    <w:rsid w:val="0086002A"/>
    <w:rsid w:val="00860087"/>
    <w:rsid w:val="008600AD"/>
    <w:rsid w:val="008600B1"/>
    <w:rsid w:val="008600E8"/>
    <w:rsid w:val="00860168"/>
    <w:rsid w:val="008601DE"/>
    <w:rsid w:val="008601DF"/>
    <w:rsid w:val="00860238"/>
    <w:rsid w:val="008602E6"/>
    <w:rsid w:val="008603D1"/>
    <w:rsid w:val="0086049A"/>
    <w:rsid w:val="008605A0"/>
    <w:rsid w:val="00860706"/>
    <w:rsid w:val="00860797"/>
    <w:rsid w:val="008607DE"/>
    <w:rsid w:val="0086092B"/>
    <w:rsid w:val="00860A06"/>
    <w:rsid w:val="00860AAC"/>
    <w:rsid w:val="00860BA9"/>
    <w:rsid w:val="00860BB4"/>
    <w:rsid w:val="00860C54"/>
    <w:rsid w:val="00860CC8"/>
    <w:rsid w:val="00860F0D"/>
    <w:rsid w:val="00860FA3"/>
    <w:rsid w:val="0086124F"/>
    <w:rsid w:val="0086130E"/>
    <w:rsid w:val="00861314"/>
    <w:rsid w:val="008613DF"/>
    <w:rsid w:val="0086167F"/>
    <w:rsid w:val="008616C6"/>
    <w:rsid w:val="00861A10"/>
    <w:rsid w:val="00861AFE"/>
    <w:rsid w:val="00861C9E"/>
    <w:rsid w:val="00861DFE"/>
    <w:rsid w:val="00861EFC"/>
    <w:rsid w:val="00861F3E"/>
    <w:rsid w:val="008620FC"/>
    <w:rsid w:val="00862206"/>
    <w:rsid w:val="00862550"/>
    <w:rsid w:val="00862591"/>
    <w:rsid w:val="008626AC"/>
    <w:rsid w:val="0086271B"/>
    <w:rsid w:val="008627D9"/>
    <w:rsid w:val="008629E5"/>
    <w:rsid w:val="00862AE1"/>
    <w:rsid w:val="00862C50"/>
    <w:rsid w:val="00862D1E"/>
    <w:rsid w:val="00862E01"/>
    <w:rsid w:val="00862FE1"/>
    <w:rsid w:val="00862FE5"/>
    <w:rsid w:val="00863240"/>
    <w:rsid w:val="0086332C"/>
    <w:rsid w:val="0086336C"/>
    <w:rsid w:val="0086341E"/>
    <w:rsid w:val="0086345C"/>
    <w:rsid w:val="00863487"/>
    <w:rsid w:val="00863615"/>
    <w:rsid w:val="00863635"/>
    <w:rsid w:val="0086387D"/>
    <w:rsid w:val="00863886"/>
    <w:rsid w:val="00863987"/>
    <w:rsid w:val="00863A63"/>
    <w:rsid w:val="00863AA0"/>
    <w:rsid w:val="00863B41"/>
    <w:rsid w:val="00863C75"/>
    <w:rsid w:val="00863F19"/>
    <w:rsid w:val="0086403D"/>
    <w:rsid w:val="0086407A"/>
    <w:rsid w:val="00864084"/>
    <w:rsid w:val="0086423B"/>
    <w:rsid w:val="008642A1"/>
    <w:rsid w:val="0086465F"/>
    <w:rsid w:val="00864797"/>
    <w:rsid w:val="00864950"/>
    <w:rsid w:val="008649FE"/>
    <w:rsid w:val="00864C03"/>
    <w:rsid w:val="00864C23"/>
    <w:rsid w:val="00864C67"/>
    <w:rsid w:val="00864D93"/>
    <w:rsid w:val="00864DA3"/>
    <w:rsid w:val="00864E4F"/>
    <w:rsid w:val="00864E5F"/>
    <w:rsid w:val="00864F7A"/>
    <w:rsid w:val="0086502B"/>
    <w:rsid w:val="008651FF"/>
    <w:rsid w:val="008652DE"/>
    <w:rsid w:val="00865370"/>
    <w:rsid w:val="00865384"/>
    <w:rsid w:val="0086538F"/>
    <w:rsid w:val="0086552B"/>
    <w:rsid w:val="0086556A"/>
    <w:rsid w:val="00865879"/>
    <w:rsid w:val="00865892"/>
    <w:rsid w:val="008658B7"/>
    <w:rsid w:val="008658C3"/>
    <w:rsid w:val="008658F7"/>
    <w:rsid w:val="00865998"/>
    <w:rsid w:val="00865A20"/>
    <w:rsid w:val="00865A24"/>
    <w:rsid w:val="00865A39"/>
    <w:rsid w:val="00865BD5"/>
    <w:rsid w:val="00865BFB"/>
    <w:rsid w:val="00865CF8"/>
    <w:rsid w:val="00865E9C"/>
    <w:rsid w:val="00865EDD"/>
    <w:rsid w:val="00866049"/>
    <w:rsid w:val="00866124"/>
    <w:rsid w:val="0086622E"/>
    <w:rsid w:val="0086625F"/>
    <w:rsid w:val="00866307"/>
    <w:rsid w:val="00866357"/>
    <w:rsid w:val="00866389"/>
    <w:rsid w:val="0086639E"/>
    <w:rsid w:val="008663B2"/>
    <w:rsid w:val="008664CC"/>
    <w:rsid w:val="008667AB"/>
    <w:rsid w:val="00866801"/>
    <w:rsid w:val="0086695D"/>
    <w:rsid w:val="00866A18"/>
    <w:rsid w:val="00866A8D"/>
    <w:rsid w:val="00866B15"/>
    <w:rsid w:val="00866DF8"/>
    <w:rsid w:val="00866E51"/>
    <w:rsid w:val="00867005"/>
    <w:rsid w:val="00867214"/>
    <w:rsid w:val="0086723E"/>
    <w:rsid w:val="008672EE"/>
    <w:rsid w:val="0086744F"/>
    <w:rsid w:val="00867653"/>
    <w:rsid w:val="00867721"/>
    <w:rsid w:val="00867910"/>
    <w:rsid w:val="00867B75"/>
    <w:rsid w:val="00867C89"/>
    <w:rsid w:val="00867DE3"/>
    <w:rsid w:val="00867F10"/>
    <w:rsid w:val="0087001F"/>
    <w:rsid w:val="00870283"/>
    <w:rsid w:val="008702AF"/>
    <w:rsid w:val="00870359"/>
    <w:rsid w:val="008705BE"/>
    <w:rsid w:val="00870650"/>
    <w:rsid w:val="00870693"/>
    <w:rsid w:val="008706C4"/>
    <w:rsid w:val="008707DE"/>
    <w:rsid w:val="0087085F"/>
    <w:rsid w:val="008708F8"/>
    <w:rsid w:val="0087091B"/>
    <w:rsid w:val="00870B84"/>
    <w:rsid w:val="00870B90"/>
    <w:rsid w:val="00870C7A"/>
    <w:rsid w:val="00870CC0"/>
    <w:rsid w:val="00870D1C"/>
    <w:rsid w:val="00870FF7"/>
    <w:rsid w:val="0087110F"/>
    <w:rsid w:val="00871253"/>
    <w:rsid w:val="00871290"/>
    <w:rsid w:val="008713DF"/>
    <w:rsid w:val="0087146A"/>
    <w:rsid w:val="0087175F"/>
    <w:rsid w:val="0087186B"/>
    <w:rsid w:val="008718A0"/>
    <w:rsid w:val="00871A3B"/>
    <w:rsid w:val="00871AAA"/>
    <w:rsid w:val="00871B4E"/>
    <w:rsid w:val="00871DF5"/>
    <w:rsid w:val="00871E18"/>
    <w:rsid w:val="00871E5F"/>
    <w:rsid w:val="00871EE1"/>
    <w:rsid w:val="008720EA"/>
    <w:rsid w:val="008721D0"/>
    <w:rsid w:val="008721D5"/>
    <w:rsid w:val="0087254A"/>
    <w:rsid w:val="008725D7"/>
    <w:rsid w:val="00872652"/>
    <w:rsid w:val="0087299B"/>
    <w:rsid w:val="00872A3C"/>
    <w:rsid w:val="00872AAD"/>
    <w:rsid w:val="00872C34"/>
    <w:rsid w:val="00872DA0"/>
    <w:rsid w:val="00872E18"/>
    <w:rsid w:val="00872F91"/>
    <w:rsid w:val="008730C5"/>
    <w:rsid w:val="008731E7"/>
    <w:rsid w:val="0087321C"/>
    <w:rsid w:val="0087329E"/>
    <w:rsid w:val="0087338A"/>
    <w:rsid w:val="0087365F"/>
    <w:rsid w:val="00873714"/>
    <w:rsid w:val="008737F6"/>
    <w:rsid w:val="00873811"/>
    <w:rsid w:val="008738A6"/>
    <w:rsid w:val="008738FB"/>
    <w:rsid w:val="0087390B"/>
    <w:rsid w:val="00873C2F"/>
    <w:rsid w:val="00873CCB"/>
    <w:rsid w:val="00873D2D"/>
    <w:rsid w:val="00873F04"/>
    <w:rsid w:val="00873F23"/>
    <w:rsid w:val="00873F3C"/>
    <w:rsid w:val="008740AA"/>
    <w:rsid w:val="00874156"/>
    <w:rsid w:val="008741B8"/>
    <w:rsid w:val="0087427D"/>
    <w:rsid w:val="00874284"/>
    <w:rsid w:val="0087429E"/>
    <w:rsid w:val="00874492"/>
    <w:rsid w:val="00874648"/>
    <w:rsid w:val="0087476C"/>
    <w:rsid w:val="008747CE"/>
    <w:rsid w:val="00874AC1"/>
    <w:rsid w:val="00874B09"/>
    <w:rsid w:val="00874BFF"/>
    <w:rsid w:val="00874C19"/>
    <w:rsid w:val="00874E08"/>
    <w:rsid w:val="00874ECD"/>
    <w:rsid w:val="00874EE9"/>
    <w:rsid w:val="00874F44"/>
    <w:rsid w:val="00874FE7"/>
    <w:rsid w:val="008750DA"/>
    <w:rsid w:val="008752CB"/>
    <w:rsid w:val="00875325"/>
    <w:rsid w:val="0087536D"/>
    <w:rsid w:val="00875456"/>
    <w:rsid w:val="00875500"/>
    <w:rsid w:val="00875507"/>
    <w:rsid w:val="00875542"/>
    <w:rsid w:val="00875543"/>
    <w:rsid w:val="008756BA"/>
    <w:rsid w:val="00875863"/>
    <w:rsid w:val="008758B2"/>
    <w:rsid w:val="00875A76"/>
    <w:rsid w:val="00875ABF"/>
    <w:rsid w:val="00875B09"/>
    <w:rsid w:val="00875B22"/>
    <w:rsid w:val="00875B73"/>
    <w:rsid w:val="00875BD5"/>
    <w:rsid w:val="00875CF8"/>
    <w:rsid w:val="00875E8E"/>
    <w:rsid w:val="0087606A"/>
    <w:rsid w:val="008760CC"/>
    <w:rsid w:val="0087616B"/>
    <w:rsid w:val="0087621B"/>
    <w:rsid w:val="0087634B"/>
    <w:rsid w:val="008763EC"/>
    <w:rsid w:val="008763EE"/>
    <w:rsid w:val="00876528"/>
    <w:rsid w:val="00876696"/>
    <w:rsid w:val="008766D9"/>
    <w:rsid w:val="00876701"/>
    <w:rsid w:val="0087671C"/>
    <w:rsid w:val="008767B2"/>
    <w:rsid w:val="0087681C"/>
    <w:rsid w:val="00876837"/>
    <w:rsid w:val="00876875"/>
    <w:rsid w:val="008769FD"/>
    <w:rsid w:val="00876B54"/>
    <w:rsid w:val="00876DDE"/>
    <w:rsid w:val="00876E06"/>
    <w:rsid w:val="00876EA5"/>
    <w:rsid w:val="00876EAD"/>
    <w:rsid w:val="00876EBB"/>
    <w:rsid w:val="00876F2F"/>
    <w:rsid w:val="00876FBF"/>
    <w:rsid w:val="00876FC0"/>
    <w:rsid w:val="00877272"/>
    <w:rsid w:val="008772D1"/>
    <w:rsid w:val="00877456"/>
    <w:rsid w:val="008774FE"/>
    <w:rsid w:val="00877523"/>
    <w:rsid w:val="008775A1"/>
    <w:rsid w:val="008775FC"/>
    <w:rsid w:val="008776B1"/>
    <w:rsid w:val="0087775B"/>
    <w:rsid w:val="008777A2"/>
    <w:rsid w:val="00877841"/>
    <w:rsid w:val="008778FF"/>
    <w:rsid w:val="008779D1"/>
    <w:rsid w:val="00877A91"/>
    <w:rsid w:val="00877B09"/>
    <w:rsid w:val="00877B71"/>
    <w:rsid w:val="00877B91"/>
    <w:rsid w:val="00877F14"/>
    <w:rsid w:val="00880070"/>
    <w:rsid w:val="00880110"/>
    <w:rsid w:val="00880468"/>
    <w:rsid w:val="00880496"/>
    <w:rsid w:val="008804D6"/>
    <w:rsid w:val="008805B1"/>
    <w:rsid w:val="008805DA"/>
    <w:rsid w:val="008806CE"/>
    <w:rsid w:val="00880747"/>
    <w:rsid w:val="0088082B"/>
    <w:rsid w:val="00880843"/>
    <w:rsid w:val="00880950"/>
    <w:rsid w:val="008809D2"/>
    <w:rsid w:val="00880A4F"/>
    <w:rsid w:val="00880CBD"/>
    <w:rsid w:val="00880D3C"/>
    <w:rsid w:val="00880D52"/>
    <w:rsid w:val="00880EC5"/>
    <w:rsid w:val="00880ECC"/>
    <w:rsid w:val="00880EEF"/>
    <w:rsid w:val="00881077"/>
    <w:rsid w:val="008812AF"/>
    <w:rsid w:val="00881491"/>
    <w:rsid w:val="008814AE"/>
    <w:rsid w:val="0088150D"/>
    <w:rsid w:val="00881565"/>
    <w:rsid w:val="0088158A"/>
    <w:rsid w:val="00881612"/>
    <w:rsid w:val="00881645"/>
    <w:rsid w:val="008817BD"/>
    <w:rsid w:val="00881958"/>
    <w:rsid w:val="0088198C"/>
    <w:rsid w:val="00881ACD"/>
    <w:rsid w:val="00881B23"/>
    <w:rsid w:val="00881D6E"/>
    <w:rsid w:val="00881D73"/>
    <w:rsid w:val="00881DEC"/>
    <w:rsid w:val="00882001"/>
    <w:rsid w:val="00882026"/>
    <w:rsid w:val="00882061"/>
    <w:rsid w:val="008821B9"/>
    <w:rsid w:val="00882717"/>
    <w:rsid w:val="0088278D"/>
    <w:rsid w:val="0088279D"/>
    <w:rsid w:val="008827A9"/>
    <w:rsid w:val="00882810"/>
    <w:rsid w:val="0088288F"/>
    <w:rsid w:val="008829A4"/>
    <w:rsid w:val="00882C3F"/>
    <w:rsid w:val="00882C4A"/>
    <w:rsid w:val="00882C7A"/>
    <w:rsid w:val="00882CC8"/>
    <w:rsid w:val="00882CE5"/>
    <w:rsid w:val="00882DED"/>
    <w:rsid w:val="0088313E"/>
    <w:rsid w:val="008831FE"/>
    <w:rsid w:val="00883305"/>
    <w:rsid w:val="0088333C"/>
    <w:rsid w:val="008833C0"/>
    <w:rsid w:val="008833EC"/>
    <w:rsid w:val="00883496"/>
    <w:rsid w:val="0088353E"/>
    <w:rsid w:val="0088359F"/>
    <w:rsid w:val="00883803"/>
    <w:rsid w:val="0088384F"/>
    <w:rsid w:val="00883986"/>
    <w:rsid w:val="008839A6"/>
    <w:rsid w:val="008839D3"/>
    <w:rsid w:val="00883A93"/>
    <w:rsid w:val="00883B74"/>
    <w:rsid w:val="00883DE1"/>
    <w:rsid w:val="00883DF4"/>
    <w:rsid w:val="0088416A"/>
    <w:rsid w:val="008842FE"/>
    <w:rsid w:val="008843C5"/>
    <w:rsid w:val="008843DF"/>
    <w:rsid w:val="0088445A"/>
    <w:rsid w:val="00884534"/>
    <w:rsid w:val="00884563"/>
    <w:rsid w:val="008845F5"/>
    <w:rsid w:val="008846C3"/>
    <w:rsid w:val="0088481B"/>
    <w:rsid w:val="00884888"/>
    <w:rsid w:val="008849D5"/>
    <w:rsid w:val="00884AC0"/>
    <w:rsid w:val="00884B13"/>
    <w:rsid w:val="00884BCB"/>
    <w:rsid w:val="00884C6A"/>
    <w:rsid w:val="00884D59"/>
    <w:rsid w:val="00884DCE"/>
    <w:rsid w:val="00884E78"/>
    <w:rsid w:val="00884FD9"/>
    <w:rsid w:val="008850B7"/>
    <w:rsid w:val="0088518F"/>
    <w:rsid w:val="00885609"/>
    <w:rsid w:val="008857E6"/>
    <w:rsid w:val="00885837"/>
    <w:rsid w:val="0088584F"/>
    <w:rsid w:val="0088587C"/>
    <w:rsid w:val="00885962"/>
    <w:rsid w:val="00885A37"/>
    <w:rsid w:val="00885A58"/>
    <w:rsid w:val="00885A5D"/>
    <w:rsid w:val="00885C4A"/>
    <w:rsid w:val="00885C57"/>
    <w:rsid w:val="00885D48"/>
    <w:rsid w:val="00885FFB"/>
    <w:rsid w:val="00886103"/>
    <w:rsid w:val="008861A2"/>
    <w:rsid w:val="008862DA"/>
    <w:rsid w:val="00886603"/>
    <w:rsid w:val="00886A3A"/>
    <w:rsid w:val="00886B82"/>
    <w:rsid w:val="00886CC9"/>
    <w:rsid w:val="00886DC9"/>
    <w:rsid w:val="00886E02"/>
    <w:rsid w:val="00886E89"/>
    <w:rsid w:val="008870AD"/>
    <w:rsid w:val="0088712A"/>
    <w:rsid w:val="0088715A"/>
    <w:rsid w:val="008873A5"/>
    <w:rsid w:val="008873F1"/>
    <w:rsid w:val="0088742F"/>
    <w:rsid w:val="008874C5"/>
    <w:rsid w:val="0088757A"/>
    <w:rsid w:val="0088765C"/>
    <w:rsid w:val="00887751"/>
    <w:rsid w:val="00887779"/>
    <w:rsid w:val="0088783C"/>
    <w:rsid w:val="00887849"/>
    <w:rsid w:val="00887BFA"/>
    <w:rsid w:val="00887C03"/>
    <w:rsid w:val="00887DAB"/>
    <w:rsid w:val="00887E3D"/>
    <w:rsid w:val="00890255"/>
    <w:rsid w:val="00890356"/>
    <w:rsid w:val="00890410"/>
    <w:rsid w:val="0089045B"/>
    <w:rsid w:val="008904C6"/>
    <w:rsid w:val="00890508"/>
    <w:rsid w:val="008905BB"/>
    <w:rsid w:val="00890703"/>
    <w:rsid w:val="0089076C"/>
    <w:rsid w:val="008907BC"/>
    <w:rsid w:val="0089083A"/>
    <w:rsid w:val="0089091A"/>
    <w:rsid w:val="00890934"/>
    <w:rsid w:val="00890A2C"/>
    <w:rsid w:val="00890D04"/>
    <w:rsid w:val="00890D28"/>
    <w:rsid w:val="00890DC9"/>
    <w:rsid w:val="00890F1A"/>
    <w:rsid w:val="008910FB"/>
    <w:rsid w:val="00891124"/>
    <w:rsid w:val="00891229"/>
    <w:rsid w:val="00891339"/>
    <w:rsid w:val="00891390"/>
    <w:rsid w:val="00891444"/>
    <w:rsid w:val="00891473"/>
    <w:rsid w:val="00891749"/>
    <w:rsid w:val="008917CA"/>
    <w:rsid w:val="008918DB"/>
    <w:rsid w:val="008918FB"/>
    <w:rsid w:val="008919AC"/>
    <w:rsid w:val="00891ABF"/>
    <w:rsid w:val="00891BB0"/>
    <w:rsid w:val="00891BD3"/>
    <w:rsid w:val="00891CD8"/>
    <w:rsid w:val="00891DD0"/>
    <w:rsid w:val="00892059"/>
    <w:rsid w:val="008920CD"/>
    <w:rsid w:val="00892145"/>
    <w:rsid w:val="00892163"/>
    <w:rsid w:val="00892282"/>
    <w:rsid w:val="0089235B"/>
    <w:rsid w:val="008923FA"/>
    <w:rsid w:val="008924CE"/>
    <w:rsid w:val="0089259C"/>
    <w:rsid w:val="008925C6"/>
    <w:rsid w:val="0089274B"/>
    <w:rsid w:val="00892813"/>
    <w:rsid w:val="0089284B"/>
    <w:rsid w:val="0089287A"/>
    <w:rsid w:val="008928A9"/>
    <w:rsid w:val="00892920"/>
    <w:rsid w:val="0089293C"/>
    <w:rsid w:val="0089298A"/>
    <w:rsid w:val="00892BAC"/>
    <w:rsid w:val="00892E94"/>
    <w:rsid w:val="00892F02"/>
    <w:rsid w:val="00892FC2"/>
    <w:rsid w:val="0089333E"/>
    <w:rsid w:val="00893454"/>
    <w:rsid w:val="00893505"/>
    <w:rsid w:val="0089365A"/>
    <w:rsid w:val="00893709"/>
    <w:rsid w:val="00893739"/>
    <w:rsid w:val="0089373F"/>
    <w:rsid w:val="00893899"/>
    <w:rsid w:val="00893A58"/>
    <w:rsid w:val="00893A78"/>
    <w:rsid w:val="00893A8F"/>
    <w:rsid w:val="00893B52"/>
    <w:rsid w:val="00893B6C"/>
    <w:rsid w:val="00893C3A"/>
    <w:rsid w:val="00893C8A"/>
    <w:rsid w:val="00893E0A"/>
    <w:rsid w:val="00893E3E"/>
    <w:rsid w:val="00893F37"/>
    <w:rsid w:val="00893FF1"/>
    <w:rsid w:val="0089419A"/>
    <w:rsid w:val="00894204"/>
    <w:rsid w:val="00894224"/>
    <w:rsid w:val="0089427C"/>
    <w:rsid w:val="008942AC"/>
    <w:rsid w:val="00894300"/>
    <w:rsid w:val="0089440E"/>
    <w:rsid w:val="00894570"/>
    <w:rsid w:val="008945E7"/>
    <w:rsid w:val="008945FD"/>
    <w:rsid w:val="00894652"/>
    <w:rsid w:val="008946B9"/>
    <w:rsid w:val="008946DA"/>
    <w:rsid w:val="00894746"/>
    <w:rsid w:val="0089476A"/>
    <w:rsid w:val="008948F3"/>
    <w:rsid w:val="00894964"/>
    <w:rsid w:val="00894AEE"/>
    <w:rsid w:val="00894C2F"/>
    <w:rsid w:val="00895085"/>
    <w:rsid w:val="00895112"/>
    <w:rsid w:val="008951F5"/>
    <w:rsid w:val="008952A2"/>
    <w:rsid w:val="00895493"/>
    <w:rsid w:val="00895842"/>
    <w:rsid w:val="00895A01"/>
    <w:rsid w:val="00895A70"/>
    <w:rsid w:val="00895B24"/>
    <w:rsid w:val="00895CD3"/>
    <w:rsid w:val="00895EB0"/>
    <w:rsid w:val="00895F98"/>
    <w:rsid w:val="00896125"/>
    <w:rsid w:val="008961DF"/>
    <w:rsid w:val="008962DA"/>
    <w:rsid w:val="00896315"/>
    <w:rsid w:val="00896634"/>
    <w:rsid w:val="008966EF"/>
    <w:rsid w:val="0089673B"/>
    <w:rsid w:val="00896776"/>
    <w:rsid w:val="0089677A"/>
    <w:rsid w:val="00896E9B"/>
    <w:rsid w:val="00896FAE"/>
    <w:rsid w:val="00896FF2"/>
    <w:rsid w:val="00896FFB"/>
    <w:rsid w:val="00897137"/>
    <w:rsid w:val="00897159"/>
    <w:rsid w:val="00897207"/>
    <w:rsid w:val="00897214"/>
    <w:rsid w:val="00897219"/>
    <w:rsid w:val="00897379"/>
    <w:rsid w:val="00897482"/>
    <w:rsid w:val="0089751B"/>
    <w:rsid w:val="0089763F"/>
    <w:rsid w:val="008976A4"/>
    <w:rsid w:val="008976F4"/>
    <w:rsid w:val="00897723"/>
    <w:rsid w:val="00897803"/>
    <w:rsid w:val="0089782D"/>
    <w:rsid w:val="00897919"/>
    <w:rsid w:val="0089793F"/>
    <w:rsid w:val="0089796D"/>
    <w:rsid w:val="00897B2B"/>
    <w:rsid w:val="00897D19"/>
    <w:rsid w:val="00897D40"/>
    <w:rsid w:val="00897DE1"/>
    <w:rsid w:val="008A0409"/>
    <w:rsid w:val="008A0468"/>
    <w:rsid w:val="008A0491"/>
    <w:rsid w:val="008A05EA"/>
    <w:rsid w:val="008A07C5"/>
    <w:rsid w:val="008A0868"/>
    <w:rsid w:val="008A08B9"/>
    <w:rsid w:val="008A0938"/>
    <w:rsid w:val="008A09D6"/>
    <w:rsid w:val="008A0AF5"/>
    <w:rsid w:val="008A0CA9"/>
    <w:rsid w:val="008A0D34"/>
    <w:rsid w:val="008A0D9C"/>
    <w:rsid w:val="008A0F02"/>
    <w:rsid w:val="008A118C"/>
    <w:rsid w:val="008A124D"/>
    <w:rsid w:val="008A12DD"/>
    <w:rsid w:val="008A1361"/>
    <w:rsid w:val="008A1364"/>
    <w:rsid w:val="008A13ED"/>
    <w:rsid w:val="008A1408"/>
    <w:rsid w:val="008A1426"/>
    <w:rsid w:val="008A14F8"/>
    <w:rsid w:val="008A1512"/>
    <w:rsid w:val="008A152A"/>
    <w:rsid w:val="008A1794"/>
    <w:rsid w:val="008A1886"/>
    <w:rsid w:val="008A19B9"/>
    <w:rsid w:val="008A1AEC"/>
    <w:rsid w:val="008A1B54"/>
    <w:rsid w:val="008A1D4E"/>
    <w:rsid w:val="008A1DCA"/>
    <w:rsid w:val="008A1EA0"/>
    <w:rsid w:val="008A1F49"/>
    <w:rsid w:val="008A1FCD"/>
    <w:rsid w:val="008A1FF2"/>
    <w:rsid w:val="008A212B"/>
    <w:rsid w:val="008A2150"/>
    <w:rsid w:val="008A22BC"/>
    <w:rsid w:val="008A23BF"/>
    <w:rsid w:val="008A24D7"/>
    <w:rsid w:val="008A2611"/>
    <w:rsid w:val="008A2739"/>
    <w:rsid w:val="008A27A2"/>
    <w:rsid w:val="008A27C9"/>
    <w:rsid w:val="008A27E7"/>
    <w:rsid w:val="008A27EA"/>
    <w:rsid w:val="008A2950"/>
    <w:rsid w:val="008A2A90"/>
    <w:rsid w:val="008A2ABE"/>
    <w:rsid w:val="008A2AED"/>
    <w:rsid w:val="008A2B31"/>
    <w:rsid w:val="008A2BAD"/>
    <w:rsid w:val="008A2D34"/>
    <w:rsid w:val="008A2E8F"/>
    <w:rsid w:val="008A2E9B"/>
    <w:rsid w:val="008A2FFF"/>
    <w:rsid w:val="008A31F5"/>
    <w:rsid w:val="008A33DE"/>
    <w:rsid w:val="008A3420"/>
    <w:rsid w:val="008A342E"/>
    <w:rsid w:val="008A3464"/>
    <w:rsid w:val="008A34BD"/>
    <w:rsid w:val="008A3505"/>
    <w:rsid w:val="008A35CD"/>
    <w:rsid w:val="008A361B"/>
    <w:rsid w:val="008A3627"/>
    <w:rsid w:val="008A36D2"/>
    <w:rsid w:val="008A36DD"/>
    <w:rsid w:val="008A36ED"/>
    <w:rsid w:val="008A3877"/>
    <w:rsid w:val="008A395D"/>
    <w:rsid w:val="008A3989"/>
    <w:rsid w:val="008A399A"/>
    <w:rsid w:val="008A39E2"/>
    <w:rsid w:val="008A3A0C"/>
    <w:rsid w:val="008A3A98"/>
    <w:rsid w:val="008A3B22"/>
    <w:rsid w:val="008A3C94"/>
    <w:rsid w:val="008A3C96"/>
    <w:rsid w:val="008A3CA4"/>
    <w:rsid w:val="008A3F39"/>
    <w:rsid w:val="008A3F43"/>
    <w:rsid w:val="008A3F56"/>
    <w:rsid w:val="008A4150"/>
    <w:rsid w:val="008A41C0"/>
    <w:rsid w:val="008A41C4"/>
    <w:rsid w:val="008A431F"/>
    <w:rsid w:val="008A4363"/>
    <w:rsid w:val="008A44CE"/>
    <w:rsid w:val="008A46BE"/>
    <w:rsid w:val="008A48A5"/>
    <w:rsid w:val="008A4A15"/>
    <w:rsid w:val="008A4AF3"/>
    <w:rsid w:val="008A4DD6"/>
    <w:rsid w:val="008A4EB4"/>
    <w:rsid w:val="008A507D"/>
    <w:rsid w:val="008A50E2"/>
    <w:rsid w:val="008A5296"/>
    <w:rsid w:val="008A5372"/>
    <w:rsid w:val="008A5520"/>
    <w:rsid w:val="008A55DC"/>
    <w:rsid w:val="008A5696"/>
    <w:rsid w:val="008A56A0"/>
    <w:rsid w:val="008A56B4"/>
    <w:rsid w:val="008A57B4"/>
    <w:rsid w:val="008A5982"/>
    <w:rsid w:val="008A59E4"/>
    <w:rsid w:val="008A5AFE"/>
    <w:rsid w:val="008A5B51"/>
    <w:rsid w:val="008A5C0F"/>
    <w:rsid w:val="008A5C92"/>
    <w:rsid w:val="008A5CB1"/>
    <w:rsid w:val="008A5D6B"/>
    <w:rsid w:val="008A5E0C"/>
    <w:rsid w:val="008A5F69"/>
    <w:rsid w:val="008A631C"/>
    <w:rsid w:val="008A646B"/>
    <w:rsid w:val="008A6491"/>
    <w:rsid w:val="008A6515"/>
    <w:rsid w:val="008A6547"/>
    <w:rsid w:val="008A65F5"/>
    <w:rsid w:val="008A6764"/>
    <w:rsid w:val="008A6840"/>
    <w:rsid w:val="008A685F"/>
    <w:rsid w:val="008A6974"/>
    <w:rsid w:val="008A6BE4"/>
    <w:rsid w:val="008A6C12"/>
    <w:rsid w:val="008A6CDA"/>
    <w:rsid w:val="008A6EF4"/>
    <w:rsid w:val="008A6F31"/>
    <w:rsid w:val="008A70F3"/>
    <w:rsid w:val="008A717F"/>
    <w:rsid w:val="008A718B"/>
    <w:rsid w:val="008A71A0"/>
    <w:rsid w:val="008A72A6"/>
    <w:rsid w:val="008A72D3"/>
    <w:rsid w:val="008A72FC"/>
    <w:rsid w:val="008A7454"/>
    <w:rsid w:val="008A75B1"/>
    <w:rsid w:val="008A765B"/>
    <w:rsid w:val="008A7698"/>
    <w:rsid w:val="008A769D"/>
    <w:rsid w:val="008A7714"/>
    <w:rsid w:val="008A7890"/>
    <w:rsid w:val="008A7A1C"/>
    <w:rsid w:val="008A7B09"/>
    <w:rsid w:val="008A7B5E"/>
    <w:rsid w:val="008A7B9C"/>
    <w:rsid w:val="008A7BE0"/>
    <w:rsid w:val="008A7C32"/>
    <w:rsid w:val="008A7C3D"/>
    <w:rsid w:val="008A7C5F"/>
    <w:rsid w:val="008A7CD6"/>
    <w:rsid w:val="008A7D54"/>
    <w:rsid w:val="008A7DFE"/>
    <w:rsid w:val="008A7E13"/>
    <w:rsid w:val="008A7F06"/>
    <w:rsid w:val="008B02B6"/>
    <w:rsid w:val="008B036F"/>
    <w:rsid w:val="008B0386"/>
    <w:rsid w:val="008B03A1"/>
    <w:rsid w:val="008B03BC"/>
    <w:rsid w:val="008B054A"/>
    <w:rsid w:val="008B05B5"/>
    <w:rsid w:val="008B0634"/>
    <w:rsid w:val="008B08A7"/>
    <w:rsid w:val="008B091B"/>
    <w:rsid w:val="008B0922"/>
    <w:rsid w:val="008B098E"/>
    <w:rsid w:val="008B0A38"/>
    <w:rsid w:val="008B0AA4"/>
    <w:rsid w:val="008B0ACF"/>
    <w:rsid w:val="008B0BA6"/>
    <w:rsid w:val="008B0C07"/>
    <w:rsid w:val="008B0D4D"/>
    <w:rsid w:val="008B0DD1"/>
    <w:rsid w:val="008B0ECC"/>
    <w:rsid w:val="008B1001"/>
    <w:rsid w:val="008B100E"/>
    <w:rsid w:val="008B10FC"/>
    <w:rsid w:val="008B1425"/>
    <w:rsid w:val="008B1433"/>
    <w:rsid w:val="008B168B"/>
    <w:rsid w:val="008B16C4"/>
    <w:rsid w:val="008B1727"/>
    <w:rsid w:val="008B1814"/>
    <w:rsid w:val="008B1AEC"/>
    <w:rsid w:val="008B1B15"/>
    <w:rsid w:val="008B1B30"/>
    <w:rsid w:val="008B1BBC"/>
    <w:rsid w:val="008B1D11"/>
    <w:rsid w:val="008B1E66"/>
    <w:rsid w:val="008B1F86"/>
    <w:rsid w:val="008B1FCD"/>
    <w:rsid w:val="008B212B"/>
    <w:rsid w:val="008B2131"/>
    <w:rsid w:val="008B2264"/>
    <w:rsid w:val="008B264A"/>
    <w:rsid w:val="008B2684"/>
    <w:rsid w:val="008B26B1"/>
    <w:rsid w:val="008B270A"/>
    <w:rsid w:val="008B275D"/>
    <w:rsid w:val="008B27D7"/>
    <w:rsid w:val="008B27F7"/>
    <w:rsid w:val="008B297E"/>
    <w:rsid w:val="008B29D2"/>
    <w:rsid w:val="008B2A60"/>
    <w:rsid w:val="008B2AA3"/>
    <w:rsid w:val="008B2B04"/>
    <w:rsid w:val="008B2D1B"/>
    <w:rsid w:val="008B2D36"/>
    <w:rsid w:val="008B2D58"/>
    <w:rsid w:val="008B2F7F"/>
    <w:rsid w:val="008B305B"/>
    <w:rsid w:val="008B306D"/>
    <w:rsid w:val="008B3072"/>
    <w:rsid w:val="008B3094"/>
    <w:rsid w:val="008B3213"/>
    <w:rsid w:val="008B3371"/>
    <w:rsid w:val="008B33E8"/>
    <w:rsid w:val="008B3491"/>
    <w:rsid w:val="008B3498"/>
    <w:rsid w:val="008B358E"/>
    <w:rsid w:val="008B35DD"/>
    <w:rsid w:val="008B3696"/>
    <w:rsid w:val="008B3703"/>
    <w:rsid w:val="008B3842"/>
    <w:rsid w:val="008B3862"/>
    <w:rsid w:val="008B3873"/>
    <w:rsid w:val="008B38E5"/>
    <w:rsid w:val="008B39EB"/>
    <w:rsid w:val="008B3A1F"/>
    <w:rsid w:val="008B3B51"/>
    <w:rsid w:val="008B3B78"/>
    <w:rsid w:val="008B3CDE"/>
    <w:rsid w:val="008B3F0E"/>
    <w:rsid w:val="008B3F7F"/>
    <w:rsid w:val="008B4085"/>
    <w:rsid w:val="008B4113"/>
    <w:rsid w:val="008B420F"/>
    <w:rsid w:val="008B4227"/>
    <w:rsid w:val="008B42E5"/>
    <w:rsid w:val="008B434B"/>
    <w:rsid w:val="008B441B"/>
    <w:rsid w:val="008B4495"/>
    <w:rsid w:val="008B46F8"/>
    <w:rsid w:val="008B47D5"/>
    <w:rsid w:val="008B4B16"/>
    <w:rsid w:val="008B4C29"/>
    <w:rsid w:val="008B4DED"/>
    <w:rsid w:val="008B4E58"/>
    <w:rsid w:val="008B4ECD"/>
    <w:rsid w:val="008B4FDE"/>
    <w:rsid w:val="008B50A7"/>
    <w:rsid w:val="008B53F4"/>
    <w:rsid w:val="008B541D"/>
    <w:rsid w:val="008B544E"/>
    <w:rsid w:val="008B54E0"/>
    <w:rsid w:val="008B5528"/>
    <w:rsid w:val="008B56F2"/>
    <w:rsid w:val="008B58A6"/>
    <w:rsid w:val="008B590A"/>
    <w:rsid w:val="008B5B24"/>
    <w:rsid w:val="008B5B3B"/>
    <w:rsid w:val="008B5C10"/>
    <w:rsid w:val="008B5DB7"/>
    <w:rsid w:val="008B5E6C"/>
    <w:rsid w:val="008B6041"/>
    <w:rsid w:val="008B6059"/>
    <w:rsid w:val="008B6173"/>
    <w:rsid w:val="008B6186"/>
    <w:rsid w:val="008B61C1"/>
    <w:rsid w:val="008B6466"/>
    <w:rsid w:val="008B67A3"/>
    <w:rsid w:val="008B6835"/>
    <w:rsid w:val="008B68F0"/>
    <w:rsid w:val="008B68F4"/>
    <w:rsid w:val="008B6985"/>
    <w:rsid w:val="008B69EC"/>
    <w:rsid w:val="008B6ACF"/>
    <w:rsid w:val="008B6BF5"/>
    <w:rsid w:val="008B6D8E"/>
    <w:rsid w:val="008B6E0D"/>
    <w:rsid w:val="008B6E38"/>
    <w:rsid w:val="008B6E9F"/>
    <w:rsid w:val="008B6F5C"/>
    <w:rsid w:val="008B7015"/>
    <w:rsid w:val="008B7018"/>
    <w:rsid w:val="008B703C"/>
    <w:rsid w:val="008B7052"/>
    <w:rsid w:val="008B7096"/>
    <w:rsid w:val="008B710F"/>
    <w:rsid w:val="008B71D0"/>
    <w:rsid w:val="008B71D7"/>
    <w:rsid w:val="008B725B"/>
    <w:rsid w:val="008B7556"/>
    <w:rsid w:val="008B75DC"/>
    <w:rsid w:val="008B782E"/>
    <w:rsid w:val="008B7850"/>
    <w:rsid w:val="008B78CD"/>
    <w:rsid w:val="008B7A31"/>
    <w:rsid w:val="008B7A88"/>
    <w:rsid w:val="008B7B1B"/>
    <w:rsid w:val="008B7B94"/>
    <w:rsid w:val="008B7BB9"/>
    <w:rsid w:val="008B7BF4"/>
    <w:rsid w:val="008B7C96"/>
    <w:rsid w:val="008B7CBF"/>
    <w:rsid w:val="008B7CF2"/>
    <w:rsid w:val="008B7E10"/>
    <w:rsid w:val="008B7F06"/>
    <w:rsid w:val="008C0044"/>
    <w:rsid w:val="008C00C7"/>
    <w:rsid w:val="008C01CD"/>
    <w:rsid w:val="008C02CB"/>
    <w:rsid w:val="008C02E5"/>
    <w:rsid w:val="008C0314"/>
    <w:rsid w:val="008C037D"/>
    <w:rsid w:val="008C039B"/>
    <w:rsid w:val="008C041A"/>
    <w:rsid w:val="008C0484"/>
    <w:rsid w:val="008C04C3"/>
    <w:rsid w:val="008C04F3"/>
    <w:rsid w:val="008C0552"/>
    <w:rsid w:val="008C0601"/>
    <w:rsid w:val="008C0678"/>
    <w:rsid w:val="008C0B1C"/>
    <w:rsid w:val="008C0C6D"/>
    <w:rsid w:val="008C0D29"/>
    <w:rsid w:val="008C0D3E"/>
    <w:rsid w:val="008C0DA0"/>
    <w:rsid w:val="008C0E5F"/>
    <w:rsid w:val="008C109A"/>
    <w:rsid w:val="008C1134"/>
    <w:rsid w:val="008C151E"/>
    <w:rsid w:val="008C1745"/>
    <w:rsid w:val="008C1849"/>
    <w:rsid w:val="008C1857"/>
    <w:rsid w:val="008C197B"/>
    <w:rsid w:val="008C1B17"/>
    <w:rsid w:val="008C1BBF"/>
    <w:rsid w:val="008C1BF7"/>
    <w:rsid w:val="008C1C5B"/>
    <w:rsid w:val="008C1D4D"/>
    <w:rsid w:val="008C1DA0"/>
    <w:rsid w:val="008C1DD3"/>
    <w:rsid w:val="008C1E3F"/>
    <w:rsid w:val="008C1F2C"/>
    <w:rsid w:val="008C203C"/>
    <w:rsid w:val="008C2094"/>
    <w:rsid w:val="008C2168"/>
    <w:rsid w:val="008C2247"/>
    <w:rsid w:val="008C227E"/>
    <w:rsid w:val="008C22BA"/>
    <w:rsid w:val="008C2353"/>
    <w:rsid w:val="008C23CA"/>
    <w:rsid w:val="008C2402"/>
    <w:rsid w:val="008C258C"/>
    <w:rsid w:val="008C26CE"/>
    <w:rsid w:val="008C2755"/>
    <w:rsid w:val="008C2790"/>
    <w:rsid w:val="008C2A8F"/>
    <w:rsid w:val="008C2B57"/>
    <w:rsid w:val="008C2B7A"/>
    <w:rsid w:val="008C2C2E"/>
    <w:rsid w:val="008C2D3A"/>
    <w:rsid w:val="008C2FBC"/>
    <w:rsid w:val="008C2FF6"/>
    <w:rsid w:val="008C3300"/>
    <w:rsid w:val="008C358B"/>
    <w:rsid w:val="008C364B"/>
    <w:rsid w:val="008C3827"/>
    <w:rsid w:val="008C3A8A"/>
    <w:rsid w:val="008C3ACB"/>
    <w:rsid w:val="008C3B04"/>
    <w:rsid w:val="008C3CE6"/>
    <w:rsid w:val="008C409D"/>
    <w:rsid w:val="008C4220"/>
    <w:rsid w:val="008C4223"/>
    <w:rsid w:val="008C438D"/>
    <w:rsid w:val="008C43CA"/>
    <w:rsid w:val="008C44A2"/>
    <w:rsid w:val="008C450A"/>
    <w:rsid w:val="008C46E7"/>
    <w:rsid w:val="008C4727"/>
    <w:rsid w:val="008C48DF"/>
    <w:rsid w:val="008C494B"/>
    <w:rsid w:val="008C4B0B"/>
    <w:rsid w:val="008C4C4C"/>
    <w:rsid w:val="008C4D2F"/>
    <w:rsid w:val="008C5133"/>
    <w:rsid w:val="008C5239"/>
    <w:rsid w:val="008C52EF"/>
    <w:rsid w:val="008C5315"/>
    <w:rsid w:val="008C53AA"/>
    <w:rsid w:val="008C53E3"/>
    <w:rsid w:val="008C5419"/>
    <w:rsid w:val="008C5494"/>
    <w:rsid w:val="008C5499"/>
    <w:rsid w:val="008C568B"/>
    <w:rsid w:val="008C5700"/>
    <w:rsid w:val="008C58C9"/>
    <w:rsid w:val="008C5960"/>
    <w:rsid w:val="008C5C2A"/>
    <w:rsid w:val="008C5C5C"/>
    <w:rsid w:val="008C5D64"/>
    <w:rsid w:val="008C5DED"/>
    <w:rsid w:val="008C5DF2"/>
    <w:rsid w:val="008C5E47"/>
    <w:rsid w:val="008C6024"/>
    <w:rsid w:val="008C61D0"/>
    <w:rsid w:val="008C62D6"/>
    <w:rsid w:val="008C62EF"/>
    <w:rsid w:val="008C655B"/>
    <w:rsid w:val="008C65A1"/>
    <w:rsid w:val="008C66E7"/>
    <w:rsid w:val="008C683C"/>
    <w:rsid w:val="008C6956"/>
    <w:rsid w:val="008C6B14"/>
    <w:rsid w:val="008C6B2B"/>
    <w:rsid w:val="008C6BCD"/>
    <w:rsid w:val="008C6C65"/>
    <w:rsid w:val="008C6C92"/>
    <w:rsid w:val="008C6DC4"/>
    <w:rsid w:val="008C6E1C"/>
    <w:rsid w:val="008C6EBC"/>
    <w:rsid w:val="008C7022"/>
    <w:rsid w:val="008C7193"/>
    <w:rsid w:val="008C723E"/>
    <w:rsid w:val="008C7258"/>
    <w:rsid w:val="008C726F"/>
    <w:rsid w:val="008C72E2"/>
    <w:rsid w:val="008C73A1"/>
    <w:rsid w:val="008C7460"/>
    <w:rsid w:val="008C76CE"/>
    <w:rsid w:val="008C789D"/>
    <w:rsid w:val="008C78E4"/>
    <w:rsid w:val="008C78E8"/>
    <w:rsid w:val="008C7AD5"/>
    <w:rsid w:val="008C7AFC"/>
    <w:rsid w:val="008C7BD0"/>
    <w:rsid w:val="008C7FE2"/>
    <w:rsid w:val="008D0055"/>
    <w:rsid w:val="008D0118"/>
    <w:rsid w:val="008D0216"/>
    <w:rsid w:val="008D0259"/>
    <w:rsid w:val="008D03BF"/>
    <w:rsid w:val="008D0428"/>
    <w:rsid w:val="008D05F0"/>
    <w:rsid w:val="008D061D"/>
    <w:rsid w:val="008D0643"/>
    <w:rsid w:val="008D064B"/>
    <w:rsid w:val="008D071C"/>
    <w:rsid w:val="008D08FA"/>
    <w:rsid w:val="008D090B"/>
    <w:rsid w:val="008D0A4C"/>
    <w:rsid w:val="008D0A4E"/>
    <w:rsid w:val="008D0C87"/>
    <w:rsid w:val="008D0D09"/>
    <w:rsid w:val="008D0D55"/>
    <w:rsid w:val="008D0D93"/>
    <w:rsid w:val="008D0DF9"/>
    <w:rsid w:val="008D0EDF"/>
    <w:rsid w:val="008D0F29"/>
    <w:rsid w:val="008D140D"/>
    <w:rsid w:val="008D1482"/>
    <w:rsid w:val="008D1526"/>
    <w:rsid w:val="008D158F"/>
    <w:rsid w:val="008D15E2"/>
    <w:rsid w:val="008D1649"/>
    <w:rsid w:val="008D168E"/>
    <w:rsid w:val="008D1760"/>
    <w:rsid w:val="008D17EB"/>
    <w:rsid w:val="008D1841"/>
    <w:rsid w:val="008D1897"/>
    <w:rsid w:val="008D1AEA"/>
    <w:rsid w:val="008D1E03"/>
    <w:rsid w:val="008D1E9B"/>
    <w:rsid w:val="008D1F8B"/>
    <w:rsid w:val="008D22B1"/>
    <w:rsid w:val="008D22FC"/>
    <w:rsid w:val="008D2347"/>
    <w:rsid w:val="008D238B"/>
    <w:rsid w:val="008D23A4"/>
    <w:rsid w:val="008D265B"/>
    <w:rsid w:val="008D27FF"/>
    <w:rsid w:val="008D2805"/>
    <w:rsid w:val="008D2991"/>
    <w:rsid w:val="008D2A47"/>
    <w:rsid w:val="008D2AE7"/>
    <w:rsid w:val="008D2B48"/>
    <w:rsid w:val="008D2B6E"/>
    <w:rsid w:val="008D2C88"/>
    <w:rsid w:val="008D2D31"/>
    <w:rsid w:val="008D2DD6"/>
    <w:rsid w:val="008D2EDA"/>
    <w:rsid w:val="008D300C"/>
    <w:rsid w:val="008D30C9"/>
    <w:rsid w:val="008D337E"/>
    <w:rsid w:val="008D3541"/>
    <w:rsid w:val="008D36A0"/>
    <w:rsid w:val="008D36D5"/>
    <w:rsid w:val="008D36DA"/>
    <w:rsid w:val="008D376B"/>
    <w:rsid w:val="008D38C9"/>
    <w:rsid w:val="008D3925"/>
    <w:rsid w:val="008D39CE"/>
    <w:rsid w:val="008D39E5"/>
    <w:rsid w:val="008D3A80"/>
    <w:rsid w:val="008D3B82"/>
    <w:rsid w:val="008D3BA5"/>
    <w:rsid w:val="008D3C6A"/>
    <w:rsid w:val="008D3CBE"/>
    <w:rsid w:val="008D3E4C"/>
    <w:rsid w:val="008D3EA5"/>
    <w:rsid w:val="008D3FBA"/>
    <w:rsid w:val="008D417E"/>
    <w:rsid w:val="008D4281"/>
    <w:rsid w:val="008D4290"/>
    <w:rsid w:val="008D42FC"/>
    <w:rsid w:val="008D4330"/>
    <w:rsid w:val="008D43E1"/>
    <w:rsid w:val="008D459B"/>
    <w:rsid w:val="008D45B2"/>
    <w:rsid w:val="008D45B6"/>
    <w:rsid w:val="008D45B9"/>
    <w:rsid w:val="008D45D7"/>
    <w:rsid w:val="008D4686"/>
    <w:rsid w:val="008D4725"/>
    <w:rsid w:val="008D4834"/>
    <w:rsid w:val="008D4871"/>
    <w:rsid w:val="008D4AFB"/>
    <w:rsid w:val="008D4B4D"/>
    <w:rsid w:val="008D4D02"/>
    <w:rsid w:val="008D4D03"/>
    <w:rsid w:val="008D4D1A"/>
    <w:rsid w:val="008D4D58"/>
    <w:rsid w:val="008D4D71"/>
    <w:rsid w:val="008D4F32"/>
    <w:rsid w:val="008D50D9"/>
    <w:rsid w:val="008D53D7"/>
    <w:rsid w:val="008D5702"/>
    <w:rsid w:val="008D5763"/>
    <w:rsid w:val="008D578E"/>
    <w:rsid w:val="008D5861"/>
    <w:rsid w:val="008D5A61"/>
    <w:rsid w:val="008D5BBE"/>
    <w:rsid w:val="008D5C78"/>
    <w:rsid w:val="008D5CA5"/>
    <w:rsid w:val="008D5DB4"/>
    <w:rsid w:val="008D5E7D"/>
    <w:rsid w:val="008D6177"/>
    <w:rsid w:val="008D6178"/>
    <w:rsid w:val="008D621C"/>
    <w:rsid w:val="008D6362"/>
    <w:rsid w:val="008D63B7"/>
    <w:rsid w:val="008D6630"/>
    <w:rsid w:val="008D6684"/>
    <w:rsid w:val="008D6717"/>
    <w:rsid w:val="008D6818"/>
    <w:rsid w:val="008D69EF"/>
    <w:rsid w:val="008D6A38"/>
    <w:rsid w:val="008D6C64"/>
    <w:rsid w:val="008D6D1F"/>
    <w:rsid w:val="008D6ECC"/>
    <w:rsid w:val="008D6F18"/>
    <w:rsid w:val="008D6F1A"/>
    <w:rsid w:val="008D6F1B"/>
    <w:rsid w:val="008D6FB4"/>
    <w:rsid w:val="008D7137"/>
    <w:rsid w:val="008D718F"/>
    <w:rsid w:val="008D7227"/>
    <w:rsid w:val="008D7352"/>
    <w:rsid w:val="008D7360"/>
    <w:rsid w:val="008D7453"/>
    <w:rsid w:val="008D75A0"/>
    <w:rsid w:val="008D75F7"/>
    <w:rsid w:val="008D76AD"/>
    <w:rsid w:val="008D76E3"/>
    <w:rsid w:val="008D775B"/>
    <w:rsid w:val="008D77D0"/>
    <w:rsid w:val="008D78C9"/>
    <w:rsid w:val="008D79F5"/>
    <w:rsid w:val="008D7BC4"/>
    <w:rsid w:val="008D7D6F"/>
    <w:rsid w:val="008D7E34"/>
    <w:rsid w:val="008D7ED4"/>
    <w:rsid w:val="008D7EE5"/>
    <w:rsid w:val="008D7FB4"/>
    <w:rsid w:val="008E01A4"/>
    <w:rsid w:val="008E024B"/>
    <w:rsid w:val="008E03FB"/>
    <w:rsid w:val="008E04C7"/>
    <w:rsid w:val="008E0587"/>
    <w:rsid w:val="008E0643"/>
    <w:rsid w:val="008E065D"/>
    <w:rsid w:val="008E0699"/>
    <w:rsid w:val="008E0862"/>
    <w:rsid w:val="008E0894"/>
    <w:rsid w:val="008E0984"/>
    <w:rsid w:val="008E0A48"/>
    <w:rsid w:val="008E0A5A"/>
    <w:rsid w:val="008E0AB2"/>
    <w:rsid w:val="008E0B62"/>
    <w:rsid w:val="008E0BC8"/>
    <w:rsid w:val="008E0C80"/>
    <w:rsid w:val="008E0CAF"/>
    <w:rsid w:val="008E0D11"/>
    <w:rsid w:val="008E0D19"/>
    <w:rsid w:val="008E0D8A"/>
    <w:rsid w:val="008E0E60"/>
    <w:rsid w:val="008E0FED"/>
    <w:rsid w:val="008E0FF1"/>
    <w:rsid w:val="008E106A"/>
    <w:rsid w:val="008E10B9"/>
    <w:rsid w:val="008E1106"/>
    <w:rsid w:val="008E120B"/>
    <w:rsid w:val="008E1287"/>
    <w:rsid w:val="008E129C"/>
    <w:rsid w:val="008E133E"/>
    <w:rsid w:val="008E16C9"/>
    <w:rsid w:val="008E188F"/>
    <w:rsid w:val="008E1982"/>
    <w:rsid w:val="008E19CB"/>
    <w:rsid w:val="008E1A3F"/>
    <w:rsid w:val="008E1C36"/>
    <w:rsid w:val="008E1D1A"/>
    <w:rsid w:val="008E1DF8"/>
    <w:rsid w:val="008E1E14"/>
    <w:rsid w:val="008E1EA1"/>
    <w:rsid w:val="008E1EE4"/>
    <w:rsid w:val="008E209D"/>
    <w:rsid w:val="008E213A"/>
    <w:rsid w:val="008E2194"/>
    <w:rsid w:val="008E253F"/>
    <w:rsid w:val="008E25F8"/>
    <w:rsid w:val="008E266A"/>
    <w:rsid w:val="008E268B"/>
    <w:rsid w:val="008E291D"/>
    <w:rsid w:val="008E2936"/>
    <w:rsid w:val="008E29B4"/>
    <w:rsid w:val="008E2A6C"/>
    <w:rsid w:val="008E2B0F"/>
    <w:rsid w:val="008E2C41"/>
    <w:rsid w:val="008E2C5E"/>
    <w:rsid w:val="008E2FBA"/>
    <w:rsid w:val="008E3010"/>
    <w:rsid w:val="008E3171"/>
    <w:rsid w:val="008E319A"/>
    <w:rsid w:val="008E31CF"/>
    <w:rsid w:val="008E31DB"/>
    <w:rsid w:val="008E31DD"/>
    <w:rsid w:val="008E32F4"/>
    <w:rsid w:val="008E33D8"/>
    <w:rsid w:val="008E36CE"/>
    <w:rsid w:val="008E3743"/>
    <w:rsid w:val="008E389E"/>
    <w:rsid w:val="008E38FB"/>
    <w:rsid w:val="008E392F"/>
    <w:rsid w:val="008E3950"/>
    <w:rsid w:val="008E397F"/>
    <w:rsid w:val="008E3A7E"/>
    <w:rsid w:val="008E3AEF"/>
    <w:rsid w:val="008E3DB0"/>
    <w:rsid w:val="008E3E06"/>
    <w:rsid w:val="008E3EEB"/>
    <w:rsid w:val="008E3F9E"/>
    <w:rsid w:val="008E4062"/>
    <w:rsid w:val="008E4173"/>
    <w:rsid w:val="008E424B"/>
    <w:rsid w:val="008E433F"/>
    <w:rsid w:val="008E43D3"/>
    <w:rsid w:val="008E4492"/>
    <w:rsid w:val="008E45C0"/>
    <w:rsid w:val="008E4669"/>
    <w:rsid w:val="008E46B2"/>
    <w:rsid w:val="008E4744"/>
    <w:rsid w:val="008E4892"/>
    <w:rsid w:val="008E48CB"/>
    <w:rsid w:val="008E4996"/>
    <w:rsid w:val="008E49D5"/>
    <w:rsid w:val="008E4AB6"/>
    <w:rsid w:val="008E4AF7"/>
    <w:rsid w:val="008E4B28"/>
    <w:rsid w:val="008E4B41"/>
    <w:rsid w:val="008E4BF3"/>
    <w:rsid w:val="008E4C11"/>
    <w:rsid w:val="008E4C33"/>
    <w:rsid w:val="008E4C41"/>
    <w:rsid w:val="008E4F9E"/>
    <w:rsid w:val="008E5014"/>
    <w:rsid w:val="008E5057"/>
    <w:rsid w:val="008E508A"/>
    <w:rsid w:val="008E509C"/>
    <w:rsid w:val="008E50B9"/>
    <w:rsid w:val="008E5193"/>
    <w:rsid w:val="008E52D6"/>
    <w:rsid w:val="008E5463"/>
    <w:rsid w:val="008E54E6"/>
    <w:rsid w:val="008E560B"/>
    <w:rsid w:val="008E5691"/>
    <w:rsid w:val="008E577F"/>
    <w:rsid w:val="008E58E2"/>
    <w:rsid w:val="008E5C6B"/>
    <w:rsid w:val="008E5D3C"/>
    <w:rsid w:val="008E5DA8"/>
    <w:rsid w:val="008E5EDC"/>
    <w:rsid w:val="008E5F2F"/>
    <w:rsid w:val="008E6122"/>
    <w:rsid w:val="008E6228"/>
    <w:rsid w:val="008E626E"/>
    <w:rsid w:val="008E6295"/>
    <w:rsid w:val="008E6335"/>
    <w:rsid w:val="008E635B"/>
    <w:rsid w:val="008E63B3"/>
    <w:rsid w:val="008E63D5"/>
    <w:rsid w:val="008E6470"/>
    <w:rsid w:val="008E669D"/>
    <w:rsid w:val="008E66EC"/>
    <w:rsid w:val="008E6940"/>
    <w:rsid w:val="008E6A27"/>
    <w:rsid w:val="008E6AC9"/>
    <w:rsid w:val="008E6DFF"/>
    <w:rsid w:val="008E6F8B"/>
    <w:rsid w:val="008E7083"/>
    <w:rsid w:val="008E7103"/>
    <w:rsid w:val="008E73A3"/>
    <w:rsid w:val="008E7468"/>
    <w:rsid w:val="008E7547"/>
    <w:rsid w:val="008E7581"/>
    <w:rsid w:val="008E7627"/>
    <w:rsid w:val="008E76F8"/>
    <w:rsid w:val="008E784B"/>
    <w:rsid w:val="008E7A0D"/>
    <w:rsid w:val="008E7A7E"/>
    <w:rsid w:val="008E7A80"/>
    <w:rsid w:val="008E7AC9"/>
    <w:rsid w:val="008E7C27"/>
    <w:rsid w:val="008E7C8E"/>
    <w:rsid w:val="008E7ED7"/>
    <w:rsid w:val="008E7F3D"/>
    <w:rsid w:val="008E7FAE"/>
    <w:rsid w:val="008F00CB"/>
    <w:rsid w:val="008F0117"/>
    <w:rsid w:val="008F0122"/>
    <w:rsid w:val="008F0266"/>
    <w:rsid w:val="008F02D0"/>
    <w:rsid w:val="008F03A0"/>
    <w:rsid w:val="008F03D6"/>
    <w:rsid w:val="008F0492"/>
    <w:rsid w:val="008F056B"/>
    <w:rsid w:val="008F084B"/>
    <w:rsid w:val="008F0954"/>
    <w:rsid w:val="008F09B3"/>
    <w:rsid w:val="008F0AB0"/>
    <w:rsid w:val="008F0CA2"/>
    <w:rsid w:val="008F0CC1"/>
    <w:rsid w:val="008F0D75"/>
    <w:rsid w:val="008F0DA3"/>
    <w:rsid w:val="008F0F9A"/>
    <w:rsid w:val="008F102C"/>
    <w:rsid w:val="008F10D0"/>
    <w:rsid w:val="008F11EA"/>
    <w:rsid w:val="008F1205"/>
    <w:rsid w:val="008F1257"/>
    <w:rsid w:val="008F1269"/>
    <w:rsid w:val="008F13CE"/>
    <w:rsid w:val="008F13E5"/>
    <w:rsid w:val="008F1482"/>
    <w:rsid w:val="008F160B"/>
    <w:rsid w:val="008F165D"/>
    <w:rsid w:val="008F1681"/>
    <w:rsid w:val="008F16DF"/>
    <w:rsid w:val="008F17C0"/>
    <w:rsid w:val="008F17C9"/>
    <w:rsid w:val="008F1815"/>
    <w:rsid w:val="008F186F"/>
    <w:rsid w:val="008F19C7"/>
    <w:rsid w:val="008F1A74"/>
    <w:rsid w:val="008F1A7C"/>
    <w:rsid w:val="008F1AE8"/>
    <w:rsid w:val="008F1B2D"/>
    <w:rsid w:val="008F1BEA"/>
    <w:rsid w:val="008F1E50"/>
    <w:rsid w:val="008F1E8F"/>
    <w:rsid w:val="008F1EE4"/>
    <w:rsid w:val="008F1F23"/>
    <w:rsid w:val="008F232F"/>
    <w:rsid w:val="008F23FE"/>
    <w:rsid w:val="008F2480"/>
    <w:rsid w:val="008F2505"/>
    <w:rsid w:val="008F290F"/>
    <w:rsid w:val="008F291D"/>
    <w:rsid w:val="008F29AF"/>
    <w:rsid w:val="008F2A1F"/>
    <w:rsid w:val="008F2A5A"/>
    <w:rsid w:val="008F2B0D"/>
    <w:rsid w:val="008F2B75"/>
    <w:rsid w:val="008F2B86"/>
    <w:rsid w:val="008F2BC1"/>
    <w:rsid w:val="008F2BEE"/>
    <w:rsid w:val="008F2DC7"/>
    <w:rsid w:val="008F2E1B"/>
    <w:rsid w:val="008F2F19"/>
    <w:rsid w:val="008F2FFA"/>
    <w:rsid w:val="008F3094"/>
    <w:rsid w:val="008F30FE"/>
    <w:rsid w:val="008F3125"/>
    <w:rsid w:val="008F3160"/>
    <w:rsid w:val="008F316C"/>
    <w:rsid w:val="008F3424"/>
    <w:rsid w:val="008F3534"/>
    <w:rsid w:val="008F3560"/>
    <w:rsid w:val="008F35E4"/>
    <w:rsid w:val="008F3604"/>
    <w:rsid w:val="008F3607"/>
    <w:rsid w:val="008F364D"/>
    <w:rsid w:val="008F3671"/>
    <w:rsid w:val="008F368F"/>
    <w:rsid w:val="008F372F"/>
    <w:rsid w:val="008F37AF"/>
    <w:rsid w:val="008F386A"/>
    <w:rsid w:val="008F394B"/>
    <w:rsid w:val="008F3994"/>
    <w:rsid w:val="008F39E1"/>
    <w:rsid w:val="008F3A9D"/>
    <w:rsid w:val="008F3BF2"/>
    <w:rsid w:val="008F3C1B"/>
    <w:rsid w:val="008F3C8E"/>
    <w:rsid w:val="008F3D10"/>
    <w:rsid w:val="008F3DD6"/>
    <w:rsid w:val="008F3FE3"/>
    <w:rsid w:val="008F42B5"/>
    <w:rsid w:val="008F4326"/>
    <w:rsid w:val="008F441B"/>
    <w:rsid w:val="008F44B6"/>
    <w:rsid w:val="008F4581"/>
    <w:rsid w:val="008F4588"/>
    <w:rsid w:val="008F4594"/>
    <w:rsid w:val="008F4934"/>
    <w:rsid w:val="008F4997"/>
    <w:rsid w:val="008F49C1"/>
    <w:rsid w:val="008F4A56"/>
    <w:rsid w:val="008F4ACD"/>
    <w:rsid w:val="008F4B7C"/>
    <w:rsid w:val="008F4C22"/>
    <w:rsid w:val="008F4CE6"/>
    <w:rsid w:val="008F4D06"/>
    <w:rsid w:val="008F4E06"/>
    <w:rsid w:val="008F4F07"/>
    <w:rsid w:val="008F5021"/>
    <w:rsid w:val="008F5040"/>
    <w:rsid w:val="008F5106"/>
    <w:rsid w:val="008F5138"/>
    <w:rsid w:val="008F51CC"/>
    <w:rsid w:val="008F5302"/>
    <w:rsid w:val="008F5481"/>
    <w:rsid w:val="008F54F4"/>
    <w:rsid w:val="008F558E"/>
    <w:rsid w:val="008F55AB"/>
    <w:rsid w:val="008F55B9"/>
    <w:rsid w:val="008F55BD"/>
    <w:rsid w:val="008F560A"/>
    <w:rsid w:val="008F5647"/>
    <w:rsid w:val="008F5874"/>
    <w:rsid w:val="008F5894"/>
    <w:rsid w:val="008F5B06"/>
    <w:rsid w:val="008F5B0C"/>
    <w:rsid w:val="008F5B4F"/>
    <w:rsid w:val="008F5BE5"/>
    <w:rsid w:val="008F5C2F"/>
    <w:rsid w:val="008F5C88"/>
    <w:rsid w:val="008F5CB0"/>
    <w:rsid w:val="008F5CD1"/>
    <w:rsid w:val="008F5CD4"/>
    <w:rsid w:val="008F5D7E"/>
    <w:rsid w:val="008F5EFE"/>
    <w:rsid w:val="008F5F31"/>
    <w:rsid w:val="008F60B3"/>
    <w:rsid w:val="008F610F"/>
    <w:rsid w:val="008F6146"/>
    <w:rsid w:val="008F6155"/>
    <w:rsid w:val="008F616E"/>
    <w:rsid w:val="008F62A4"/>
    <w:rsid w:val="008F62AC"/>
    <w:rsid w:val="008F6324"/>
    <w:rsid w:val="008F64D1"/>
    <w:rsid w:val="008F6610"/>
    <w:rsid w:val="008F667F"/>
    <w:rsid w:val="008F66CB"/>
    <w:rsid w:val="008F6888"/>
    <w:rsid w:val="008F68FD"/>
    <w:rsid w:val="008F6BB1"/>
    <w:rsid w:val="008F6C1D"/>
    <w:rsid w:val="008F6CD4"/>
    <w:rsid w:val="008F6D65"/>
    <w:rsid w:val="008F6E96"/>
    <w:rsid w:val="008F6F32"/>
    <w:rsid w:val="008F703E"/>
    <w:rsid w:val="008F70C8"/>
    <w:rsid w:val="008F7215"/>
    <w:rsid w:val="008F7285"/>
    <w:rsid w:val="008F72B5"/>
    <w:rsid w:val="008F72D5"/>
    <w:rsid w:val="008F7775"/>
    <w:rsid w:val="008F77D8"/>
    <w:rsid w:val="008F7822"/>
    <w:rsid w:val="008F783F"/>
    <w:rsid w:val="008F785A"/>
    <w:rsid w:val="008F7BE0"/>
    <w:rsid w:val="008F7C1E"/>
    <w:rsid w:val="008F7D4B"/>
    <w:rsid w:val="008F7DD1"/>
    <w:rsid w:val="008F7E33"/>
    <w:rsid w:val="008F7F01"/>
    <w:rsid w:val="008F7F85"/>
    <w:rsid w:val="009001D3"/>
    <w:rsid w:val="0090023C"/>
    <w:rsid w:val="009003C3"/>
    <w:rsid w:val="009003D1"/>
    <w:rsid w:val="009003E7"/>
    <w:rsid w:val="009003F5"/>
    <w:rsid w:val="0090040D"/>
    <w:rsid w:val="009005C0"/>
    <w:rsid w:val="009005D3"/>
    <w:rsid w:val="009005D5"/>
    <w:rsid w:val="00900639"/>
    <w:rsid w:val="0090064C"/>
    <w:rsid w:val="0090071B"/>
    <w:rsid w:val="0090079A"/>
    <w:rsid w:val="0090085B"/>
    <w:rsid w:val="00900919"/>
    <w:rsid w:val="00900C62"/>
    <w:rsid w:val="00900C9D"/>
    <w:rsid w:val="00900D61"/>
    <w:rsid w:val="00900D76"/>
    <w:rsid w:val="00900D7B"/>
    <w:rsid w:val="00900DC1"/>
    <w:rsid w:val="00900FD2"/>
    <w:rsid w:val="00900FFE"/>
    <w:rsid w:val="00901011"/>
    <w:rsid w:val="0090114B"/>
    <w:rsid w:val="0090141E"/>
    <w:rsid w:val="0090149D"/>
    <w:rsid w:val="00901511"/>
    <w:rsid w:val="0090152A"/>
    <w:rsid w:val="009016B1"/>
    <w:rsid w:val="0090189F"/>
    <w:rsid w:val="00901979"/>
    <w:rsid w:val="00901A00"/>
    <w:rsid w:val="00901BAD"/>
    <w:rsid w:val="00901C7C"/>
    <w:rsid w:val="00901DF2"/>
    <w:rsid w:val="00901E67"/>
    <w:rsid w:val="00901FB8"/>
    <w:rsid w:val="00901FD4"/>
    <w:rsid w:val="00902168"/>
    <w:rsid w:val="00902170"/>
    <w:rsid w:val="009021B5"/>
    <w:rsid w:val="009022C8"/>
    <w:rsid w:val="00902387"/>
    <w:rsid w:val="00902430"/>
    <w:rsid w:val="0090249C"/>
    <w:rsid w:val="009024F4"/>
    <w:rsid w:val="00902513"/>
    <w:rsid w:val="0090251C"/>
    <w:rsid w:val="009025E0"/>
    <w:rsid w:val="009025E4"/>
    <w:rsid w:val="009025FE"/>
    <w:rsid w:val="009027B8"/>
    <w:rsid w:val="00902840"/>
    <w:rsid w:val="009029A4"/>
    <w:rsid w:val="009029CD"/>
    <w:rsid w:val="009029E5"/>
    <w:rsid w:val="00902A0D"/>
    <w:rsid w:val="00902A95"/>
    <w:rsid w:val="00902BAB"/>
    <w:rsid w:val="00902BC3"/>
    <w:rsid w:val="00902CF4"/>
    <w:rsid w:val="00902F24"/>
    <w:rsid w:val="00902F54"/>
    <w:rsid w:val="00903101"/>
    <w:rsid w:val="0090319D"/>
    <w:rsid w:val="0090320A"/>
    <w:rsid w:val="009033D7"/>
    <w:rsid w:val="00903457"/>
    <w:rsid w:val="00903570"/>
    <w:rsid w:val="009035BD"/>
    <w:rsid w:val="009037CE"/>
    <w:rsid w:val="00903AB8"/>
    <w:rsid w:val="00903B1E"/>
    <w:rsid w:val="00903BB5"/>
    <w:rsid w:val="00903D1E"/>
    <w:rsid w:val="00903D4A"/>
    <w:rsid w:val="00903DB8"/>
    <w:rsid w:val="00903DDC"/>
    <w:rsid w:val="00903E3C"/>
    <w:rsid w:val="00903E6D"/>
    <w:rsid w:val="00904017"/>
    <w:rsid w:val="0090405E"/>
    <w:rsid w:val="00904087"/>
    <w:rsid w:val="00904123"/>
    <w:rsid w:val="009043ED"/>
    <w:rsid w:val="00904418"/>
    <w:rsid w:val="00904648"/>
    <w:rsid w:val="009046CD"/>
    <w:rsid w:val="0090482A"/>
    <w:rsid w:val="0090483B"/>
    <w:rsid w:val="00904C59"/>
    <w:rsid w:val="00904D05"/>
    <w:rsid w:val="009050A0"/>
    <w:rsid w:val="009050A9"/>
    <w:rsid w:val="009050CF"/>
    <w:rsid w:val="009050F3"/>
    <w:rsid w:val="009052DD"/>
    <w:rsid w:val="009052FD"/>
    <w:rsid w:val="0090549C"/>
    <w:rsid w:val="009054A7"/>
    <w:rsid w:val="0090554E"/>
    <w:rsid w:val="009056EC"/>
    <w:rsid w:val="0090578A"/>
    <w:rsid w:val="0090585A"/>
    <w:rsid w:val="00905945"/>
    <w:rsid w:val="009059F4"/>
    <w:rsid w:val="00905AB0"/>
    <w:rsid w:val="00905ABB"/>
    <w:rsid w:val="00905C80"/>
    <w:rsid w:val="00905CAF"/>
    <w:rsid w:val="00905DD8"/>
    <w:rsid w:val="00905E7B"/>
    <w:rsid w:val="00905EB9"/>
    <w:rsid w:val="00905FA3"/>
    <w:rsid w:val="00906152"/>
    <w:rsid w:val="009062D1"/>
    <w:rsid w:val="0090647C"/>
    <w:rsid w:val="009064AB"/>
    <w:rsid w:val="00906699"/>
    <w:rsid w:val="009066B4"/>
    <w:rsid w:val="009066C1"/>
    <w:rsid w:val="00906738"/>
    <w:rsid w:val="0090683F"/>
    <w:rsid w:val="00906852"/>
    <w:rsid w:val="009068ED"/>
    <w:rsid w:val="00906925"/>
    <w:rsid w:val="00906965"/>
    <w:rsid w:val="00906A87"/>
    <w:rsid w:val="00906BCE"/>
    <w:rsid w:val="00906CB3"/>
    <w:rsid w:val="00906D6A"/>
    <w:rsid w:val="00906F0F"/>
    <w:rsid w:val="00906F32"/>
    <w:rsid w:val="00907032"/>
    <w:rsid w:val="0090705B"/>
    <w:rsid w:val="00907136"/>
    <w:rsid w:val="0090713C"/>
    <w:rsid w:val="0090747B"/>
    <w:rsid w:val="009074AF"/>
    <w:rsid w:val="0090766E"/>
    <w:rsid w:val="0090772C"/>
    <w:rsid w:val="00907AC8"/>
    <w:rsid w:val="00907AD5"/>
    <w:rsid w:val="00907C15"/>
    <w:rsid w:val="00907C7B"/>
    <w:rsid w:val="00907CCE"/>
    <w:rsid w:val="00907D09"/>
    <w:rsid w:val="00907D5A"/>
    <w:rsid w:val="00910194"/>
    <w:rsid w:val="0091023F"/>
    <w:rsid w:val="009102D2"/>
    <w:rsid w:val="009102D5"/>
    <w:rsid w:val="00910306"/>
    <w:rsid w:val="0091033F"/>
    <w:rsid w:val="00910378"/>
    <w:rsid w:val="009103A4"/>
    <w:rsid w:val="009103CB"/>
    <w:rsid w:val="0091072A"/>
    <w:rsid w:val="009108AA"/>
    <w:rsid w:val="0091099C"/>
    <w:rsid w:val="00910A6B"/>
    <w:rsid w:val="00910B33"/>
    <w:rsid w:val="00910CB2"/>
    <w:rsid w:val="00910D24"/>
    <w:rsid w:val="00910D82"/>
    <w:rsid w:val="00910D9A"/>
    <w:rsid w:val="00910DB7"/>
    <w:rsid w:val="00910DEA"/>
    <w:rsid w:val="00910EB5"/>
    <w:rsid w:val="00910FC9"/>
    <w:rsid w:val="0091114B"/>
    <w:rsid w:val="009111F5"/>
    <w:rsid w:val="00911250"/>
    <w:rsid w:val="009112A3"/>
    <w:rsid w:val="009114B9"/>
    <w:rsid w:val="009114D7"/>
    <w:rsid w:val="009115CA"/>
    <w:rsid w:val="009117D5"/>
    <w:rsid w:val="009119BD"/>
    <w:rsid w:val="00911A1D"/>
    <w:rsid w:val="00911B2E"/>
    <w:rsid w:val="00911BCD"/>
    <w:rsid w:val="00911D3A"/>
    <w:rsid w:val="00911DA7"/>
    <w:rsid w:val="00911E91"/>
    <w:rsid w:val="00911F3F"/>
    <w:rsid w:val="00911FE6"/>
    <w:rsid w:val="0091232A"/>
    <w:rsid w:val="00912425"/>
    <w:rsid w:val="0091244D"/>
    <w:rsid w:val="00912484"/>
    <w:rsid w:val="009129FC"/>
    <w:rsid w:val="00912AC9"/>
    <w:rsid w:val="00912DDF"/>
    <w:rsid w:val="00912E55"/>
    <w:rsid w:val="00912ECE"/>
    <w:rsid w:val="00913230"/>
    <w:rsid w:val="0091327F"/>
    <w:rsid w:val="009132B0"/>
    <w:rsid w:val="00913344"/>
    <w:rsid w:val="00913526"/>
    <w:rsid w:val="009135A8"/>
    <w:rsid w:val="00913608"/>
    <w:rsid w:val="00913787"/>
    <w:rsid w:val="00913875"/>
    <w:rsid w:val="0091390E"/>
    <w:rsid w:val="00913A8A"/>
    <w:rsid w:val="00913AD1"/>
    <w:rsid w:val="00913BAE"/>
    <w:rsid w:val="00913E98"/>
    <w:rsid w:val="00913FE0"/>
    <w:rsid w:val="0091405E"/>
    <w:rsid w:val="0091411E"/>
    <w:rsid w:val="009141F9"/>
    <w:rsid w:val="0091430A"/>
    <w:rsid w:val="0091432C"/>
    <w:rsid w:val="00914579"/>
    <w:rsid w:val="009145DD"/>
    <w:rsid w:val="00914653"/>
    <w:rsid w:val="0091469E"/>
    <w:rsid w:val="0091473E"/>
    <w:rsid w:val="009147C3"/>
    <w:rsid w:val="00914851"/>
    <w:rsid w:val="00914858"/>
    <w:rsid w:val="009148CA"/>
    <w:rsid w:val="00914A9E"/>
    <w:rsid w:val="00914B0D"/>
    <w:rsid w:val="00914C52"/>
    <w:rsid w:val="00914D62"/>
    <w:rsid w:val="00914DE7"/>
    <w:rsid w:val="00914EE7"/>
    <w:rsid w:val="00914F1C"/>
    <w:rsid w:val="00914F70"/>
    <w:rsid w:val="009150CB"/>
    <w:rsid w:val="009152C1"/>
    <w:rsid w:val="0091545B"/>
    <w:rsid w:val="00915526"/>
    <w:rsid w:val="0091554D"/>
    <w:rsid w:val="0091563B"/>
    <w:rsid w:val="00915701"/>
    <w:rsid w:val="00915715"/>
    <w:rsid w:val="009157FC"/>
    <w:rsid w:val="0091584B"/>
    <w:rsid w:val="00915920"/>
    <w:rsid w:val="009159D3"/>
    <w:rsid w:val="00915AAD"/>
    <w:rsid w:val="00915B07"/>
    <w:rsid w:val="00915C22"/>
    <w:rsid w:val="00915C6E"/>
    <w:rsid w:val="00915D35"/>
    <w:rsid w:val="00915E53"/>
    <w:rsid w:val="00916062"/>
    <w:rsid w:val="0091634B"/>
    <w:rsid w:val="00916403"/>
    <w:rsid w:val="00916441"/>
    <w:rsid w:val="00916449"/>
    <w:rsid w:val="009164B5"/>
    <w:rsid w:val="00916667"/>
    <w:rsid w:val="00916791"/>
    <w:rsid w:val="00916933"/>
    <w:rsid w:val="00916A9B"/>
    <w:rsid w:val="00916B37"/>
    <w:rsid w:val="00916BFA"/>
    <w:rsid w:val="00916CFA"/>
    <w:rsid w:val="00916FD7"/>
    <w:rsid w:val="0091719B"/>
    <w:rsid w:val="00917281"/>
    <w:rsid w:val="0091736A"/>
    <w:rsid w:val="009174FB"/>
    <w:rsid w:val="0091758C"/>
    <w:rsid w:val="00917631"/>
    <w:rsid w:val="00917643"/>
    <w:rsid w:val="00917677"/>
    <w:rsid w:val="009178EC"/>
    <w:rsid w:val="00917996"/>
    <w:rsid w:val="00917A87"/>
    <w:rsid w:val="00917ACC"/>
    <w:rsid w:val="00917CA4"/>
    <w:rsid w:val="00917D0E"/>
    <w:rsid w:val="00917D8E"/>
    <w:rsid w:val="0092002E"/>
    <w:rsid w:val="00920248"/>
    <w:rsid w:val="009203BF"/>
    <w:rsid w:val="009204BF"/>
    <w:rsid w:val="009205F7"/>
    <w:rsid w:val="0092072A"/>
    <w:rsid w:val="00920907"/>
    <w:rsid w:val="00920967"/>
    <w:rsid w:val="00920A0A"/>
    <w:rsid w:val="00920AED"/>
    <w:rsid w:val="00920B14"/>
    <w:rsid w:val="00920B51"/>
    <w:rsid w:val="00920C80"/>
    <w:rsid w:val="00920EC6"/>
    <w:rsid w:val="00920ED7"/>
    <w:rsid w:val="00920FE0"/>
    <w:rsid w:val="00920FEB"/>
    <w:rsid w:val="00921018"/>
    <w:rsid w:val="0092107C"/>
    <w:rsid w:val="00921106"/>
    <w:rsid w:val="00921261"/>
    <w:rsid w:val="00921310"/>
    <w:rsid w:val="009214AD"/>
    <w:rsid w:val="009214F6"/>
    <w:rsid w:val="00921706"/>
    <w:rsid w:val="00921731"/>
    <w:rsid w:val="009219FE"/>
    <w:rsid w:val="00921A3B"/>
    <w:rsid w:val="00921A7C"/>
    <w:rsid w:val="00921CB7"/>
    <w:rsid w:val="00922118"/>
    <w:rsid w:val="0092212A"/>
    <w:rsid w:val="009221B7"/>
    <w:rsid w:val="009221CA"/>
    <w:rsid w:val="00922237"/>
    <w:rsid w:val="009222EE"/>
    <w:rsid w:val="0092235C"/>
    <w:rsid w:val="009223E6"/>
    <w:rsid w:val="009223E9"/>
    <w:rsid w:val="0092244A"/>
    <w:rsid w:val="009225EC"/>
    <w:rsid w:val="009227E8"/>
    <w:rsid w:val="009229A9"/>
    <w:rsid w:val="009229CE"/>
    <w:rsid w:val="00922AFD"/>
    <w:rsid w:val="00922B04"/>
    <w:rsid w:val="00922B09"/>
    <w:rsid w:val="00922EC7"/>
    <w:rsid w:val="00922FB9"/>
    <w:rsid w:val="00922FE5"/>
    <w:rsid w:val="00923106"/>
    <w:rsid w:val="0092317C"/>
    <w:rsid w:val="009231CA"/>
    <w:rsid w:val="00923307"/>
    <w:rsid w:val="009233DE"/>
    <w:rsid w:val="009233F3"/>
    <w:rsid w:val="00923484"/>
    <w:rsid w:val="009236AE"/>
    <w:rsid w:val="009236E7"/>
    <w:rsid w:val="00923863"/>
    <w:rsid w:val="00923911"/>
    <w:rsid w:val="00923918"/>
    <w:rsid w:val="00923993"/>
    <w:rsid w:val="00923AF3"/>
    <w:rsid w:val="00923B1E"/>
    <w:rsid w:val="00923B97"/>
    <w:rsid w:val="00923ED0"/>
    <w:rsid w:val="00923EDF"/>
    <w:rsid w:val="00923EF5"/>
    <w:rsid w:val="00923EF8"/>
    <w:rsid w:val="00924108"/>
    <w:rsid w:val="00924152"/>
    <w:rsid w:val="0092417E"/>
    <w:rsid w:val="009242B5"/>
    <w:rsid w:val="0092443A"/>
    <w:rsid w:val="0092443C"/>
    <w:rsid w:val="009244DA"/>
    <w:rsid w:val="0092453E"/>
    <w:rsid w:val="009245C2"/>
    <w:rsid w:val="0092471E"/>
    <w:rsid w:val="00924A55"/>
    <w:rsid w:val="00924A7F"/>
    <w:rsid w:val="00924B74"/>
    <w:rsid w:val="00924CB6"/>
    <w:rsid w:val="00924D0B"/>
    <w:rsid w:val="00924D34"/>
    <w:rsid w:val="00924E27"/>
    <w:rsid w:val="00924E38"/>
    <w:rsid w:val="00924F5B"/>
    <w:rsid w:val="00924FAC"/>
    <w:rsid w:val="0092504C"/>
    <w:rsid w:val="00925158"/>
    <w:rsid w:val="009251FF"/>
    <w:rsid w:val="00925264"/>
    <w:rsid w:val="0092530C"/>
    <w:rsid w:val="0092547E"/>
    <w:rsid w:val="009255E6"/>
    <w:rsid w:val="00925692"/>
    <w:rsid w:val="00925927"/>
    <w:rsid w:val="00925941"/>
    <w:rsid w:val="009259E7"/>
    <w:rsid w:val="00925A76"/>
    <w:rsid w:val="00925C2E"/>
    <w:rsid w:val="00925C35"/>
    <w:rsid w:val="00925D8C"/>
    <w:rsid w:val="00925E3A"/>
    <w:rsid w:val="00926021"/>
    <w:rsid w:val="00926091"/>
    <w:rsid w:val="00926156"/>
    <w:rsid w:val="00926194"/>
    <w:rsid w:val="009261C2"/>
    <w:rsid w:val="00926266"/>
    <w:rsid w:val="009262AA"/>
    <w:rsid w:val="009262DE"/>
    <w:rsid w:val="009262F1"/>
    <w:rsid w:val="00926318"/>
    <w:rsid w:val="009263A7"/>
    <w:rsid w:val="00926526"/>
    <w:rsid w:val="0092663D"/>
    <w:rsid w:val="0092673F"/>
    <w:rsid w:val="00926748"/>
    <w:rsid w:val="009267B5"/>
    <w:rsid w:val="00926828"/>
    <w:rsid w:val="00926B80"/>
    <w:rsid w:val="00926BAB"/>
    <w:rsid w:val="00926BBB"/>
    <w:rsid w:val="00926BD9"/>
    <w:rsid w:val="00926CA9"/>
    <w:rsid w:val="00926D00"/>
    <w:rsid w:val="00926DE3"/>
    <w:rsid w:val="00926EF4"/>
    <w:rsid w:val="00926FEE"/>
    <w:rsid w:val="009271CD"/>
    <w:rsid w:val="009271F3"/>
    <w:rsid w:val="009271FF"/>
    <w:rsid w:val="00927226"/>
    <w:rsid w:val="0092726F"/>
    <w:rsid w:val="00927344"/>
    <w:rsid w:val="0092734D"/>
    <w:rsid w:val="0092739F"/>
    <w:rsid w:val="009273B7"/>
    <w:rsid w:val="00927492"/>
    <w:rsid w:val="009275E2"/>
    <w:rsid w:val="00927645"/>
    <w:rsid w:val="00927656"/>
    <w:rsid w:val="009277EC"/>
    <w:rsid w:val="0092783E"/>
    <w:rsid w:val="009278A1"/>
    <w:rsid w:val="009278D5"/>
    <w:rsid w:val="00927A7F"/>
    <w:rsid w:val="00927C72"/>
    <w:rsid w:val="00927D59"/>
    <w:rsid w:val="00927F64"/>
    <w:rsid w:val="00927FE0"/>
    <w:rsid w:val="00927FEB"/>
    <w:rsid w:val="009300B5"/>
    <w:rsid w:val="009300D3"/>
    <w:rsid w:val="0093012B"/>
    <w:rsid w:val="0093012E"/>
    <w:rsid w:val="0093023F"/>
    <w:rsid w:val="0093037D"/>
    <w:rsid w:val="009305B1"/>
    <w:rsid w:val="0093076E"/>
    <w:rsid w:val="009308C2"/>
    <w:rsid w:val="009308DB"/>
    <w:rsid w:val="009308F4"/>
    <w:rsid w:val="00930931"/>
    <w:rsid w:val="00930998"/>
    <w:rsid w:val="00930A42"/>
    <w:rsid w:val="00930ACE"/>
    <w:rsid w:val="00930ADB"/>
    <w:rsid w:val="00930AE3"/>
    <w:rsid w:val="00930C33"/>
    <w:rsid w:val="00930C7D"/>
    <w:rsid w:val="00930FB4"/>
    <w:rsid w:val="00930FF5"/>
    <w:rsid w:val="009311DC"/>
    <w:rsid w:val="00931420"/>
    <w:rsid w:val="0093144B"/>
    <w:rsid w:val="00931830"/>
    <w:rsid w:val="00931831"/>
    <w:rsid w:val="00931995"/>
    <w:rsid w:val="009319CD"/>
    <w:rsid w:val="00931D7B"/>
    <w:rsid w:val="00931DE8"/>
    <w:rsid w:val="00931DFA"/>
    <w:rsid w:val="00931E03"/>
    <w:rsid w:val="00931EFE"/>
    <w:rsid w:val="00932027"/>
    <w:rsid w:val="0093205B"/>
    <w:rsid w:val="00932175"/>
    <w:rsid w:val="00932193"/>
    <w:rsid w:val="00932198"/>
    <w:rsid w:val="009325BD"/>
    <w:rsid w:val="009325DB"/>
    <w:rsid w:val="00932605"/>
    <w:rsid w:val="0093263E"/>
    <w:rsid w:val="00932960"/>
    <w:rsid w:val="009329CE"/>
    <w:rsid w:val="00932B37"/>
    <w:rsid w:val="00932D5C"/>
    <w:rsid w:val="00932D75"/>
    <w:rsid w:val="00932EA3"/>
    <w:rsid w:val="00932F55"/>
    <w:rsid w:val="0093309D"/>
    <w:rsid w:val="00933327"/>
    <w:rsid w:val="009333F4"/>
    <w:rsid w:val="00933464"/>
    <w:rsid w:val="00933552"/>
    <w:rsid w:val="00933563"/>
    <w:rsid w:val="0093372E"/>
    <w:rsid w:val="009337BC"/>
    <w:rsid w:val="0093382C"/>
    <w:rsid w:val="009338D8"/>
    <w:rsid w:val="009338DB"/>
    <w:rsid w:val="00933913"/>
    <w:rsid w:val="00933951"/>
    <w:rsid w:val="009339E0"/>
    <w:rsid w:val="00933A78"/>
    <w:rsid w:val="00933DC9"/>
    <w:rsid w:val="00933E97"/>
    <w:rsid w:val="0093420C"/>
    <w:rsid w:val="009343E7"/>
    <w:rsid w:val="009344BC"/>
    <w:rsid w:val="00934566"/>
    <w:rsid w:val="00934630"/>
    <w:rsid w:val="009347A0"/>
    <w:rsid w:val="009347CB"/>
    <w:rsid w:val="00934856"/>
    <w:rsid w:val="0093494F"/>
    <w:rsid w:val="00934979"/>
    <w:rsid w:val="009349F7"/>
    <w:rsid w:val="00934B14"/>
    <w:rsid w:val="00934B5C"/>
    <w:rsid w:val="00934BAC"/>
    <w:rsid w:val="00934CFC"/>
    <w:rsid w:val="00934D9D"/>
    <w:rsid w:val="00934E22"/>
    <w:rsid w:val="00934E5F"/>
    <w:rsid w:val="00934E85"/>
    <w:rsid w:val="00934EE6"/>
    <w:rsid w:val="009351E3"/>
    <w:rsid w:val="00935216"/>
    <w:rsid w:val="0093538A"/>
    <w:rsid w:val="0093539A"/>
    <w:rsid w:val="00935503"/>
    <w:rsid w:val="00935564"/>
    <w:rsid w:val="009355B3"/>
    <w:rsid w:val="009355DD"/>
    <w:rsid w:val="009356A6"/>
    <w:rsid w:val="0093573D"/>
    <w:rsid w:val="00935779"/>
    <w:rsid w:val="0093577C"/>
    <w:rsid w:val="0093578A"/>
    <w:rsid w:val="00935818"/>
    <w:rsid w:val="00935898"/>
    <w:rsid w:val="00935915"/>
    <w:rsid w:val="00935C5E"/>
    <w:rsid w:val="00935DDD"/>
    <w:rsid w:val="00935E37"/>
    <w:rsid w:val="00936053"/>
    <w:rsid w:val="00936074"/>
    <w:rsid w:val="0093633D"/>
    <w:rsid w:val="00936497"/>
    <w:rsid w:val="009364B4"/>
    <w:rsid w:val="0093658E"/>
    <w:rsid w:val="009366C1"/>
    <w:rsid w:val="00936713"/>
    <w:rsid w:val="009367B1"/>
    <w:rsid w:val="0093681D"/>
    <w:rsid w:val="00936917"/>
    <w:rsid w:val="00936ABB"/>
    <w:rsid w:val="00936B02"/>
    <w:rsid w:val="00936B0C"/>
    <w:rsid w:val="00936B18"/>
    <w:rsid w:val="00936B5F"/>
    <w:rsid w:val="00936BAC"/>
    <w:rsid w:val="00936BEB"/>
    <w:rsid w:val="00936BEF"/>
    <w:rsid w:val="00936D3F"/>
    <w:rsid w:val="00936EA2"/>
    <w:rsid w:val="00936EC2"/>
    <w:rsid w:val="00936F08"/>
    <w:rsid w:val="00936F3B"/>
    <w:rsid w:val="00936FF1"/>
    <w:rsid w:val="00937045"/>
    <w:rsid w:val="00937064"/>
    <w:rsid w:val="00937076"/>
    <w:rsid w:val="009370A3"/>
    <w:rsid w:val="009371EB"/>
    <w:rsid w:val="0093721A"/>
    <w:rsid w:val="0093733A"/>
    <w:rsid w:val="0093749B"/>
    <w:rsid w:val="00937539"/>
    <w:rsid w:val="00937605"/>
    <w:rsid w:val="00937629"/>
    <w:rsid w:val="009376CC"/>
    <w:rsid w:val="009376EE"/>
    <w:rsid w:val="009376FD"/>
    <w:rsid w:val="009379B2"/>
    <w:rsid w:val="00937A38"/>
    <w:rsid w:val="00937B75"/>
    <w:rsid w:val="00937DB1"/>
    <w:rsid w:val="00937DC6"/>
    <w:rsid w:val="00937E3A"/>
    <w:rsid w:val="00937ED6"/>
    <w:rsid w:val="00937F57"/>
    <w:rsid w:val="00937FCD"/>
    <w:rsid w:val="00937FDD"/>
    <w:rsid w:val="0094007F"/>
    <w:rsid w:val="009400C3"/>
    <w:rsid w:val="00940288"/>
    <w:rsid w:val="0094029C"/>
    <w:rsid w:val="00940396"/>
    <w:rsid w:val="00940471"/>
    <w:rsid w:val="00940792"/>
    <w:rsid w:val="00940866"/>
    <w:rsid w:val="009408A2"/>
    <w:rsid w:val="00940946"/>
    <w:rsid w:val="00940A4D"/>
    <w:rsid w:val="00940A9B"/>
    <w:rsid w:val="00940AEF"/>
    <w:rsid w:val="00940BFF"/>
    <w:rsid w:val="00940CF7"/>
    <w:rsid w:val="00940E11"/>
    <w:rsid w:val="00940E65"/>
    <w:rsid w:val="00940E68"/>
    <w:rsid w:val="00940F43"/>
    <w:rsid w:val="00940FCD"/>
    <w:rsid w:val="0094101E"/>
    <w:rsid w:val="00941038"/>
    <w:rsid w:val="0094109F"/>
    <w:rsid w:val="00941200"/>
    <w:rsid w:val="009413E1"/>
    <w:rsid w:val="00941545"/>
    <w:rsid w:val="0094157A"/>
    <w:rsid w:val="009415EC"/>
    <w:rsid w:val="00941792"/>
    <w:rsid w:val="00941801"/>
    <w:rsid w:val="0094188E"/>
    <w:rsid w:val="009418A1"/>
    <w:rsid w:val="0094198B"/>
    <w:rsid w:val="009419C9"/>
    <w:rsid w:val="009419D9"/>
    <w:rsid w:val="00941A73"/>
    <w:rsid w:val="00941B38"/>
    <w:rsid w:val="00941C07"/>
    <w:rsid w:val="00941C74"/>
    <w:rsid w:val="00941D4A"/>
    <w:rsid w:val="00941DCD"/>
    <w:rsid w:val="00941EBF"/>
    <w:rsid w:val="00941F2D"/>
    <w:rsid w:val="00941F46"/>
    <w:rsid w:val="00942060"/>
    <w:rsid w:val="009420ED"/>
    <w:rsid w:val="00942115"/>
    <w:rsid w:val="0094233F"/>
    <w:rsid w:val="00942487"/>
    <w:rsid w:val="009424D4"/>
    <w:rsid w:val="00942641"/>
    <w:rsid w:val="00942676"/>
    <w:rsid w:val="009426F6"/>
    <w:rsid w:val="0094275D"/>
    <w:rsid w:val="009427DC"/>
    <w:rsid w:val="00942861"/>
    <w:rsid w:val="00942954"/>
    <w:rsid w:val="00942C7B"/>
    <w:rsid w:val="00942CFF"/>
    <w:rsid w:val="00942D8B"/>
    <w:rsid w:val="00942F2B"/>
    <w:rsid w:val="00942F78"/>
    <w:rsid w:val="009430D0"/>
    <w:rsid w:val="009430ED"/>
    <w:rsid w:val="009430FF"/>
    <w:rsid w:val="00943260"/>
    <w:rsid w:val="00943298"/>
    <w:rsid w:val="00943313"/>
    <w:rsid w:val="00943334"/>
    <w:rsid w:val="00943405"/>
    <w:rsid w:val="00943529"/>
    <w:rsid w:val="0094354A"/>
    <w:rsid w:val="00943607"/>
    <w:rsid w:val="00943669"/>
    <w:rsid w:val="0094387D"/>
    <w:rsid w:val="00943AEA"/>
    <w:rsid w:val="00943B56"/>
    <w:rsid w:val="00943C18"/>
    <w:rsid w:val="00943D2E"/>
    <w:rsid w:val="00943D2F"/>
    <w:rsid w:val="00943DD7"/>
    <w:rsid w:val="00943EDF"/>
    <w:rsid w:val="00943F0B"/>
    <w:rsid w:val="00943F74"/>
    <w:rsid w:val="00943F86"/>
    <w:rsid w:val="0094405D"/>
    <w:rsid w:val="00944153"/>
    <w:rsid w:val="009441CE"/>
    <w:rsid w:val="0094433C"/>
    <w:rsid w:val="009443F3"/>
    <w:rsid w:val="0094442B"/>
    <w:rsid w:val="009444DA"/>
    <w:rsid w:val="009444E8"/>
    <w:rsid w:val="0094451A"/>
    <w:rsid w:val="00944533"/>
    <w:rsid w:val="009446E8"/>
    <w:rsid w:val="00944712"/>
    <w:rsid w:val="00944765"/>
    <w:rsid w:val="00944945"/>
    <w:rsid w:val="00944D3A"/>
    <w:rsid w:val="00944F09"/>
    <w:rsid w:val="0094528E"/>
    <w:rsid w:val="00945314"/>
    <w:rsid w:val="009453ED"/>
    <w:rsid w:val="009454A0"/>
    <w:rsid w:val="009454B9"/>
    <w:rsid w:val="009456F5"/>
    <w:rsid w:val="00945740"/>
    <w:rsid w:val="0094582C"/>
    <w:rsid w:val="009458AB"/>
    <w:rsid w:val="009458AE"/>
    <w:rsid w:val="00945A33"/>
    <w:rsid w:val="00945AD1"/>
    <w:rsid w:val="00945BBD"/>
    <w:rsid w:val="00945CA1"/>
    <w:rsid w:val="00945EF8"/>
    <w:rsid w:val="00945F47"/>
    <w:rsid w:val="00945FC1"/>
    <w:rsid w:val="00946157"/>
    <w:rsid w:val="009461DA"/>
    <w:rsid w:val="009462CD"/>
    <w:rsid w:val="00946353"/>
    <w:rsid w:val="009463A1"/>
    <w:rsid w:val="00946597"/>
    <w:rsid w:val="00946654"/>
    <w:rsid w:val="0094673B"/>
    <w:rsid w:val="0094678D"/>
    <w:rsid w:val="009468EB"/>
    <w:rsid w:val="0094695B"/>
    <w:rsid w:val="00946AB7"/>
    <w:rsid w:val="00946AEA"/>
    <w:rsid w:val="00946B1D"/>
    <w:rsid w:val="00946B6B"/>
    <w:rsid w:val="00946BD9"/>
    <w:rsid w:val="00946EF4"/>
    <w:rsid w:val="00946F45"/>
    <w:rsid w:val="00946FE7"/>
    <w:rsid w:val="0094709E"/>
    <w:rsid w:val="0094715E"/>
    <w:rsid w:val="00947223"/>
    <w:rsid w:val="009472B5"/>
    <w:rsid w:val="009472C5"/>
    <w:rsid w:val="00947306"/>
    <w:rsid w:val="00947700"/>
    <w:rsid w:val="00947790"/>
    <w:rsid w:val="009477B1"/>
    <w:rsid w:val="009477FB"/>
    <w:rsid w:val="009478AA"/>
    <w:rsid w:val="009478E3"/>
    <w:rsid w:val="009479B3"/>
    <w:rsid w:val="00947A2F"/>
    <w:rsid w:val="00947B49"/>
    <w:rsid w:val="00947B9A"/>
    <w:rsid w:val="00947F32"/>
    <w:rsid w:val="00947F38"/>
    <w:rsid w:val="00947F41"/>
    <w:rsid w:val="009502BC"/>
    <w:rsid w:val="0095031F"/>
    <w:rsid w:val="00950455"/>
    <w:rsid w:val="009504AD"/>
    <w:rsid w:val="0095050F"/>
    <w:rsid w:val="0095054C"/>
    <w:rsid w:val="00950579"/>
    <w:rsid w:val="009505F8"/>
    <w:rsid w:val="00950801"/>
    <w:rsid w:val="0095095C"/>
    <w:rsid w:val="00950969"/>
    <w:rsid w:val="00950BC8"/>
    <w:rsid w:val="00950BDB"/>
    <w:rsid w:val="00950D44"/>
    <w:rsid w:val="00950E99"/>
    <w:rsid w:val="00950EB0"/>
    <w:rsid w:val="00950EC1"/>
    <w:rsid w:val="00950EF3"/>
    <w:rsid w:val="00951215"/>
    <w:rsid w:val="0095121C"/>
    <w:rsid w:val="0095125B"/>
    <w:rsid w:val="0095146A"/>
    <w:rsid w:val="009517A2"/>
    <w:rsid w:val="0095189A"/>
    <w:rsid w:val="00951A11"/>
    <w:rsid w:val="00951A91"/>
    <w:rsid w:val="00951ADF"/>
    <w:rsid w:val="00951AF0"/>
    <w:rsid w:val="00951B41"/>
    <w:rsid w:val="00951C17"/>
    <w:rsid w:val="00951D23"/>
    <w:rsid w:val="00951D58"/>
    <w:rsid w:val="00952004"/>
    <w:rsid w:val="009522A7"/>
    <w:rsid w:val="009523EB"/>
    <w:rsid w:val="0095244A"/>
    <w:rsid w:val="00952476"/>
    <w:rsid w:val="0095256B"/>
    <w:rsid w:val="00952616"/>
    <w:rsid w:val="00952675"/>
    <w:rsid w:val="00952830"/>
    <w:rsid w:val="00952915"/>
    <w:rsid w:val="009529C6"/>
    <w:rsid w:val="00952AAD"/>
    <w:rsid w:val="00952AD2"/>
    <w:rsid w:val="00952C68"/>
    <w:rsid w:val="00952CD9"/>
    <w:rsid w:val="00952D1F"/>
    <w:rsid w:val="00952F07"/>
    <w:rsid w:val="00952FE6"/>
    <w:rsid w:val="00953056"/>
    <w:rsid w:val="00953092"/>
    <w:rsid w:val="009530C7"/>
    <w:rsid w:val="0095312A"/>
    <w:rsid w:val="00953198"/>
    <w:rsid w:val="00953379"/>
    <w:rsid w:val="0095341F"/>
    <w:rsid w:val="00953445"/>
    <w:rsid w:val="0095348B"/>
    <w:rsid w:val="009536AA"/>
    <w:rsid w:val="009536BE"/>
    <w:rsid w:val="0095388D"/>
    <w:rsid w:val="009538B3"/>
    <w:rsid w:val="00953930"/>
    <w:rsid w:val="00953A54"/>
    <w:rsid w:val="00953B87"/>
    <w:rsid w:val="00953C0A"/>
    <w:rsid w:val="00953C0C"/>
    <w:rsid w:val="00953C27"/>
    <w:rsid w:val="00954195"/>
    <w:rsid w:val="009541B2"/>
    <w:rsid w:val="00954214"/>
    <w:rsid w:val="0095423E"/>
    <w:rsid w:val="009542F3"/>
    <w:rsid w:val="0095442E"/>
    <w:rsid w:val="00954430"/>
    <w:rsid w:val="00954441"/>
    <w:rsid w:val="00954470"/>
    <w:rsid w:val="00954640"/>
    <w:rsid w:val="00954680"/>
    <w:rsid w:val="0095468E"/>
    <w:rsid w:val="009546A9"/>
    <w:rsid w:val="009547CB"/>
    <w:rsid w:val="0095492F"/>
    <w:rsid w:val="00954A9F"/>
    <w:rsid w:val="00954BF0"/>
    <w:rsid w:val="00954C1A"/>
    <w:rsid w:val="00954C56"/>
    <w:rsid w:val="00954C97"/>
    <w:rsid w:val="00954D40"/>
    <w:rsid w:val="00954D78"/>
    <w:rsid w:val="00954DAA"/>
    <w:rsid w:val="00954DB5"/>
    <w:rsid w:val="00954E90"/>
    <w:rsid w:val="00954E9F"/>
    <w:rsid w:val="00954EBD"/>
    <w:rsid w:val="00954EBF"/>
    <w:rsid w:val="00954EE0"/>
    <w:rsid w:val="00954FE7"/>
    <w:rsid w:val="0095505C"/>
    <w:rsid w:val="00955084"/>
    <w:rsid w:val="00955221"/>
    <w:rsid w:val="0095523C"/>
    <w:rsid w:val="00955291"/>
    <w:rsid w:val="00955383"/>
    <w:rsid w:val="0095571D"/>
    <w:rsid w:val="00955D0C"/>
    <w:rsid w:val="00955DF8"/>
    <w:rsid w:val="00955F39"/>
    <w:rsid w:val="00955FB8"/>
    <w:rsid w:val="00956009"/>
    <w:rsid w:val="00956081"/>
    <w:rsid w:val="00956109"/>
    <w:rsid w:val="0095617E"/>
    <w:rsid w:val="009561AC"/>
    <w:rsid w:val="009561C9"/>
    <w:rsid w:val="00956458"/>
    <w:rsid w:val="00956624"/>
    <w:rsid w:val="009566C7"/>
    <w:rsid w:val="0095673E"/>
    <w:rsid w:val="00956771"/>
    <w:rsid w:val="00956775"/>
    <w:rsid w:val="009567EC"/>
    <w:rsid w:val="00956873"/>
    <w:rsid w:val="0095687E"/>
    <w:rsid w:val="009569A5"/>
    <w:rsid w:val="00956B9D"/>
    <w:rsid w:val="00956C36"/>
    <w:rsid w:val="00956C37"/>
    <w:rsid w:val="00956C83"/>
    <w:rsid w:val="00956C8E"/>
    <w:rsid w:val="00956F55"/>
    <w:rsid w:val="009571DE"/>
    <w:rsid w:val="009571F7"/>
    <w:rsid w:val="009572A4"/>
    <w:rsid w:val="009574AE"/>
    <w:rsid w:val="0095789C"/>
    <w:rsid w:val="009579A4"/>
    <w:rsid w:val="009579BE"/>
    <w:rsid w:val="00957AC4"/>
    <w:rsid w:val="00957C4C"/>
    <w:rsid w:val="00957EE3"/>
    <w:rsid w:val="00957EE8"/>
    <w:rsid w:val="00957F0A"/>
    <w:rsid w:val="00957F4C"/>
    <w:rsid w:val="00957F95"/>
    <w:rsid w:val="0096007D"/>
    <w:rsid w:val="0096008F"/>
    <w:rsid w:val="009600CF"/>
    <w:rsid w:val="009601E9"/>
    <w:rsid w:val="00960247"/>
    <w:rsid w:val="00960276"/>
    <w:rsid w:val="009602E9"/>
    <w:rsid w:val="0096035C"/>
    <w:rsid w:val="0096039A"/>
    <w:rsid w:val="00960424"/>
    <w:rsid w:val="009604CE"/>
    <w:rsid w:val="009605A2"/>
    <w:rsid w:val="0096060E"/>
    <w:rsid w:val="00960788"/>
    <w:rsid w:val="0096080F"/>
    <w:rsid w:val="00960843"/>
    <w:rsid w:val="00960A1A"/>
    <w:rsid w:val="00960A51"/>
    <w:rsid w:val="00960A9F"/>
    <w:rsid w:val="00960AA0"/>
    <w:rsid w:val="00960B37"/>
    <w:rsid w:val="00960B5F"/>
    <w:rsid w:val="00960BAB"/>
    <w:rsid w:val="00960C20"/>
    <w:rsid w:val="009610A0"/>
    <w:rsid w:val="009611A6"/>
    <w:rsid w:val="0096122A"/>
    <w:rsid w:val="00961300"/>
    <w:rsid w:val="009615CB"/>
    <w:rsid w:val="00961865"/>
    <w:rsid w:val="00961AD7"/>
    <w:rsid w:val="00961B8E"/>
    <w:rsid w:val="00961B9A"/>
    <w:rsid w:val="00961BB4"/>
    <w:rsid w:val="00961CA4"/>
    <w:rsid w:val="00961CCA"/>
    <w:rsid w:val="00962065"/>
    <w:rsid w:val="0096211C"/>
    <w:rsid w:val="0096217A"/>
    <w:rsid w:val="0096223F"/>
    <w:rsid w:val="00962305"/>
    <w:rsid w:val="00962339"/>
    <w:rsid w:val="00962460"/>
    <w:rsid w:val="00962466"/>
    <w:rsid w:val="009624CA"/>
    <w:rsid w:val="009624DC"/>
    <w:rsid w:val="009625FD"/>
    <w:rsid w:val="00962682"/>
    <w:rsid w:val="0096269C"/>
    <w:rsid w:val="0096271A"/>
    <w:rsid w:val="00962722"/>
    <w:rsid w:val="00962943"/>
    <w:rsid w:val="00962A26"/>
    <w:rsid w:val="00962A80"/>
    <w:rsid w:val="00962B9E"/>
    <w:rsid w:val="00962C51"/>
    <w:rsid w:val="00962CD1"/>
    <w:rsid w:val="00962EA5"/>
    <w:rsid w:val="00962EB7"/>
    <w:rsid w:val="00963017"/>
    <w:rsid w:val="00963114"/>
    <w:rsid w:val="009631A0"/>
    <w:rsid w:val="0096331B"/>
    <w:rsid w:val="0096335E"/>
    <w:rsid w:val="009634FE"/>
    <w:rsid w:val="00963623"/>
    <w:rsid w:val="009636DD"/>
    <w:rsid w:val="009637C0"/>
    <w:rsid w:val="0096381A"/>
    <w:rsid w:val="0096389D"/>
    <w:rsid w:val="0096395F"/>
    <w:rsid w:val="009639B4"/>
    <w:rsid w:val="00963A29"/>
    <w:rsid w:val="00963A62"/>
    <w:rsid w:val="00963BB3"/>
    <w:rsid w:val="00963CDD"/>
    <w:rsid w:val="00963D06"/>
    <w:rsid w:val="00963D9A"/>
    <w:rsid w:val="00963D9F"/>
    <w:rsid w:val="00963DB3"/>
    <w:rsid w:val="00963E1E"/>
    <w:rsid w:val="00963F76"/>
    <w:rsid w:val="00964042"/>
    <w:rsid w:val="00964052"/>
    <w:rsid w:val="00964060"/>
    <w:rsid w:val="00964107"/>
    <w:rsid w:val="00964212"/>
    <w:rsid w:val="009642A0"/>
    <w:rsid w:val="00964343"/>
    <w:rsid w:val="00964372"/>
    <w:rsid w:val="0096446C"/>
    <w:rsid w:val="00964684"/>
    <w:rsid w:val="00964860"/>
    <w:rsid w:val="009648F6"/>
    <w:rsid w:val="00964B7E"/>
    <w:rsid w:val="00964C38"/>
    <w:rsid w:val="00964D45"/>
    <w:rsid w:val="00964D8F"/>
    <w:rsid w:val="00964E16"/>
    <w:rsid w:val="00964ED8"/>
    <w:rsid w:val="00964F17"/>
    <w:rsid w:val="00964F91"/>
    <w:rsid w:val="00964F9B"/>
    <w:rsid w:val="00964FB8"/>
    <w:rsid w:val="009650B9"/>
    <w:rsid w:val="009650F7"/>
    <w:rsid w:val="00965217"/>
    <w:rsid w:val="009652F2"/>
    <w:rsid w:val="00965379"/>
    <w:rsid w:val="00965494"/>
    <w:rsid w:val="009654B0"/>
    <w:rsid w:val="009654EF"/>
    <w:rsid w:val="009656B5"/>
    <w:rsid w:val="0096593B"/>
    <w:rsid w:val="009659C9"/>
    <w:rsid w:val="00965C5C"/>
    <w:rsid w:val="00965C98"/>
    <w:rsid w:val="00965CCC"/>
    <w:rsid w:val="00965E86"/>
    <w:rsid w:val="00965ECD"/>
    <w:rsid w:val="00965EEE"/>
    <w:rsid w:val="00965F3A"/>
    <w:rsid w:val="0096602C"/>
    <w:rsid w:val="00966161"/>
    <w:rsid w:val="009662F6"/>
    <w:rsid w:val="0096637F"/>
    <w:rsid w:val="00966386"/>
    <w:rsid w:val="00966440"/>
    <w:rsid w:val="009665E9"/>
    <w:rsid w:val="00966622"/>
    <w:rsid w:val="0096663E"/>
    <w:rsid w:val="00966641"/>
    <w:rsid w:val="00966671"/>
    <w:rsid w:val="0096679D"/>
    <w:rsid w:val="00966A1F"/>
    <w:rsid w:val="00966A25"/>
    <w:rsid w:val="00966A99"/>
    <w:rsid w:val="00966ADE"/>
    <w:rsid w:val="00966BFF"/>
    <w:rsid w:val="00966C5E"/>
    <w:rsid w:val="00966D0E"/>
    <w:rsid w:val="00966E01"/>
    <w:rsid w:val="00966E95"/>
    <w:rsid w:val="00966EC0"/>
    <w:rsid w:val="00966EE0"/>
    <w:rsid w:val="00966FD8"/>
    <w:rsid w:val="009670D5"/>
    <w:rsid w:val="00967126"/>
    <w:rsid w:val="00967234"/>
    <w:rsid w:val="00967245"/>
    <w:rsid w:val="009672A2"/>
    <w:rsid w:val="0096730C"/>
    <w:rsid w:val="00967325"/>
    <w:rsid w:val="00967359"/>
    <w:rsid w:val="009674B3"/>
    <w:rsid w:val="00967510"/>
    <w:rsid w:val="00967556"/>
    <w:rsid w:val="00967589"/>
    <w:rsid w:val="00967664"/>
    <w:rsid w:val="009676B9"/>
    <w:rsid w:val="00967B64"/>
    <w:rsid w:val="00967B7C"/>
    <w:rsid w:val="00967C3D"/>
    <w:rsid w:val="00967DC6"/>
    <w:rsid w:val="00967DFF"/>
    <w:rsid w:val="00967ED7"/>
    <w:rsid w:val="00967EEC"/>
    <w:rsid w:val="00967F13"/>
    <w:rsid w:val="00967F41"/>
    <w:rsid w:val="00970088"/>
    <w:rsid w:val="009700B8"/>
    <w:rsid w:val="00970128"/>
    <w:rsid w:val="0097030C"/>
    <w:rsid w:val="009703A4"/>
    <w:rsid w:val="009703D3"/>
    <w:rsid w:val="009703DE"/>
    <w:rsid w:val="009704D3"/>
    <w:rsid w:val="0097053E"/>
    <w:rsid w:val="0097058A"/>
    <w:rsid w:val="00970705"/>
    <w:rsid w:val="0097080E"/>
    <w:rsid w:val="009708D2"/>
    <w:rsid w:val="009708FE"/>
    <w:rsid w:val="00970A60"/>
    <w:rsid w:val="00970AFC"/>
    <w:rsid w:val="00970C68"/>
    <w:rsid w:val="00970E9B"/>
    <w:rsid w:val="00970ED1"/>
    <w:rsid w:val="00971075"/>
    <w:rsid w:val="009710B8"/>
    <w:rsid w:val="00971339"/>
    <w:rsid w:val="00971562"/>
    <w:rsid w:val="00971597"/>
    <w:rsid w:val="009715E3"/>
    <w:rsid w:val="0097169B"/>
    <w:rsid w:val="009716E9"/>
    <w:rsid w:val="009718FE"/>
    <w:rsid w:val="00971A73"/>
    <w:rsid w:val="00971A76"/>
    <w:rsid w:val="00971A77"/>
    <w:rsid w:val="00971AC6"/>
    <w:rsid w:val="00971B15"/>
    <w:rsid w:val="00971C71"/>
    <w:rsid w:val="00971CBB"/>
    <w:rsid w:val="00971D4F"/>
    <w:rsid w:val="00971DD3"/>
    <w:rsid w:val="00971ED6"/>
    <w:rsid w:val="0097209B"/>
    <w:rsid w:val="009720F4"/>
    <w:rsid w:val="00972126"/>
    <w:rsid w:val="0097216D"/>
    <w:rsid w:val="0097224D"/>
    <w:rsid w:val="00972466"/>
    <w:rsid w:val="00972473"/>
    <w:rsid w:val="00972570"/>
    <w:rsid w:val="009725CC"/>
    <w:rsid w:val="0097263B"/>
    <w:rsid w:val="00972736"/>
    <w:rsid w:val="009727A8"/>
    <w:rsid w:val="009727F9"/>
    <w:rsid w:val="00972847"/>
    <w:rsid w:val="0097288C"/>
    <w:rsid w:val="009729D7"/>
    <w:rsid w:val="00972AB7"/>
    <w:rsid w:val="00972BBB"/>
    <w:rsid w:val="00972C29"/>
    <w:rsid w:val="00972CC0"/>
    <w:rsid w:val="00972D33"/>
    <w:rsid w:val="00972D42"/>
    <w:rsid w:val="00972DD6"/>
    <w:rsid w:val="00972F7C"/>
    <w:rsid w:val="0097305D"/>
    <w:rsid w:val="00973090"/>
    <w:rsid w:val="00973095"/>
    <w:rsid w:val="0097310E"/>
    <w:rsid w:val="00973204"/>
    <w:rsid w:val="0097320F"/>
    <w:rsid w:val="0097325B"/>
    <w:rsid w:val="0097329F"/>
    <w:rsid w:val="009732D8"/>
    <w:rsid w:val="0097339B"/>
    <w:rsid w:val="00973493"/>
    <w:rsid w:val="009734C8"/>
    <w:rsid w:val="00973505"/>
    <w:rsid w:val="009735A7"/>
    <w:rsid w:val="0097367B"/>
    <w:rsid w:val="00973867"/>
    <w:rsid w:val="0097388B"/>
    <w:rsid w:val="00973989"/>
    <w:rsid w:val="009739BF"/>
    <w:rsid w:val="00973BE0"/>
    <w:rsid w:val="00973CF1"/>
    <w:rsid w:val="00973DB7"/>
    <w:rsid w:val="00973E04"/>
    <w:rsid w:val="00973E55"/>
    <w:rsid w:val="00973F8E"/>
    <w:rsid w:val="00974110"/>
    <w:rsid w:val="00974236"/>
    <w:rsid w:val="009742BF"/>
    <w:rsid w:val="009743B5"/>
    <w:rsid w:val="0097440B"/>
    <w:rsid w:val="009744A1"/>
    <w:rsid w:val="00974646"/>
    <w:rsid w:val="00974760"/>
    <w:rsid w:val="0097483B"/>
    <w:rsid w:val="00974883"/>
    <w:rsid w:val="00974969"/>
    <w:rsid w:val="0097497E"/>
    <w:rsid w:val="00974A89"/>
    <w:rsid w:val="00974AA0"/>
    <w:rsid w:val="00974B91"/>
    <w:rsid w:val="00974D78"/>
    <w:rsid w:val="00974FB0"/>
    <w:rsid w:val="0097507E"/>
    <w:rsid w:val="009750F5"/>
    <w:rsid w:val="00975185"/>
    <w:rsid w:val="0097521A"/>
    <w:rsid w:val="009752B8"/>
    <w:rsid w:val="0097542D"/>
    <w:rsid w:val="009754BF"/>
    <w:rsid w:val="0097552C"/>
    <w:rsid w:val="009755B1"/>
    <w:rsid w:val="009755B9"/>
    <w:rsid w:val="00975605"/>
    <w:rsid w:val="00975617"/>
    <w:rsid w:val="0097564D"/>
    <w:rsid w:val="009757AB"/>
    <w:rsid w:val="0097582C"/>
    <w:rsid w:val="00975843"/>
    <w:rsid w:val="00975951"/>
    <w:rsid w:val="0097598C"/>
    <w:rsid w:val="009759EB"/>
    <w:rsid w:val="009759F8"/>
    <w:rsid w:val="00975A99"/>
    <w:rsid w:val="00975AD7"/>
    <w:rsid w:val="00975BC7"/>
    <w:rsid w:val="00975CCE"/>
    <w:rsid w:val="00975E95"/>
    <w:rsid w:val="00976011"/>
    <w:rsid w:val="009760AA"/>
    <w:rsid w:val="009760E8"/>
    <w:rsid w:val="0097625E"/>
    <w:rsid w:val="00976377"/>
    <w:rsid w:val="00976379"/>
    <w:rsid w:val="009764E4"/>
    <w:rsid w:val="00976628"/>
    <w:rsid w:val="0097673F"/>
    <w:rsid w:val="009767B3"/>
    <w:rsid w:val="00976864"/>
    <w:rsid w:val="009769EF"/>
    <w:rsid w:val="00976B6E"/>
    <w:rsid w:val="00976B73"/>
    <w:rsid w:val="00976B76"/>
    <w:rsid w:val="00976C06"/>
    <w:rsid w:val="00976C17"/>
    <w:rsid w:val="00976C84"/>
    <w:rsid w:val="00976CF4"/>
    <w:rsid w:val="00976D91"/>
    <w:rsid w:val="00976F10"/>
    <w:rsid w:val="00976FD2"/>
    <w:rsid w:val="009771D1"/>
    <w:rsid w:val="00977359"/>
    <w:rsid w:val="00977396"/>
    <w:rsid w:val="00977503"/>
    <w:rsid w:val="00977504"/>
    <w:rsid w:val="00977540"/>
    <w:rsid w:val="009775C9"/>
    <w:rsid w:val="00977632"/>
    <w:rsid w:val="00977752"/>
    <w:rsid w:val="009777D7"/>
    <w:rsid w:val="0097789D"/>
    <w:rsid w:val="00977AA3"/>
    <w:rsid w:val="00977D5D"/>
    <w:rsid w:val="00977D8D"/>
    <w:rsid w:val="00980036"/>
    <w:rsid w:val="009800D8"/>
    <w:rsid w:val="009802B4"/>
    <w:rsid w:val="009802D7"/>
    <w:rsid w:val="00980306"/>
    <w:rsid w:val="00980376"/>
    <w:rsid w:val="009804BD"/>
    <w:rsid w:val="00980557"/>
    <w:rsid w:val="009805A9"/>
    <w:rsid w:val="00980604"/>
    <w:rsid w:val="009806C6"/>
    <w:rsid w:val="009807E4"/>
    <w:rsid w:val="00980828"/>
    <w:rsid w:val="00980A01"/>
    <w:rsid w:val="00980A16"/>
    <w:rsid w:val="00980C1F"/>
    <w:rsid w:val="00980EE1"/>
    <w:rsid w:val="00980EF8"/>
    <w:rsid w:val="00981066"/>
    <w:rsid w:val="009811BA"/>
    <w:rsid w:val="009812AF"/>
    <w:rsid w:val="0098142F"/>
    <w:rsid w:val="00981737"/>
    <w:rsid w:val="0098176A"/>
    <w:rsid w:val="00981772"/>
    <w:rsid w:val="009819FA"/>
    <w:rsid w:val="00981B16"/>
    <w:rsid w:val="00981B87"/>
    <w:rsid w:val="00981CFD"/>
    <w:rsid w:val="00981DAF"/>
    <w:rsid w:val="00981EA1"/>
    <w:rsid w:val="00981FA0"/>
    <w:rsid w:val="00982019"/>
    <w:rsid w:val="009820C6"/>
    <w:rsid w:val="009820C8"/>
    <w:rsid w:val="00982179"/>
    <w:rsid w:val="00982362"/>
    <w:rsid w:val="009824E4"/>
    <w:rsid w:val="00982502"/>
    <w:rsid w:val="00982766"/>
    <w:rsid w:val="009827C1"/>
    <w:rsid w:val="00982811"/>
    <w:rsid w:val="00982886"/>
    <w:rsid w:val="0098297C"/>
    <w:rsid w:val="00982982"/>
    <w:rsid w:val="00982C1A"/>
    <w:rsid w:val="00982CB5"/>
    <w:rsid w:val="00982CE3"/>
    <w:rsid w:val="00982CF8"/>
    <w:rsid w:val="00982E9E"/>
    <w:rsid w:val="00982F0F"/>
    <w:rsid w:val="00982FFC"/>
    <w:rsid w:val="0098307F"/>
    <w:rsid w:val="00983239"/>
    <w:rsid w:val="0098331B"/>
    <w:rsid w:val="00983364"/>
    <w:rsid w:val="009833E9"/>
    <w:rsid w:val="00983559"/>
    <w:rsid w:val="009835DA"/>
    <w:rsid w:val="009836F8"/>
    <w:rsid w:val="0098370B"/>
    <w:rsid w:val="0098379B"/>
    <w:rsid w:val="00983946"/>
    <w:rsid w:val="009839E2"/>
    <w:rsid w:val="00983A36"/>
    <w:rsid w:val="00983B5C"/>
    <w:rsid w:val="00983D89"/>
    <w:rsid w:val="00983FD5"/>
    <w:rsid w:val="00983FFD"/>
    <w:rsid w:val="009840B9"/>
    <w:rsid w:val="0098412E"/>
    <w:rsid w:val="0098417D"/>
    <w:rsid w:val="009841BE"/>
    <w:rsid w:val="009842E1"/>
    <w:rsid w:val="0098434C"/>
    <w:rsid w:val="0098435E"/>
    <w:rsid w:val="0098436E"/>
    <w:rsid w:val="00984518"/>
    <w:rsid w:val="00984576"/>
    <w:rsid w:val="00984650"/>
    <w:rsid w:val="0098466C"/>
    <w:rsid w:val="00984813"/>
    <w:rsid w:val="00984831"/>
    <w:rsid w:val="00984C07"/>
    <w:rsid w:val="00984C4D"/>
    <w:rsid w:val="00984C9A"/>
    <w:rsid w:val="00984CE3"/>
    <w:rsid w:val="00984E22"/>
    <w:rsid w:val="00984E98"/>
    <w:rsid w:val="00984EA8"/>
    <w:rsid w:val="0098503F"/>
    <w:rsid w:val="00985198"/>
    <w:rsid w:val="00985256"/>
    <w:rsid w:val="0098525D"/>
    <w:rsid w:val="00985561"/>
    <w:rsid w:val="0098564A"/>
    <w:rsid w:val="00985B9E"/>
    <w:rsid w:val="00985C8E"/>
    <w:rsid w:val="00985D2C"/>
    <w:rsid w:val="00985D50"/>
    <w:rsid w:val="00985DB2"/>
    <w:rsid w:val="00985DC3"/>
    <w:rsid w:val="00985DF2"/>
    <w:rsid w:val="00985E6A"/>
    <w:rsid w:val="00985EF0"/>
    <w:rsid w:val="009860F3"/>
    <w:rsid w:val="0098620C"/>
    <w:rsid w:val="009864EB"/>
    <w:rsid w:val="009865A0"/>
    <w:rsid w:val="009865FE"/>
    <w:rsid w:val="00986693"/>
    <w:rsid w:val="0098671A"/>
    <w:rsid w:val="00986772"/>
    <w:rsid w:val="009867D0"/>
    <w:rsid w:val="009868AC"/>
    <w:rsid w:val="009869EE"/>
    <w:rsid w:val="00986AF9"/>
    <w:rsid w:val="00986BCB"/>
    <w:rsid w:val="00986CB3"/>
    <w:rsid w:val="00986D0A"/>
    <w:rsid w:val="00986D0C"/>
    <w:rsid w:val="00986D89"/>
    <w:rsid w:val="00986E32"/>
    <w:rsid w:val="00986E3D"/>
    <w:rsid w:val="00987040"/>
    <w:rsid w:val="00987149"/>
    <w:rsid w:val="009872CA"/>
    <w:rsid w:val="00987331"/>
    <w:rsid w:val="0098768B"/>
    <w:rsid w:val="009876F6"/>
    <w:rsid w:val="00987705"/>
    <w:rsid w:val="009878D9"/>
    <w:rsid w:val="00987985"/>
    <w:rsid w:val="00987A8D"/>
    <w:rsid w:val="00987BBA"/>
    <w:rsid w:val="00987BD5"/>
    <w:rsid w:val="00987C2D"/>
    <w:rsid w:val="00987C95"/>
    <w:rsid w:val="00987D23"/>
    <w:rsid w:val="00987D6F"/>
    <w:rsid w:val="00987DEA"/>
    <w:rsid w:val="00987E28"/>
    <w:rsid w:val="00987FEB"/>
    <w:rsid w:val="00990100"/>
    <w:rsid w:val="0099017D"/>
    <w:rsid w:val="009902AD"/>
    <w:rsid w:val="0099034C"/>
    <w:rsid w:val="00990546"/>
    <w:rsid w:val="009905C0"/>
    <w:rsid w:val="00990665"/>
    <w:rsid w:val="0099077D"/>
    <w:rsid w:val="00990A43"/>
    <w:rsid w:val="00990A62"/>
    <w:rsid w:val="00990AA3"/>
    <w:rsid w:val="00990AFD"/>
    <w:rsid w:val="00990B7F"/>
    <w:rsid w:val="00990B84"/>
    <w:rsid w:val="00990B9B"/>
    <w:rsid w:val="00990BA2"/>
    <w:rsid w:val="00990BCA"/>
    <w:rsid w:val="00990BD9"/>
    <w:rsid w:val="00990C9D"/>
    <w:rsid w:val="00990F64"/>
    <w:rsid w:val="0099101B"/>
    <w:rsid w:val="0099103D"/>
    <w:rsid w:val="009911D1"/>
    <w:rsid w:val="009912F0"/>
    <w:rsid w:val="009913B0"/>
    <w:rsid w:val="0099143D"/>
    <w:rsid w:val="00991453"/>
    <w:rsid w:val="0099146C"/>
    <w:rsid w:val="0099148D"/>
    <w:rsid w:val="009915DD"/>
    <w:rsid w:val="0099165F"/>
    <w:rsid w:val="00991911"/>
    <w:rsid w:val="0099193F"/>
    <w:rsid w:val="00991A3B"/>
    <w:rsid w:val="00991AA0"/>
    <w:rsid w:val="00991B2C"/>
    <w:rsid w:val="00991C0E"/>
    <w:rsid w:val="00991C3A"/>
    <w:rsid w:val="00991C41"/>
    <w:rsid w:val="00991CBD"/>
    <w:rsid w:val="00991CF8"/>
    <w:rsid w:val="00991D41"/>
    <w:rsid w:val="00991ED5"/>
    <w:rsid w:val="009920EC"/>
    <w:rsid w:val="00992139"/>
    <w:rsid w:val="009921F3"/>
    <w:rsid w:val="009922CA"/>
    <w:rsid w:val="0099242D"/>
    <w:rsid w:val="009924AC"/>
    <w:rsid w:val="009924B3"/>
    <w:rsid w:val="0099262E"/>
    <w:rsid w:val="009927C5"/>
    <w:rsid w:val="0099284B"/>
    <w:rsid w:val="00992A4D"/>
    <w:rsid w:val="00992AE4"/>
    <w:rsid w:val="00992AF6"/>
    <w:rsid w:val="00992B1F"/>
    <w:rsid w:val="00992CC7"/>
    <w:rsid w:val="00992CF9"/>
    <w:rsid w:val="00992E2F"/>
    <w:rsid w:val="00992E38"/>
    <w:rsid w:val="00993251"/>
    <w:rsid w:val="00993272"/>
    <w:rsid w:val="009936FB"/>
    <w:rsid w:val="009937CE"/>
    <w:rsid w:val="00993848"/>
    <w:rsid w:val="00993A0C"/>
    <w:rsid w:val="00993B38"/>
    <w:rsid w:val="00993B74"/>
    <w:rsid w:val="00993B8F"/>
    <w:rsid w:val="00993BBD"/>
    <w:rsid w:val="00993BD0"/>
    <w:rsid w:val="00993C65"/>
    <w:rsid w:val="00993D17"/>
    <w:rsid w:val="00993D83"/>
    <w:rsid w:val="00993EAE"/>
    <w:rsid w:val="00993F0A"/>
    <w:rsid w:val="00993F0F"/>
    <w:rsid w:val="0099430B"/>
    <w:rsid w:val="00994612"/>
    <w:rsid w:val="0099464E"/>
    <w:rsid w:val="00994797"/>
    <w:rsid w:val="0099495D"/>
    <w:rsid w:val="00994B01"/>
    <w:rsid w:val="00994B08"/>
    <w:rsid w:val="00994B0F"/>
    <w:rsid w:val="00994B69"/>
    <w:rsid w:val="00994CCD"/>
    <w:rsid w:val="00994CFF"/>
    <w:rsid w:val="00994DF4"/>
    <w:rsid w:val="00994E98"/>
    <w:rsid w:val="00994EC8"/>
    <w:rsid w:val="00994FDE"/>
    <w:rsid w:val="00995094"/>
    <w:rsid w:val="0099532D"/>
    <w:rsid w:val="0099535D"/>
    <w:rsid w:val="0099539D"/>
    <w:rsid w:val="00995482"/>
    <w:rsid w:val="0099552B"/>
    <w:rsid w:val="00995545"/>
    <w:rsid w:val="009956ED"/>
    <w:rsid w:val="00995732"/>
    <w:rsid w:val="0099574F"/>
    <w:rsid w:val="00995798"/>
    <w:rsid w:val="00995925"/>
    <w:rsid w:val="009959EE"/>
    <w:rsid w:val="00995A78"/>
    <w:rsid w:val="00995D15"/>
    <w:rsid w:val="00995DCD"/>
    <w:rsid w:val="00995E7A"/>
    <w:rsid w:val="00995E96"/>
    <w:rsid w:val="00995F34"/>
    <w:rsid w:val="00996028"/>
    <w:rsid w:val="0099620B"/>
    <w:rsid w:val="00996280"/>
    <w:rsid w:val="00996368"/>
    <w:rsid w:val="009963E4"/>
    <w:rsid w:val="0099668A"/>
    <w:rsid w:val="009966FA"/>
    <w:rsid w:val="00996831"/>
    <w:rsid w:val="00996964"/>
    <w:rsid w:val="0099696E"/>
    <w:rsid w:val="009969FB"/>
    <w:rsid w:val="00996A29"/>
    <w:rsid w:val="00996AF7"/>
    <w:rsid w:val="00996AFD"/>
    <w:rsid w:val="00996B3B"/>
    <w:rsid w:val="00996B76"/>
    <w:rsid w:val="00996C48"/>
    <w:rsid w:val="00996D46"/>
    <w:rsid w:val="00996DF8"/>
    <w:rsid w:val="00996ECA"/>
    <w:rsid w:val="0099714E"/>
    <w:rsid w:val="009971DD"/>
    <w:rsid w:val="0099736B"/>
    <w:rsid w:val="00997560"/>
    <w:rsid w:val="00997587"/>
    <w:rsid w:val="00997614"/>
    <w:rsid w:val="00997621"/>
    <w:rsid w:val="009976DA"/>
    <w:rsid w:val="00997832"/>
    <w:rsid w:val="0099795E"/>
    <w:rsid w:val="00997980"/>
    <w:rsid w:val="00997A30"/>
    <w:rsid w:val="00997AE5"/>
    <w:rsid w:val="00997BAE"/>
    <w:rsid w:val="00997BDF"/>
    <w:rsid w:val="00997C64"/>
    <w:rsid w:val="00997E4E"/>
    <w:rsid w:val="00997E8B"/>
    <w:rsid w:val="00997E92"/>
    <w:rsid w:val="00997F1B"/>
    <w:rsid w:val="00997F58"/>
    <w:rsid w:val="00997F5E"/>
    <w:rsid w:val="00997F9B"/>
    <w:rsid w:val="009A00C1"/>
    <w:rsid w:val="009A019F"/>
    <w:rsid w:val="009A01CE"/>
    <w:rsid w:val="009A0201"/>
    <w:rsid w:val="009A02F0"/>
    <w:rsid w:val="009A040C"/>
    <w:rsid w:val="009A0459"/>
    <w:rsid w:val="009A050A"/>
    <w:rsid w:val="009A0572"/>
    <w:rsid w:val="009A0698"/>
    <w:rsid w:val="009A0746"/>
    <w:rsid w:val="009A074B"/>
    <w:rsid w:val="009A07F4"/>
    <w:rsid w:val="009A087E"/>
    <w:rsid w:val="009A0959"/>
    <w:rsid w:val="009A09BD"/>
    <w:rsid w:val="009A0B9B"/>
    <w:rsid w:val="009A0BD2"/>
    <w:rsid w:val="009A0C30"/>
    <w:rsid w:val="009A0D17"/>
    <w:rsid w:val="009A0E02"/>
    <w:rsid w:val="009A0E4F"/>
    <w:rsid w:val="009A0EE7"/>
    <w:rsid w:val="009A1002"/>
    <w:rsid w:val="009A10BA"/>
    <w:rsid w:val="009A11AF"/>
    <w:rsid w:val="009A13D0"/>
    <w:rsid w:val="009A142B"/>
    <w:rsid w:val="009A144A"/>
    <w:rsid w:val="009A14C0"/>
    <w:rsid w:val="009A1565"/>
    <w:rsid w:val="009A1680"/>
    <w:rsid w:val="009A16D8"/>
    <w:rsid w:val="009A171D"/>
    <w:rsid w:val="009A17AE"/>
    <w:rsid w:val="009A1A1A"/>
    <w:rsid w:val="009A1A6A"/>
    <w:rsid w:val="009A1AF7"/>
    <w:rsid w:val="009A1B22"/>
    <w:rsid w:val="009A1B61"/>
    <w:rsid w:val="009A1D18"/>
    <w:rsid w:val="009A1E87"/>
    <w:rsid w:val="009A1ECA"/>
    <w:rsid w:val="009A1EE0"/>
    <w:rsid w:val="009A20C9"/>
    <w:rsid w:val="009A224F"/>
    <w:rsid w:val="009A22C5"/>
    <w:rsid w:val="009A22D5"/>
    <w:rsid w:val="009A251E"/>
    <w:rsid w:val="009A2539"/>
    <w:rsid w:val="009A2596"/>
    <w:rsid w:val="009A26F0"/>
    <w:rsid w:val="009A2761"/>
    <w:rsid w:val="009A2806"/>
    <w:rsid w:val="009A2869"/>
    <w:rsid w:val="009A2973"/>
    <w:rsid w:val="009A2BA6"/>
    <w:rsid w:val="009A2CC2"/>
    <w:rsid w:val="009A2CC6"/>
    <w:rsid w:val="009A2D9C"/>
    <w:rsid w:val="009A2E86"/>
    <w:rsid w:val="009A2F56"/>
    <w:rsid w:val="009A30C2"/>
    <w:rsid w:val="009A313B"/>
    <w:rsid w:val="009A31E1"/>
    <w:rsid w:val="009A321A"/>
    <w:rsid w:val="009A334B"/>
    <w:rsid w:val="009A338B"/>
    <w:rsid w:val="009A3433"/>
    <w:rsid w:val="009A3455"/>
    <w:rsid w:val="009A350B"/>
    <w:rsid w:val="009A3546"/>
    <w:rsid w:val="009A3630"/>
    <w:rsid w:val="009A3A48"/>
    <w:rsid w:val="009A3C0A"/>
    <w:rsid w:val="009A3CFA"/>
    <w:rsid w:val="009A3FED"/>
    <w:rsid w:val="009A4039"/>
    <w:rsid w:val="009A41A8"/>
    <w:rsid w:val="009A428D"/>
    <w:rsid w:val="009A42B2"/>
    <w:rsid w:val="009A4347"/>
    <w:rsid w:val="009A43F8"/>
    <w:rsid w:val="009A4406"/>
    <w:rsid w:val="009A4520"/>
    <w:rsid w:val="009A4720"/>
    <w:rsid w:val="009A4810"/>
    <w:rsid w:val="009A4A77"/>
    <w:rsid w:val="009A4AC0"/>
    <w:rsid w:val="009A4ACB"/>
    <w:rsid w:val="009A4AE9"/>
    <w:rsid w:val="009A4B86"/>
    <w:rsid w:val="009A4CE9"/>
    <w:rsid w:val="009A4D5D"/>
    <w:rsid w:val="009A4E0B"/>
    <w:rsid w:val="009A4F12"/>
    <w:rsid w:val="009A4F42"/>
    <w:rsid w:val="009A4FA1"/>
    <w:rsid w:val="009A50BE"/>
    <w:rsid w:val="009A5130"/>
    <w:rsid w:val="009A5137"/>
    <w:rsid w:val="009A514F"/>
    <w:rsid w:val="009A5271"/>
    <w:rsid w:val="009A52E1"/>
    <w:rsid w:val="009A54EF"/>
    <w:rsid w:val="009A55C4"/>
    <w:rsid w:val="009A565E"/>
    <w:rsid w:val="009A5694"/>
    <w:rsid w:val="009A585A"/>
    <w:rsid w:val="009A5939"/>
    <w:rsid w:val="009A5945"/>
    <w:rsid w:val="009A5986"/>
    <w:rsid w:val="009A59AA"/>
    <w:rsid w:val="009A5A76"/>
    <w:rsid w:val="009A5B10"/>
    <w:rsid w:val="009A5BAB"/>
    <w:rsid w:val="009A5C04"/>
    <w:rsid w:val="009A5C20"/>
    <w:rsid w:val="009A5F22"/>
    <w:rsid w:val="009A5F7C"/>
    <w:rsid w:val="009A6112"/>
    <w:rsid w:val="009A614B"/>
    <w:rsid w:val="009A6389"/>
    <w:rsid w:val="009A64E2"/>
    <w:rsid w:val="009A65A9"/>
    <w:rsid w:val="009A65AA"/>
    <w:rsid w:val="009A66C0"/>
    <w:rsid w:val="009A6BFD"/>
    <w:rsid w:val="009A6DCA"/>
    <w:rsid w:val="009A70B5"/>
    <w:rsid w:val="009A7101"/>
    <w:rsid w:val="009A7153"/>
    <w:rsid w:val="009A71E3"/>
    <w:rsid w:val="009A7298"/>
    <w:rsid w:val="009A732D"/>
    <w:rsid w:val="009A77A0"/>
    <w:rsid w:val="009A77E3"/>
    <w:rsid w:val="009A7827"/>
    <w:rsid w:val="009A7933"/>
    <w:rsid w:val="009A79E2"/>
    <w:rsid w:val="009A7A2C"/>
    <w:rsid w:val="009A7AAF"/>
    <w:rsid w:val="009A7AC9"/>
    <w:rsid w:val="009A7AE6"/>
    <w:rsid w:val="009A7AED"/>
    <w:rsid w:val="009A7D76"/>
    <w:rsid w:val="009A7E70"/>
    <w:rsid w:val="009B001C"/>
    <w:rsid w:val="009B0051"/>
    <w:rsid w:val="009B009C"/>
    <w:rsid w:val="009B0138"/>
    <w:rsid w:val="009B022E"/>
    <w:rsid w:val="009B0245"/>
    <w:rsid w:val="009B026D"/>
    <w:rsid w:val="009B0299"/>
    <w:rsid w:val="009B02C6"/>
    <w:rsid w:val="009B0418"/>
    <w:rsid w:val="009B060B"/>
    <w:rsid w:val="009B06F8"/>
    <w:rsid w:val="009B0712"/>
    <w:rsid w:val="009B074C"/>
    <w:rsid w:val="009B0767"/>
    <w:rsid w:val="009B07F2"/>
    <w:rsid w:val="009B0804"/>
    <w:rsid w:val="009B0877"/>
    <w:rsid w:val="009B08EA"/>
    <w:rsid w:val="009B090E"/>
    <w:rsid w:val="009B0B91"/>
    <w:rsid w:val="009B0D46"/>
    <w:rsid w:val="009B0DAA"/>
    <w:rsid w:val="009B0DC1"/>
    <w:rsid w:val="009B0E17"/>
    <w:rsid w:val="009B0E40"/>
    <w:rsid w:val="009B0ECB"/>
    <w:rsid w:val="009B0ECD"/>
    <w:rsid w:val="009B0EEC"/>
    <w:rsid w:val="009B0F10"/>
    <w:rsid w:val="009B0F38"/>
    <w:rsid w:val="009B0F7E"/>
    <w:rsid w:val="009B103C"/>
    <w:rsid w:val="009B1079"/>
    <w:rsid w:val="009B1283"/>
    <w:rsid w:val="009B1358"/>
    <w:rsid w:val="009B1564"/>
    <w:rsid w:val="009B1597"/>
    <w:rsid w:val="009B163D"/>
    <w:rsid w:val="009B1709"/>
    <w:rsid w:val="009B1729"/>
    <w:rsid w:val="009B18D8"/>
    <w:rsid w:val="009B197C"/>
    <w:rsid w:val="009B19D6"/>
    <w:rsid w:val="009B1B58"/>
    <w:rsid w:val="009B1B63"/>
    <w:rsid w:val="009B1BC4"/>
    <w:rsid w:val="009B1CF8"/>
    <w:rsid w:val="009B1D5A"/>
    <w:rsid w:val="009B1DB4"/>
    <w:rsid w:val="009B1DB7"/>
    <w:rsid w:val="009B1F20"/>
    <w:rsid w:val="009B1FFB"/>
    <w:rsid w:val="009B2061"/>
    <w:rsid w:val="009B214E"/>
    <w:rsid w:val="009B21D3"/>
    <w:rsid w:val="009B2256"/>
    <w:rsid w:val="009B2320"/>
    <w:rsid w:val="009B23FF"/>
    <w:rsid w:val="009B240F"/>
    <w:rsid w:val="009B2479"/>
    <w:rsid w:val="009B260D"/>
    <w:rsid w:val="009B2736"/>
    <w:rsid w:val="009B2834"/>
    <w:rsid w:val="009B283A"/>
    <w:rsid w:val="009B2971"/>
    <w:rsid w:val="009B2985"/>
    <w:rsid w:val="009B2989"/>
    <w:rsid w:val="009B29BE"/>
    <w:rsid w:val="009B2AB1"/>
    <w:rsid w:val="009B2B01"/>
    <w:rsid w:val="009B2C88"/>
    <w:rsid w:val="009B2CDE"/>
    <w:rsid w:val="009B2DE2"/>
    <w:rsid w:val="009B2E58"/>
    <w:rsid w:val="009B302B"/>
    <w:rsid w:val="009B303E"/>
    <w:rsid w:val="009B3312"/>
    <w:rsid w:val="009B333C"/>
    <w:rsid w:val="009B334E"/>
    <w:rsid w:val="009B344C"/>
    <w:rsid w:val="009B346E"/>
    <w:rsid w:val="009B357A"/>
    <w:rsid w:val="009B37EE"/>
    <w:rsid w:val="009B3968"/>
    <w:rsid w:val="009B3AE8"/>
    <w:rsid w:val="009B3BFC"/>
    <w:rsid w:val="009B3D73"/>
    <w:rsid w:val="009B3EA9"/>
    <w:rsid w:val="009B3FE7"/>
    <w:rsid w:val="009B4045"/>
    <w:rsid w:val="009B40F8"/>
    <w:rsid w:val="009B413C"/>
    <w:rsid w:val="009B4182"/>
    <w:rsid w:val="009B41B0"/>
    <w:rsid w:val="009B4447"/>
    <w:rsid w:val="009B4480"/>
    <w:rsid w:val="009B44C1"/>
    <w:rsid w:val="009B46DD"/>
    <w:rsid w:val="009B4759"/>
    <w:rsid w:val="009B477B"/>
    <w:rsid w:val="009B48D3"/>
    <w:rsid w:val="009B4946"/>
    <w:rsid w:val="009B4A13"/>
    <w:rsid w:val="009B4B5B"/>
    <w:rsid w:val="009B4B7C"/>
    <w:rsid w:val="009B4BC7"/>
    <w:rsid w:val="009B4CD4"/>
    <w:rsid w:val="009B4E90"/>
    <w:rsid w:val="009B4F30"/>
    <w:rsid w:val="009B4FB5"/>
    <w:rsid w:val="009B5059"/>
    <w:rsid w:val="009B526A"/>
    <w:rsid w:val="009B5501"/>
    <w:rsid w:val="009B5509"/>
    <w:rsid w:val="009B5A52"/>
    <w:rsid w:val="009B5A90"/>
    <w:rsid w:val="009B5C14"/>
    <w:rsid w:val="009B5C17"/>
    <w:rsid w:val="009B5C74"/>
    <w:rsid w:val="009B5CC9"/>
    <w:rsid w:val="009B5D47"/>
    <w:rsid w:val="009B5D85"/>
    <w:rsid w:val="009B5DC7"/>
    <w:rsid w:val="009B5E30"/>
    <w:rsid w:val="009B5E72"/>
    <w:rsid w:val="009B6158"/>
    <w:rsid w:val="009B6217"/>
    <w:rsid w:val="009B6280"/>
    <w:rsid w:val="009B6377"/>
    <w:rsid w:val="009B640B"/>
    <w:rsid w:val="009B64B6"/>
    <w:rsid w:val="009B6644"/>
    <w:rsid w:val="009B672C"/>
    <w:rsid w:val="009B674A"/>
    <w:rsid w:val="009B675D"/>
    <w:rsid w:val="009B6823"/>
    <w:rsid w:val="009B68E9"/>
    <w:rsid w:val="009B6A2A"/>
    <w:rsid w:val="009B6BC1"/>
    <w:rsid w:val="009B6D6F"/>
    <w:rsid w:val="009B6DDF"/>
    <w:rsid w:val="009B6FFF"/>
    <w:rsid w:val="009B700B"/>
    <w:rsid w:val="009B706F"/>
    <w:rsid w:val="009B7075"/>
    <w:rsid w:val="009B708D"/>
    <w:rsid w:val="009B711D"/>
    <w:rsid w:val="009B71DB"/>
    <w:rsid w:val="009B72FD"/>
    <w:rsid w:val="009B731D"/>
    <w:rsid w:val="009B733F"/>
    <w:rsid w:val="009B7459"/>
    <w:rsid w:val="009B74E0"/>
    <w:rsid w:val="009B74F9"/>
    <w:rsid w:val="009B7597"/>
    <w:rsid w:val="009B759F"/>
    <w:rsid w:val="009B760B"/>
    <w:rsid w:val="009B7791"/>
    <w:rsid w:val="009B7799"/>
    <w:rsid w:val="009B7848"/>
    <w:rsid w:val="009B791B"/>
    <w:rsid w:val="009B7A1C"/>
    <w:rsid w:val="009B7AC4"/>
    <w:rsid w:val="009B7B0A"/>
    <w:rsid w:val="009B7CE3"/>
    <w:rsid w:val="009B7E33"/>
    <w:rsid w:val="009B7E37"/>
    <w:rsid w:val="009B7E8B"/>
    <w:rsid w:val="009B7EB6"/>
    <w:rsid w:val="009C0105"/>
    <w:rsid w:val="009C01A4"/>
    <w:rsid w:val="009C0310"/>
    <w:rsid w:val="009C0415"/>
    <w:rsid w:val="009C056E"/>
    <w:rsid w:val="009C0591"/>
    <w:rsid w:val="009C071B"/>
    <w:rsid w:val="009C0850"/>
    <w:rsid w:val="009C0856"/>
    <w:rsid w:val="009C08A1"/>
    <w:rsid w:val="009C0960"/>
    <w:rsid w:val="009C0B0C"/>
    <w:rsid w:val="009C0CE6"/>
    <w:rsid w:val="009C0D48"/>
    <w:rsid w:val="009C0DF3"/>
    <w:rsid w:val="009C0EC2"/>
    <w:rsid w:val="009C0FCC"/>
    <w:rsid w:val="009C109D"/>
    <w:rsid w:val="009C11DC"/>
    <w:rsid w:val="009C126C"/>
    <w:rsid w:val="009C12F2"/>
    <w:rsid w:val="009C136D"/>
    <w:rsid w:val="009C1448"/>
    <w:rsid w:val="009C14D8"/>
    <w:rsid w:val="009C150E"/>
    <w:rsid w:val="009C1526"/>
    <w:rsid w:val="009C1597"/>
    <w:rsid w:val="009C1678"/>
    <w:rsid w:val="009C186E"/>
    <w:rsid w:val="009C188C"/>
    <w:rsid w:val="009C18AA"/>
    <w:rsid w:val="009C190F"/>
    <w:rsid w:val="009C1933"/>
    <w:rsid w:val="009C19B0"/>
    <w:rsid w:val="009C1A77"/>
    <w:rsid w:val="009C1B42"/>
    <w:rsid w:val="009C1C60"/>
    <w:rsid w:val="009C1CDF"/>
    <w:rsid w:val="009C1D27"/>
    <w:rsid w:val="009C1D2D"/>
    <w:rsid w:val="009C1DA0"/>
    <w:rsid w:val="009C1DCF"/>
    <w:rsid w:val="009C1E81"/>
    <w:rsid w:val="009C1EFA"/>
    <w:rsid w:val="009C1F41"/>
    <w:rsid w:val="009C2033"/>
    <w:rsid w:val="009C21B7"/>
    <w:rsid w:val="009C2445"/>
    <w:rsid w:val="009C2494"/>
    <w:rsid w:val="009C2666"/>
    <w:rsid w:val="009C269B"/>
    <w:rsid w:val="009C28A1"/>
    <w:rsid w:val="009C2A4C"/>
    <w:rsid w:val="009C2AC2"/>
    <w:rsid w:val="009C2B7E"/>
    <w:rsid w:val="009C2B80"/>
    <w:rsid w:val="009C2D4C"/>
    <w:rsid w:val="009C305A"/>
    <w:rsid w:val="009C31F9"/>
    <w:rsid w:val="009C3215"/>
    <w:rsid w:val="009C3384"/>
    <w:rsid w:val="009C33F6"/>
    <w:rsid w:val="009C350F"/>
    <w:rsid w:val="009C35FC"/>
    <w:rsid w:val="009C3645"/>
    <w:rsid w:val="009C3661"/>
    <w:rsid w:val="009C373F"/>
    <w:rsid w:val="009C3854"/>
    <w:rsid w:val="009C386B"/>
    <w:rsid w:val="009C38CB"/>
    <w:rsid w:val="009C38E5"/>
    <w:rsid w:val="009C3B36"/>
    <w:rsid w:val="009C3C50"/>
    <w:rsid w:val="009C3CAA"/>
    <w:rsid w:val="009C3E2B"/>
    <w:rsid w:val="009C3E8E"/>
    <w:rsid w:val="009C3EDB"/>
    <w:rsid w:val="009C4035"/>
    <w:rsid w:val="009C414E"/>
    <w:rsid w:val="009C4208"/>
    <w:rsid w:val="009C4277"/>
    <w:rsid w:val="009C42AC"/>
    <w:rsid w:val="009C4349"/>
    <w:rsid w:val="009C43C1"/>
    <w:rsid w:val="009C44A8"/>
    <w:rsid w:val="009C44F3"/>
    <w:rsid w:val="009C46AA"/>
    <w:rsid w:val="009C4723"/>
    <w:rsid w:val="009C4BA0"/>
    <w:rsid w:val="009C4DE6"/>
    <w:rsid w:val="009C4E2D"/>
    <w:rsid w:val="009C4EDD"/>
    <w:rsid w:val="009C4FF7"/>
    <w:rsid w:val="009C4FF9"/>
    <w:rsid w:val="009C5200"/>
    <w:rsid w:val="009C52D0"/>
    <w:rsid w:val="009C5319"/>
    <w:rsid w:val="009C5324"/>
    <w:rsid w:val="009C53BB"/>
    <w:rsid w:val="009C5503"/>
    <w:rsid w:val="009C557E"/>
    <w:rsid w:val="009C568D"/>
    <w:rsid w:val="009C570F"/>
    <w:rsid w:val="009C572B"/>
    <w:rsid w:val="009C5780"/>
    <w:rsid w:val="009C58F4"/>
    <w:rsid w:val="009C594A"/>
    <w:rsid w:val="009C59C8"/>
    <w:rsid w:val="009C5AB5"/>
    <w:rsid w:val="009C5D02"/>
    <w:rsid w:val="009C5D35"/>
    <w:rsid w:val="009C5D59"/>
    <w:rsid w:val="009C5D86"/>
    <w:rsid w:val="009C5F7D"/>
    <w:rsid w:val="009C5FCA"/>
    <w:rsid w:val="009C6022"/>
    <w:rsid w:val="009C6073"/>
    <w:rsid w:val="009C6080"/>
    <w:rsid w:val="009C616D"/>
    <w:rsid w:val="009C621C"/>
    <w:rsid w:val="009C6424"/>
    <w:rsid w:val="009C6431"/>
    <w:rsid w:val="009C6439"/>
    <w:rsid w:val="009C651A"/>
    <w:rsid w:val="009C6695"/>
    <w:rsid w:val="009C66DA"/>
    <w:rsid w:val="009C6721"/>
    <w:rsid w:val="009C674F"/>
    <w:rsid w:val="009C6869"/>
    <w:rsid w:val="009C69FB"/>
    <w:rsid w:val="009C6AA2"/>
    <w:rsid w:val="009C6B1C"/>
    <w:rsid w:val="009C6D01"/>
    <w:rsid w:val="009C6DCD"/>
    <w:rsid w:val="009C6EB4"/>
    <w:rsid w:val="009C6EC7"/>
    <w:rsid w:val="009C6FFC"/>
    <w:rsid w:val="009C70F4"/>
    <w:rsid w:val="009C7145"/>
    <w:rsid w:val="009C7214"/>
    <w:rsid w:val="009C721A"/>
    <w:rsid w:val="009C72AB"/>
    <w:rsid w:val="009C73B0"/>
    <w:rsid w:val="009C74F1"/>
    <w:rsid w:val="009C7723"/>
    <w:rsid w:val="009C774C"/>
    <w:rsid w:val="009C78B5"/>
    <w:rsid w:val="009C7A23"/>
    <w:rsid w:val="009C7B3A"/>
    <w:rsid w:val="009C7BC2"/>
    <w:rsid w:val="009C7C17"/>
    <w:rsid w:val="009C7C28"/>
    <w:rsid w:val="009C7C56"/>
    <w:rsid w:val="009C7DF8"/>
    <w:rsid w:val="009D0048"/>
    <w:rsid w:val="009D0093"/>
    <w:rsid w:val="009D0094"/>
    <w:rsid w:val="009D01B0"/>
    <w:rsid w:val="009D024C"/>
    <w:rsid w:val="009D0289"/>
    <w:rsid w:val="009D0314"/>
    <w:rsid w:val="009D037E"/>
    <w:rsid w:val="009D03C2"/>
    <w:rsid w:val="009D0453"/>
    <w:rsid w:val="009D04D3"/>
    <w:rsid w:val="009D05AF"/>
    <w:rsid w:val="009D0613"/>
    <w:rsid w:val="009D0695"/>
    <w:rsid w:val="009D0749"/>
    <w:rsid w:val="009D076A"/>
    <w:rsid w:val="009D0848"/>
    <w:rsid w:val="009D08E0"/>
    <w:rsid w:val="009D0958"/>
    <w:rsid w:val="009D0A05"/>
    <w:rsid w:val="009D0AD2"/>
    <w:rsid w:val="009D0C10"/>
    <w:rsid w:val="009D0C69"/>
    <w:rsid w:val="009D0C91"/>
    <w:rsid w:val="009D0CD0"/>
    <w:rsid w:val="009D0D32"/>
    <w:rsid w:val="009D0D6E"/>
    <w:rsid w:val="009D0EFA"/>
    <w:rsid w:val="009D0F1C"/>
    <w:rsid w:val="009D0F48"/>
    <w:rsid w:val="009D1106"/>
    <w:rsid w:val="009D1245"/>
    <w:rsid w:val="009D1310"/>
    <w:rsid w:val="009D147F"/>
    <w:rsid w:val="009D149D"/>
    <w:rsid w:val="009D1611"/>
    <w:rsid w:val="009D1673"/>
    <w:rsid w:val="009D16C0"/>
    <w:rsid w:val="009D190B"/>
    <w:rsid w:val="009D1ACD"/>
    <w:rsid w:val="009D1B5F"/>
    <w:rsid w:val="009D1C34"/>
    <w:rsid w:val="009D1C9E"/>
    <w:rsid w:val="009D1DB0"/>
    <w:rsid w:val="009D1E21"/>
    <w:rsid w:val="009D1F36"/>
    <w:rsid w:val="009D1FA0"/>
    <w:rsid w:val="009D2056"/>
    <w:rsid w:val="009D20F2"/>
    <w:rsid w:val="009D2153"/>
    <w:rsid w:val="009D2472"/>
    <w:rsid w:val="009D252C"/>
    <w:rsid w:val="009D2710"/>
    <w:rsid w:val="009D2738"/>
    <w:rsid w:val="009D2777"/>
    <w:rsid w:val="009D289B"/>
    <w:rsid w:val="009D295B"/>
    <w:rsid w:val="009D2975"/>
    <w:rsid w:val="009D2A2F"/>
    <w:rsid w:val="009D2A36"/>
    <w:rsid w:val="009D2A95"/>
    <w:rsid w:val="009D2B05"/>
    <w:rsid w:val="009D2B3D"/>
    <w:rsid w:val="009D2BA1"/>
    <w:rsid w:val="009D2BCF"/>
    <w:rsid w:val="009D2BD6"/>
    <w:rsid w:val="009D2D07"/>
    <w:rsid w:val="009D2D0D"/>
    <w:rsid w:val="009D30C8"/>
    <w:rsid w:val="009D3111"/>
    <w:rsid w:val="009D34FA"/>
    <w:rsid w:val="009D3648"/>
    <w:rsid w:val="009D37F2"/>
    <w:rsid w:val="009D3B79"/>
    <w:rsid w:val="009D3C86"/>
    <w:rsid w:val="009D3CA5"/>
    <w:rsid w:val="009D3CC2"/>
    <w:rsid w:val="009D3D92"/>
    <w:rsid w:val="009D3EDF"/>
    <w:rsid w:val="009D3EED"/>
    <w:rsid w:val="009D3F07"/>
    <w:rsid w:val="009D3FE8"/>
    <w:rsid w:val="009D40D7"/>
    <w:rsid w:val="009D4132"/>
    <w:rsid w:val="009D4202"/>
    <w:rsid w:val="009D429E"/>
    <w:rsid w:val="009D4315"/>
    <w:rsid w:val="009D4333"/>
    <w:rsid w:val="009D436D"/>
    <w:rsid w:val="009D4653"/>
    <w:rsid w:val="009D477C"/>
    <w:rsid w:val="009D479F"/>
    <w:rsid w:val="009D48B4"/>
    <w:rsid w:val="009D4A0B"/>
    <w:rsid w:val="009D4A8E"/>
    <w:rsid w:val="009D4B27"/>
    <w:rsid w:val="009D4CD8"/>
    <w:rsid w:val="009D4D3C"/>
    <w:rsid w:val="009D4DCC"/>
    <w:rsid w:val="009D4E49"/>
    <w:rsid w:val="009D4E63"/>
    <w:rsid w:val="009D4F41"/>
    <w:rsid w:val="009D4FBE"/>
    <w:rsid w:val="009D50CE"/>
    <w:rsid w:val="009D5233"/>
    <w:rsid w:val="009D5294"/>
    <w:rsid w:val="009D537E"/>
    <w:rsid w:val="009D5481"/>
    <w:rsid w:val="009D54AA"/>
    <w:rsid w:val="009D54D2"/>
    <w:rsid w:val="009D575C"/>
    <w:rsid w:val="009D58B2"/>
    <w:rsid w:val="009D598A"/>
    <w:rsid w:val="009D5B9B"/>
    <w:rsid w:val="009D5C99"/>
    <w:rsid w:val="009D5D76"/>
    <w:rsid w:val="009D5DD2"/>
    <w:rsid w:val="009D5DEE"/>
    <w:rsid w:val="009D5F61"/>
    <w:rsid w:val="009D6039"/>
    <w:rsid w:val="009D6204"/>
    <w:rsid w:val="009D6325"/>
    <w:rsid w:val="009D64E0"/>
    <w:rsid w:val="009D65F4"/>
    <w:rsid w:val="009D6778"/>
    <w:rsid w:val="009D6902"/>
    <w:rsid w:val="009D6910"/>
    <w:rsid w:val="009D692A"/>
    <w:rsid w:val="009D6AC6"/>
    <w:rsid w:val="009D6BA5"/>
    <w:rsid w:val="009D6C37"/>
    <w:rsid w:val="009D6CFF"/>
    <w:rsid w:val="009D6ED4"/>
    <w:rsid w:val="009D6EDF"/>
    <w:rsid w:val="009D6FBA"/>
    <w:rsid w:val="009D72A5"/>
    <w:rsid w:val="009D7315"/>
    <w:rsid w:val="009D7518"/>
    <w:rsid w:val="009D76B9"/>
    <w:rsid w:val="009D7719"/>
    <w:rsid w:val="009D7727"/>
    <w:rsid w:val="009D77C2"/>
    <w:rsid w:val="009D786C"/>
    <w:rsid w:val="009D78B6"/>
    <w:rsid w:val="009D7993"/>
    <w:rsid w:val="009D7A19"/>
    <w:rsid w:val="009D7AF4"/>
    <w:rsid w:val="009D7B9B"/>
    <w:rsid w:val="009D7BC8"/>
    <w:rsid w:val="009D7BE0"/>
    <w:rsid w:val="009D7CEC"/>
    <w:rsid w:val="009D7E88"/>
    <w:rsid w:val="009D7EE8"/>
    <w:rsid w:val="009D7F57"/>
    <w:rsid w:val="009D7F74"/>
    <w:rsid w:val="009E00A5"/>
    <w:rsid w:val="009E0169"/>
    <w:rsid w:val="009E0250"/>
    <w:rsid w:val="009E0337"/>
    <w:rsid w:val="009E0378"/>
    <w:rsid w:val="009E0516"/>
    <w:rsid w:val="009E07D4"/>
    <w:rsid w:val="009E084A"/>
    <w:rsid w:val="009E08A3"/>
    <w:rsid w:val="009E09D2"/>
    <w:rsid w:val="009E0A32"/>
    <w:rsid w:val="009E0A51"/>
    <w:rsid w:val="009E0AE6"/>
    <w:rsid w:val="009E0C11"/>
    <w:rsid w:val="009E0C50"/>
    <w:rsid w:val="009E0CE0"/>
    <w:rsid w:val="009E102B"/>
    <w:rsid w:val="009E1046"/>
    <w:rsid w:val="009E10F2"/>
    <w:rsid w:val="009E1100"/>
    <w:rsid w:val="009E12C4"/>
    <w:rsid w:val="009E140B"/>
    <w:rsid w:val="009E15DC"/>
    <w:rsid w:val="009E17CD"/>
    <w:rsid w:val="009E1886"/>
    <w:rsid w:val="009E18A0"/>
    <w:rsid w:val="009E18CE"/>
    <w:rsid w:val="009E1B04"/>
    <w:rsid w:val="009E1D26"/>
    <w:rsid w:val="009E1E5A"/>
    <w:rsid w:val="009E1E5D"/>
    <w:rsid w:val="009E1EFB"/>
    <w:rsid w:val="009E1FE9"/>
    <w:rsid w:val="009E20DE"/>
    <w:rsid w:val="009E2185"/>
    <w:rsid w:val="009E227B"/>
    <w:rsid w:val="009E23E2"/>
    <w:rsid w:val="009E240D"/>
    <w:rsid w:val="009E24E7"/>
    <w:rsid w:val="009E2518"/>
    <w:rsid w:val="009E2585"/>
    <w:rsid w:val="009E25A3"/>
    <w:rsid w:val="009E2689"/>
    <w:rsid w:val="009E2698"/>
    <w:rsid w:val="009E273E"/>
    <w:rsid w:val="009E2995"/>
    <w:rsid w:val="009E29F7"/>
    <w:rsid w:val="009E2A36"/>
    <w:rsid w:val="009E2A44"/>
    <w:rsid w:val="009E2A4E"/>
    <w:rsid w:val="009E2A91"/>
    <w:rsid w:val="009E2B8F"/>
    <w:rsid w:val="009E2C0C"/>
    <w:rsid w:val="009E2C59"/>
    <w:rsid w:val="009E2C8C"/>
    <w:rsid w:val="009E2D1F"/>
    <w:rsid w:val="009E2DE5"/>
    <w:rsid w:val="009E2E57"/>
    <w:rsid w:val="009E2EE6"/>
    <w:rsid w:val="009E3343"/>
    <w:rsid w:val="009E37A4"/>
    <w:rsid w:val="009E3873"/>
    <w:rsid w:val="009E3934"/>
    <w:rsid w:val="009E39D4"/>
    <w:rsid w:val="009E3BAE"/>
    <w:rsid w:val="009E3F0B"/>
    <w:rsid w:val="009E3F3B"/>
    <w:rsid w:val="009E3FB0"/>
    <w:rsid w:val="009E409D"/>
    <w:rsid w:val="009E41F0"/>
    <w:rsid w:val="009E42E9"/>
    <w:rsid w:val="009E431C"/>
    <w:rsid w:val="009E4873"/>
    <w:rsid w:val="009E490E"/>
    <w:rsid w:val="009E4B20"/>
    <w:rsid w:val="009E4B80"/>
    <w:rsid w:val="009E4BE1"/>
    <w:rsid w:val="009E4C21"/>
    <w:rsid w:val="009E4D26"/>
    <w:rsid w:val="009E4D37"/>
    <w:rsid w:val="009E4E14"/>
    <w:rsid w:val="009E4E4B"/>
    <w:rsid w:val="009E50A2"/>
    <w:rsid w:val="009E50AF"/>
    <w:rsid w:val="009E5145"/>
    <w:rsid w:val="009E5247"/>
    <w:rsid w:val="009E5480"/>
    <w:rsid w:val="009E549D"/>
    <w:rsid w:val="009E5596"/>
    <w:rsid w:val="009E58BE"/>
    <w:rsid w:val="009E58C7"/>
    <w:rsid w:val="009E58E5"/>
    <w:rsid w:val="009E591A"/>
    <w:rsid w:val="009E5BA6"/>
    <w:rsid w:val="009E5C11"/>
    <w:rsid w:val="009E5D53"/>
    <w:rsid w:val="009E5E66"/>
    <w:rsid w:val="009E5FDC"/>
    <w:rsid w:val="009E6130"/>
    <w:rsid w:val="009E6271"/>
    <w:rsid w:val="009E62F1"/>
    <w:rsid w:val="009E6312"/>
    <w:rsid w:val="009E6485"/>
    <w:rsid w:val="009E6501"/>
    <w:rsid w:val="009E6693"/>
    <w:rsid w:val="009E6901"/>
    <w:rsid w:val="009E69C5"/>
    <w:rsid w:val="009E6AAC"/>
    <w:rsid w:val="009E6ABC"/>
    <w:rsid w:val="009E6AC9"/>
    <w:rsid w:val="009E6BD6"/>
    <w:rsid w:val="009E6BF0"/>
    <w:rsid w:val="009E6CA0"/>
    <w:rsid w:val="009E6CB1"/>
    <w:rsid w:val="009E6CE0"/>
    <w:rsid w:val="009E6EBF"/>
    <w:rsid w:val="009E6F40"/>
    <w:rsid w:val="009E7031"/>
    <w:rsid w:val="009E70A6"/>
    <w:rsid w:val="009E7114"/>
    <w:rsid w:val="009E7133"/>
    <w:rsid w:val="009E721D"/>
    <w:rsid w:val="009E7271"/>
    <w:rsid w:val="009E75B5"/>
    <w:rsid w:val="009E762C"/>
    <w:rsid w:val="009E7670"/>
    <w:rsid w:val="009E76D5"/>
    <w:rsid w:val="009E7BDA"/>
    <w:rsid w:val="009E7D79"/>
    <w:rsid w:val="009E7E7C"/>
    <w:rsid w:val="009E7EEF"/>
    <w:rsid w:val="009E7FD5"/>
    <w:rsid w:val="009F0097"/>
    <w:rsid w:val="009F0140"/>
    <w:rsid w:val="009F01A1"/>
    <w:rsid w:val="009F01BF"/>
    <w:rsid w:val="009F02F9"/>
    <w:rsid w:val="009F040D"/>
    <w:rsid w:val="009F045D"/>
    <w:rsid w:val="009F04D9"/>
    <w:rsid w:val="009F04FE"/>
    <w:rsid w:val="009F0533"/>
    <w:rsid w:val="009F07F2"/>
    <w:rsid w:val="009F0833"/>
    <w:rsid w:val="009F08AC"/>
    <w:rsid w:val="009F08D7"/>
    <w:rsid w:val="009F0BE8"/>
    <w:rsid w:val="009F0C25"/>
    <w:rsid w:val="009F0FEA"/>
    <w:rsid w:val="009F11F6"/>
    <w:rsid w:val="009F13EC"/>
    <w:rsid w:val="009F1450"/>
    <w:rsid w:val="009F14C3"/>
    <w:rsid w:val="009F1509"/>
    <w:rsid w:val="009F153D"/>
    <w:rsid w:val="009F155B"/>
    <w:rsid w:val="009F1652"/>
    <w:rsid w:val="009F16B5"/>
    <w:rsid w:val="009F17DF"/>
    <w:rsid w:val="009F1853"/>
    <w:rsid w:val="009F188D"/>
    <w:rsid w:val="009F190F"/>
    <w:rsid w:val="009F195E"/>
    <w:rsid w:val="009F198B"/>
    <w:rsid w:val="009F1A05"/>
    <w:rsid w:val="009F1A79"/>
    <w:rsid w:val="009F1B77"/>
    <w:rsid w:val="009F1C98"/>
    <w:rsid w:val="009F1EEB"/>
    <w:rsid w:val="009F1FFF"/>
    <w:rsid w:val="009F2523"/>
    <w:rsid w:val="009F2911"/>
    <w:rsid w:val="009F2B9A"/>
    <w:rsid w:val="009F2CD6"/>
    <w:rsid w:val="009F2D0C"/>
    <w:rsid w:val="009F2D1B"/>
    <w:rsid w:val="009F2D35"/>
    <w:rsid w:val="009F2D38"/>
    <w:rsid w:val="009F2D39"/>
    <w:rsid w:val="009F2E4C"/>
    <w:rsid w:val="009F2F01"/>
    <w:rsid w:val="009F3151"/>
    <w:rsid w:val="009F3166"/>
    <w:rsid w:val="009F3206"/>
    <w:rsid w:val="009F320A"/>
    <w:rsid w:val="009F323C"/>
    <w:rsid w:val="009F33B4"/>
    <w:rsid w:val="009F3489"/>
    <w:rsid w:val="009F34F8"/>
    <w:rsid w:val="009F3522"/>
    <w:rsid w:val="009F35E8"/>
    <w:rsid w:val="009F35FE"/>
    <w:rsid w:val="009F3607"/>
    <w:rsid w:val="009F36E8"/>
    <w:rsid w:val="009F3730"/>
    <w:rsid w:val="009F380F"/>
    <w:rsid w:val="009F388E"/>
    <w:rsid w:val="009F3A19"/>
    <w:rsid w:val="009F3B2C"/>
    <w:rsid w:val="009F3BC4"/>
    <w:rsid w:val="009F3DB2"/>
    <w:rsid w:val="009F3E15"/>
    <w:rsid w:val="009F3E2A"/>
    <w:rsid w:val="009F3EB4"/>
    <w:rsid w:val="009F4049"/>
    <w:rsid w:val="009F40B6"/>
    <w:rsid w:val="009F420F"/>
    <w:rsid w:val="009F4249"/>
    <w:rsid w:val="009F426E"/>
    <w:rsid w:val="009F4596"/>
    <w:rsid w:val="009F460F"/>
    <w:rsid w:val="009F465C"/>
    <w:rsid w:val="009F46B4"/>
    <w:rsid w:val="009F479F"/>
    <w:rsid w:val="009F48E2"/>
    <w:rsid w:val="009F49BB"/>
    <w:rsid w:val="009F4B30"/>
    <w:rsid w:val="009F4C0C"/>
    <w:rsid w:val="009F4CFE"/>
    <w:rsid w:val="009F4D2A"/>
    <w:rsid w:val="009F4DA7"/>
    <w:rsid w:val="009F4E38"/>
    <w:rsid w:val="009F4EEF"/>
    <w:rsid w:val="009F504B"/>
    <w:rsid w:val="009F50BE"/>
    <w:rsid w:val="009F51E7"/>
    <w:rsid w:val="009F5227"/>
    <w:rsid w:val="009F524F"/>
    <w:rsid w:val="009F527C"/>
    <w:rsid w:val="009F52AE"/>
    <w:rsid w:val="009F5506"/>
    <w:rsid w:val="009F5575"/>
    <w:rsid w:val="009F5617"/>
    <w:rsid w:val="009F5A5C"/>
    <w:rsid w:val="009F5B78"/>
    <w:rsid w:val="009F5C1F"/>
    <w:rsid w:val="009F5F3C"/>
    <w:rsid w:val="009F5FFF"/>
    <w:rsid w:val="009F61F4"/>
    <w:rsid w:val="009F6300"/>
    <w:rsid w:val="009F6411"/>
    <w:rsid w:val="009F644E"/>
    <w:rsid w:val="009F64BB"/>
    <w:rsid w:val="009F6689"/>
    <w:rsid w:val="009F6924"/>
    <w:rsid w:val="009F6C6C"/>
    <w:rsid w:val="009F6E37"/>
    <w:rsid w:val="009F6E7D"/>
    <w:rsid w:val="009F722B"/>
    <w:rsid w:val="009F72F1"/>
    <w:rsid w:val="009F7408"/>
    <w:rsid w:val="009F74C1"/>
    <w:rsid w:val="009F764A"/>
    <w:rsid w:val="009F7669"/>
    <w:rsid w:val="009F771D"/>
    <w:rsid w:val="009F7885"/>
    <w:rsid w:val="009F78A8"/>
    <w:rsid w:val="009F78E9"/>
    <w:rsid w:val="009F7ABA"/>
    <w:rsid w:val="009F7AD4"/>
    <w:rsid w:val="009F7AE1"/>
    <w:rsid w:val="009F7DAC"/>
    <w:rsid w:val="009F7E12"/>
    <w:rsid w:val="009F7F03"/>
    <w:rsid w:val="00A001A9"/>
    <w:rsid w:val="00A00404"/>
    <w:rsid w:val="00A005FD"/>
    <w:rsid w:val="00A0080E"/>
    <w:rsid w:val="00A00936"/>
    <w:rsid w:val="00A00943"/>
    <w:rsid w:val="00A00AA4"/>
    <w:rsid w:val="00A00AD3"/>
    <w:rsid w:val="00A00BCF"/>
    <w:rsid w:val="00A00C33"/>
    <w:rsid w:val="00A00CDA"/>
    <w:rsid w:val="00A00E78"/>
    <w:rsid w:val="00A00ED7"/>
    <w:rsid w:val="00A00EFB"/>
    <w:rsid w:val="00A010A7"/>
    <w:rsid w:val="00A01267"/>
    <w:rsid w:val="00A01338"/>
    <w:rsid w:val="00A0133B"/>
    <w:rsid w:val="00A01389"/>
    <w:rsid w:val="00A014D6"/>
    <w:rsid w:val="00A014F7"/>
    <w:rsid w:val="00A01663"/>
    <w:rsid w:val="00A0178A"/>
    <w:rsid w:val="00A017EF"/>
    <w:rsid w:val="00A017FD"/>
    <w:rsid w:val="00A01956"/>
    <w:rsid w:val="00A01A2D"/>
    <w:rsid w:val="00A01E71"/>
    <w:rsid w:val="00A01EB2"/>
    <w:rsid w:val="00A01EE8"/>
    <w:rsid w:val="00A01F70"/>
    <w:rsid w:val="00A01FB4"/>
    <w:rsid w:val="00A01FD2"/>
    <w:rsid w:val="00A02044"/>
    <w:rsid w:val="00A02055"/>
    <w:rsid w:val="00A021EC"/>
    <w:rsid w:val="00A022DA"/>
    <w:rsid w:val="00A02438"/>
    <w:rsid w:val="00A02451"/>
    <w:rsid w:val="00A0246B"/>
    <w:rsid w:val="00A02679"/>
    <w:rsid w:val="00A02746"/>
    <w:rsid w:val="00A02768"/>
    <w:rsid w:val="00A02803"/>
    <w:rsid w:val="00A02867"/>
    <w:rsid w:val="00A0287E"/>
    <w:rsid w:val="00A02AA7"/>
    <w:rsid w:val="00A02ABC"/>
    <w:rsid w:val="00A02B4B"/>
    <w:rsid w:val="00A02E33"/>
    <w:rsid w:val="00A02E50"/>
    <w:rsid w:val="00A02E89"/>
    <w:rsid w:val="00A02FFB"/>
    <w:rsid w:val="00A03000"/>
    <w:rsid w:val="00A030F9"/>
    <w:rsid w:val="00A0315E"/>
    <w:rsid w:val="00A031A3"/>
    <w:rsid w:val="00A032A0"/>
    <w:rsid w:val="00A032DD"/>
    <w:rsid w:val="00A03463"/>
    <w:rsid w:val="00A0354A"/>
    <w:rsid w:val="00A0355C"/>
    <w:rsid w:val="00A03564"/>
    <w:rsid w:val="00A035DD"/>
    <w:rsid w:val="00A036A3"/>
    <w:rsid w:val="00A03AFC"/>
    <w:rsid w:val="00A03CAC"/>
    <w:rsid w:val="00A03CCA"/>
    <w:rsid w:val="00A04174"/>
    <w:rsid w:val="00A04281"/>
    <w:rsid w:val="00A044CD"/>
    <w:rsid w:val="00A044FD"/>
    <w:rsid w:val="00A04511"/>
    <w:rsid w:val="00A0458C"/>
    <w:rsid w:val="00A04640"/>
    <w:rsid w:val="00A04775"/>
    <w:rsid w:val="00A04799"/>
    <w:rsid w:val="00A048B2"/>
    <w:rsid w:val="00A04975"/>
    <w:rsid w:val="00A049FA"/>
    <w:rsid w:val="00A04A11"/>
    <w:rsid w:val="00A04BF1"/>
    <w:rsid w:val="00A04C86"/>
    <w:rsid w:val="00A04D78"/>
    <w:rsid w:val="00A04DF3"/>
    <w:rsid w:val="00A04E82"/>
    <w:rsid w:val="00A04EEF"/>
    <w:rsid w:val="00A04F25"/>
    <w:rsid w:val="00A04F38"/>
    <w:rsid w:val="00A04F5F"/>
    <w:rsid w:val="00A05078"/>
    <w:rsid w:val="00A05229"/>
    <w:rsid w:val="00A055B7"/>
    <w:rsid w:val="00A0571A"/>
    <w:rsid w:val="00A0573D"/>
    <w:rsid w:val="00A057BB"/>
    <w:rsid w:val="00A05926"/>
    <w:rsid w:val="00A059C1"/>
    <w:rsid w:val="00A05AD4"/>
    <w:rsid w:val="00A05AF0"/>
    <w:rsid w:val="00A05B15"/>
    <w:rsid w:val="00A05B40"/>
    <w:rsid w:val="00A05B61"/>
    <w:rsid w:val="00A05BAA"/>
    <w:rsid w:val="00A05DC7"/>
    <w:rsid w:val="00A05E7B"/>
    <w:rsid w:val="00A05E89"/>
    <w:rsid w:val="00A0602B"/>
    <w:rsid w:val="00A06196"/>
    <w:rsid w:val="00A061CF"/>
    <w:rsid w:val="00A062F2"/>
    <w:rsid w:val="00A0631D"/>
    <w:rsid w:val="00A06357"/>
    <w:rsid w:val="00A064E6"/>
    <w:rsid w:val="00A06656"/>
    <w:rsid w:val="00A06676"/>
    <w:rsid w:val="00A066CB"/>
    <w:rsid w:val="00A067E2"/>
    <w:rsid w:val="00A06811"/>
    <w:rsid w:val="00A06819"/>
    <w:rsid w:val="00A0681E"/>
    <w:rsid w:val="00A06B55"/>
    <w:rsid w:val="00A06BCC"/>
    <w:rsid w:val="00A06BF5"/>
    <w:rsid w:val="00A06D83"/>
    <w:rsid w:val="00A06DF6"/>
    <w:rsid w:val="00A06EB9"/>
    <w:rsid w:val="00A06F39"/>
    <w:rsid w:val="00A07036"/>
    <w:rsid w:val="00A07096"/>
    <w:rsid w:val="00A070A2"/>
    <w:rsid w:val="00A071B6"/>
    <w:rsid w:val="00A07341"/>
    <w:rsid w:val="00A07356"/>
    <w:rsid w:val="00A076BA"/>
    <w:rsid w:val="00A077BF"/>
    <w:rsid w:val="00A077CB"/>
    <w:rsid w:val="00A0782B"/>
    <w:rsid w:val="00A07850"/>
    <w:rsid w:val="00A07858"/>
    <w:rsid w:val="00A07873"/>
    <w:rsid w:val="00A07A1E"/>
    <w:rsid w:val="00A07A69"/>
    <w:rsid w:val="00A07BAA"/>
    <w:rsid w:val="00A07BDE"/>
    <w:rsid w:val="00A07C03"/>
    <w:rsid w:val="00A07C4A"/>
    <w:rsid w:val="00A07CF9"/>
    <w:rsid w:val="00A07D50"/>
    <w:rsid w:val="00A07E9C"/>
    <w:rsid w:val="00A07F2E"/>
    <w:rsid w:val="00A10030"/>
    <w:rsid w:val="00A1075E"/>
    <w:rsid w:val="00A107C5"/>
    <w:rsid w:val="00A10911"/>
    <w:rsid w:val="00A10961"/>
    <w:rsid w:val="00A109D9"/>
    <w:rsid w:val="00A109F1"/>
    <w:rsid w:val="00A10A6B"/>
    <w:rsid w:val="00A10AE6"/>
    <w:rsid w:val="00A10BF7"/>
    <w:rsid w:val="00A10C0D"/>
    <w:rsid w:val="00A10C52"/>
    <w:rsid w:val="00A10D2A"/>
    <w:rsid w:val="00A10E27"/>
    <w:rsid w:val="00A10E3C"/>
    <w:rsid w:val="00A10E4B"/>
    <w:rsid w:val="00A10E7D"/>
    <w:rsid w:val="00A10ED0"/>
    <w:rsid w:val="00A10ED2"/>
    <w:rsid w:val="00A111E4"/>
    <w:rsid w:val="00A1125C"/>
    <w:rsid w:val="00A11260"/>
    <w:rsid w:val="00A1126A"/>
    <w:rsid w:val="00A112AB"/>
    <w:rsid w:val="00A11336"/>
    <w:rsid w:val="00A1134B"/>
    <w:rsid w:val="00A11436"/>
    <w:rsid w:val="00A11459"/>
    <w:rsid w:val="00A115F3"/>
    <w:rsid w:val="00A11621"/>
    <w:rsid w:val="00A11B4A"/>
    <w:rsid w:val="00A11B50"/>
    <w:rsid w:val="00A11C21"/>
    <w:rsid w:val="00A11C30"/>
    <w:rsid w:val="00A11CA9"/>
    <w:rsid w:val="00A11E32"/>
    <w:rsid w:val="00A11EAE"/>
    <w:rsid w:val="00A11F65"/>
    <w:rsid w:val="00A12056"/>
    <w:rsid w:val="00A120C8"/>
    <w:rsid w:val="00A120F4"/>
    <w:rsid w:val="00A12157"/>
    <w:rsid w:val="00A12182"/>
    <w:rsid w:val="00A121A4"/>
    <w:rsid w:val="00A121F6"/>
    <w:rsid w:val="00A12341"/>
    <w:rsid w:val="00A123D1"/>
    <w:rsid w:val="00A124C8"/>
    <w:rsid w:val="00A124DD"/>
    <w:rsid w:val="00A124FB"/>
    <w:rsid w:val="00A12672"/>
    <w:rsid w:val="00A1267D"/>
    <w:rsid w:val="00A12815"/>
    <w:rsid w:val="00A12832"/>
    <w:rsid w:val="00A1286A"/>
    <w:rsid w:val="00A12905"/>
    <w:rsid w:val="00A12B29"/>
    <w:rsid w:val="00A12BC8"/>
    <w:rsid w:val="00A12C8F"/>
    <w:rsid w:val="00A12D65"/>
    <w:rsid w:val="00A12DD2"/>
    <w:rsid w:val="00A12E82"/>
    <w:rsid w:val="00A12F42"/>
    <w:rsid w:val="00A131C9"/>
    <w:rsid w:val="00A132CA"/>
    <w:rsid w:val="00A13371"/>
    <w:rsid w:val="00A1354B"/>
    <w:rsid w:val="00A135E3"/>
    <w:rsid w:val="00A135F7"/>
    <w:rsid w:val="00A13645"/>
    <w:rsid w:val="00A137D5"/>
    <w:rsid w:val="00A137DA"/>
    <w:rsid w:val="00A1381C"/>
    <w:rsid w:val="00A13882"/>
    <w:rsid w:val="00A138D8"/>
    <w:rsid w:val="00A13910"/>
    <w:rsid w:val="00A13B82"/>
    <w:rsid w:val="00A13BBA"/>
    <w:rsid w:val="00A13D3B"/>
    <w:rsid w:val="00A13D82"/>
    <w:rsid w:val="00A13DCC"/>
    <w:rsid w:val="00A13F3A"/>
    <w:rsid w:val="00A1413B"/>
    <w:rsid w:val="00A141CD"/>
    <w:rsid w:val="00A14554"/>
    <w:rsid w:val="00A14786"/>
    <w:rsid w:val="00A14836"/>
    <w:rsid w:val="00A1495D"/>
    <w:rsid w:val="00A14AFF"/>
    <w:rsid w:val="00A14CA3"/>
    <w:rsid w:val="00A14CE5"/>
    <w:rsid w:val="00A14EF9"/>
    <w:rsid w:val="00A14F8D"/>
    <w:rsid w:val="00A14FEA"/>
    <w:rsid w:val="00A15045"/>
    <w:rsid w:val="00A15137"/>
    <w:rsid w:val="00A151BA"/>
    <w:rsid w:val="00A152E4"/>
    <w:rsid w:val="00A15515"/>
    <w:rsid w:val="00A155A1"/>
    <w:rsid w:val="00A15602"/>
    <w:rsid w:val="00A1589B"/>
    <w:rsid w:val="00A15A64"/>
    <w:rsid w:val="00A15BD0"/>
    <w:rsid w:val="00A15C57"/>
    <w:rsid w:val="00A15DA6"/>
    <w:rsid w:val="00A15E1A"/>
    <w:rsid w:val="00A1601A"/>
    <w:rsid w:val="00A16020"/>
    <w:rsid w:val="00A160E0"/>
    <w:rsid w:val="00A16132"/>
    <w:rsid w:val="00A1614E"/>
    <w:rsid w:val="00A161AA"/>
    <w:rsid w:val="00A161DE"/>
    <w:rsid w:val="00A163D8"/>
    <w:rsid w:val="00A164F6"/>
    <w:rsid w:val="00A16525"/>
    <w:rsid w:val="00A16534"/>
    <w:rsid w:val="00A165D0"/>
    <w:rsid w:val="00A165EF"/>
    <w:rsid w:val="00A16808"/>
    <w:rsid w:val="00A1689F"/>
    <w:rsid w:val="00A168D8"/>
    <w:rsid w:val="00A169B1"/>
    <w:rsid w:val="00A16B98"/>
    <w:rsid w:val="00A16BC4"/>
    <w:rsid w:val="00A16CAA"/>
    <w:rsid w:val="00A16CD4"/>
    <w:rsid w:val="00A16CF8"/>
    <w:rsid w:val="00A16D02"/>
    <w:rsid w:val="00A16F06"/>
    <w:rsid w:val="00A16F88"/>
    <w:rsid w:val="00A1714D"/>
    <w:rsid w:val="00A17154"/>
    <w:rsid w:val="00A17269"/>
    <w:rsid w:val="00A172DF"/>
    <w:rsid w:val="00A172FE"/>
    <w:rsid w:val="00A173E4"/>
    <w:rsid w:val="00A17407"/>
    <w:rsid w:val="00A1780A"/>
    <w:rsid w:val="00A17A06"/>
    <w:rsid w:val="00A17D7B"/>
    <w:rsid w:val="00A17EE2"/>
    <w:rsid w:val="00A17EEE"/>
    <w:rsid w:val="00A2004A"/>
    <w:rsid w:val="00A20083"/>
    <w:rsid w:val="00A200C1"/>
    <w:rsid w:val="00A20267"/>
    <w:rsid w:val="00A204E9"/>
    <w:rsid w:val="00A205DA"/>
    <w:rsid w:val="00A208D5"/>
    <w:rsid w:val="00A20983"/>
    <w:rsid w:val="00A20A0F"/>
    <w:rsid w:val="00A20B2D"/>
    <w:rsid w:val="00A20C8E"/>
    <w:rsid w:val="00A20D68"/>
    <w:rsid w:val="00A20D8F"/>
    <w:rsid w:val="00A20E3C"/>
    <w:rsid w:val="00A20E5D"/>
    <w:rsid w:val="00A21100"/>
    <w:rsid w:val="00A2114F"/>
    <w:rsid w:val="00A211B1"/>
    <w:rsid w:val="00A21275"/>
    <w:rsid w:val="00A212B1"/>
    <w:rsid w:val="00A2132D"/>
    <w:rsid w:val="00A214DD"/>
    <w:rsid w:val="00A21545"/>
    <w:rsid w:val="00A21552"/>
    <w:rsid w:val="00A2168F"/>
    <w:rsid w:val="00A21767"/>
    <w:rsid w:val="00A21AC8"/>
    <w:rsid w:val="00A21B67"/>
    <w:rsid w:val="00A21E76"/>
    <w:rsid w:val="00A2205B"/>
    <w:rsid w:val="00A220F7"/>
    <w:rsid w:val="00A22221"/>
    <w:rsid w:val="00A22251"/>
    <w:rsid w:val="00A22397"/>
    <w:rsid w:val="00A22494"/>
    <w:rsid w:val="00A225A0"/>
    <w:rsid w:val="00A225B0"/>
    <w:rsid w:val="00A22896"/>
    <w:rsid w:val="00A228F7"/>
    <w:rsid w:val="00A2295C"/>
    <w:rsid w:val="00A229DD"/>
    <w:rsid w:val="00A22A2B"/>
    <w:rsid w:val="00A22A60"/>
    <w:rsid w:val="00A22AF4"/>
    <w:rsid w:val="00A22B1C"/>
    <w:rsid w:val="00A22BD2"/>
    <w:rsid w:val="00A22CD4"/>
    <w:rsid w:val="00A22E1C"/>
    <w:rsid w:val="00A22E87"/>
    <w:rsid w:val="00A22EAA"/>
    <w:rsid w:val="00A22F19"/>
    <w:rsid w:val="00A23186"/>
    <w:rsid w:val="00A231A6"/>
    <w:rsid w:val="00A23336"/>
    <w:rsid w:val="00A23421"/>
    <w:rsid w:val="00A234ED"/>
    <w:rsid w:val="00A234F0"/>
    <w:rsid w:val="00A2351E"/>
    <w:rsid w:val="00A235CE"/>
    <w:rsid w:val="00A235F7"/>
    <w:rsid w:val="00A23672"/>
    <w:rsid w:val="00A237A4"/>
    <w:rsid w:val="00A23801"/>
    <w:rsid w:val="00A23865"/>
    <w:rsid w:val="00A2391B"/>
    <w:rsid w:val="00A23A34"/>
    <w:rsid w:val="00A23A85"/>
    <w:rsid w:val="00A23AA4"/>
    <w:rsid w:val="00A23B82"/>
    <w:rsid w:val="00A23C00"/>
    <w:rsid w:val="00A23C3C"/>
    <w:rsid w:val="00A23C79"/>
    <w:rsid w:val="00A23C93"/>
    <w:rsid w:val="00A23D33"/>
    <w:rsid w:val="00A23DC7"/>
    <w:rsid w:val="00A23E02"/>
    <w:rsid w:val="00A240BF"/>
    <w:rsid w:val="00A2415B"/>
    <w:rsid w:val="00A242BF"/>
    <w:rsid w:val="00A243F4"/>
    <w:rsid w:val="00A244B6"/>
    <w:rsid w:val="00A24611"/>
    <w:rsid w:val="00A246EB"/>
    <w:rsid w:val="00A24847"/>
    <w:rsid w:val="00A24A11"/>
    <w:rsid w:val="00A24A34"/>
    <w:rsid w:val="00A24A3B"/>
    <w:rsid w:val="00A24CEE"/>
    <w:rsid w:val="00A24EE0"/>
    <w:rsid w:val="00A2502C"/>
    <w:rsid w:val="00A25042"/>
    <w:rsid w:val="00A250C4"/>
    <w:rsid w:val="00A2527E"/>
    <w:rsid w:val="00A252B2"/>
    <w:rsid w:val="00A252C4"/>
    <w:rsid w:val="00A25379"/>
    <w:rsid w:val="00A254ED"/>
    <w:rsid w:val="00A25511"/>
    <w:rsid w:val="00A2551B"/>
    <w:rsid w:val="00A25521"/>
    <w:rsid w:val="00A25535"/>
    <w:rsid w:val="00A257DE"/>
    <w:rsid w:val="00A25882"/>
    <w:rsid w:val="00A25885"/>
    <w:rsid w:val="00A259D6"/>
    <w:rsid w:val="00A25A46"/>
    <w:rsid w:val="00A25A47"/>
    <w:rsid w:val="00A25A8D"/>
    <w:rsid w:val="00A25B27"/>
    <w:rsid w:val="00A25C9F"/>
    <w:rsid w:val="00A25CA0"/>
    <w:rsid w:val="00A25DAB"/>
    <w:rsid w:val="00A25E58"/>
    <w:rsid w:val="00A25FA6"/>
    <w:rsid w:val="00A25FD5"/>
    <w:rsid w:val="00A2600F"/>
    <w:rsid w:val="00A2611E"/>
    <w:rsid w:val="00A26134"/>
    <w:rsid w:val="00A261B2"/>
    <w:rsid w:val="00A262F7"/>
    <w:rsid w:val="00A26434"/>
    <w:rsid w:val="00A265DF"/>
    <w:rsid w:val="00A26648"/>
    <w:rsid w:val="00A26666"/>
    <w:rsid w:val="00A266E8"/>
    <w:rsid w:val="00A26799"/>
    <w:rsid w:val="00A26808"/>
    <w:rsid w:val="00A269D8"/>
    <w:rsid w:val="00A26A9D"/>
    <w:rsid w:val="00A26B3D"/>
    <w:rsid w:val="00A26BFA"/>
    <w:rsid w:val="00A26C8E"/>
    <w:rsid w:val="00A26CCB"/>
    <w:rsid w:val="00A26CD5"/>
    <w:rsid w:val="00A26D6F"/>
    <w:rsid w:val="00A26E59"/>
    <w:rsid w:val="00A26F31"/>
    <w:rsid w:val="00A27235"/>
    <w:rsid w:val="00A2723D"/>
    <w:rsid w:val="00A273C5"/>
    <w:rsid w:val="00A276C3"/>
    <w:rsid w:val="00A276D5"/>
    <w:rsid w:val="00A27786"/>
    <w:rsid w:val="00A278DB"/>
    <w:rsid w:val="00A27903"/>
    <w:rsid w:val="00A27B2F"/>
    <w:rsid w:val="00A27BAE"/>
    <w:rsid w:val="00A27BEF"/>
    <w:rsid w:val="00A27CD5"/>
    <w:rsid w:val="00A27E4E"/>
    <w:rsid w:val="00A27EB8"/>
    <w:rsid w:val="00A27F7D"/>
    <w:rsid w:val="00A3005E"/>
    <w:rsid w:val="00A3006D"/>
    <w:rsid w:val="00A30080"/>
    <w:rsid w:val="00A30159"/>
    <w:rsid w:val="00A30195"/>
    <w:rsid w:val="00A302C6"/>
    <w:rsid w:val="00A30360"/>
    <w:rsid w:val="00A303BB"/>
    <w:rsid w:val="00A30406"/>
    <w:rsid w:val="00A3048B"/>
    <w:rsid w:val="00A3065D"/>
    <w:rsid w:val="00A307D6"/>
    <w:rsid w:val="00A308AF"/>
    <w:rsid w:val="00A308F0"/>
    <w:rsid w:val="00A30917"/>
    <w:rsid w:val="00A30A1C"/>
    <w:rsid w:val="00A30AF0"/>
    <w:rsid w:val="00A30D05"/>
    <w:rsid w:val="00A30E35"/>
    <w:rsid w:val="00A30EC8"/>
    <w:rsid w:val="00A30FDD"/>
    <w:rsid w:val="00A30FEC"/>
    <w:rsid w:val="00A3103D"/>
    <w:rsid w:val="00A313A7"/>
    <w:rsid w:val="00A31419"/>
    <w:rsid w:val="00A31636"/>
    <w:rsid w:val="00A316B9"/>
    <w:rsid w:val="00A317E0"/>
    <w:rsid w:val="00A3189C"/>
    <w:rsid w:val="00A3193A"/>
    <w:rsid w:val="00A31940"/>
    <w:rsid w:val="00A31A30"/>
    <w:rsid w:val="00A31BF0"/>
    <w:rsid w:val="00A31C88"/>
    <w:rsid w:val="00A31E87"/>
    <w:rsid w:val="00A3203D"/>
    <w:rsid w:val="00A320D8"/>
    <w:rsid w:val="00A3216E"/>
    <w:rsid w:val="00A32284"/>
    <w:rsid w:val="00A3237E"/>
    <w:rsid w:val="00A32396"/>
    <w:rsid w:val="00A32410"/>
    <w:rsid w:val="00A32476"/>
    <w:rsid w:val="00A32521"/>
    <w:rsid w:val="00A3256C"/>
    <w:rsid w:val="00A325C4"/>
    <w:rsid w:val="00A32601"/>
    <w:rsid w:val="00A32748"/>
    <w:rsid w:val="00A32798"/>
    <w:rsid w:val="00A329FC"/>
    <w:rsid w:val="00A32AED"/>
    <w:rsid w:val="00A32AF1"/>
    <w:rsid w:val="00A32C8D"/>
    <w:rsid w:val="00A32CAB"/>
    <w:rsid w:val="00A32CE3"/>
    <w:rsid w:val="00A32DF7"/>
    <w:rsid w:val="00A32E8B"/>
    <w:rsid w:val="00A330EB"/>
    <w:rsid w:val="00A331C9"/>
    <w:rsid w:val="00A33376"/>
    <w:rsid w:val="00A3399B"/>
    <w:rsid w:val="00A339C8"/>
    <w:rsid w:val="00A33A71"/>
    <w:rsid w:val="00A33A9A"/>
    <w:rsid w:val="00A33AA5"/>
    <w:rsid w:val="00A33B8B"/>
    <w:rsid w:val="00A33BE0"/>
    <w:rsid w:val="00A33BE3"/>
    <w:rsid w:val="00A33CED"/>
    <w:rsid w:val="00A33CFB"/>
    <w:rsid w:val="00A33D77"/>
    <w:rsid w:val="00A33E4C"/>
    <w:rsid w:val="00A33F85"/>
    <w:rsid w:val="00A33FB5"/>
    <w:rsid w:val="00A33FDF"/>
    <w:rsid w:val="00A34004"/>
    <w:rsid w:val="00A34013"/>
    <w:rsid w:val="00A340B9"/>
    <w:rsid w:val="00A34205"/>
    <w:rsid w:val="00A3430B"/>
    <w:rsid w:val="00A343F1"/>
    <w:rsid w:val="00A34440"/>
    <w:rsid w:val="00A3460B"/>
    <w:rsid w:val="00A346C7"/>
    <w:rsid w:val="00A3470C"/>
    <w:rsid w:val="00A3472D"/>
    <w:rsid w:val="00A34795"/>
    <w:rsid w:val="00A348E8"/>
    <w:rsid w:val="00A349C0"/>
    <w:rsid w:val="00A34A00"/>
    <w:rsid w:val="00A34C74"/>
    <w:rsid w:val="00A34DBC"/>
    <w:rsid w:val="00A34EFA"/>
    <w:rsid w:val="00A34F31"/>
    <w:rsid w:val="00A34FD6"/>
    <w:rsid w:val="00A35008"/>
    <w:rsid w:val="00A35125"/>
    <w:rsid w:val="00A3517C"/>
    <w:rsid w:val="00A3519A"/>
    <w:rsid w:val="00A35207"/>
    <w:rsid w:val="00A35257"/>
    <w:rsid w:val="00A352C0"/>
    <w:rsid w:val="00A35349"/>
    <w:rsid w:val="00A3538E"/>
    <w:rsid w:val="00A3546B"/>
    <w:rsid w:val="00A354EE"/>
    <w:rsid w:val="00A3557F"/>
    <w:rsid w:val="00A357DD"/>
    <w:rsid w:val="00A3589C"/>
    <w:rsid w:val="00A359D2"/>
    <w:rsid w:val="00A35AD2"/>
    <w:rsid w:val="00A35B4A"/>
    <w:rsid w:val="00A35C0E"/>
    <w:rsid w:val="00A35C38"/>
    <w:rsid w:val="00A35D78"/>
    <w:rsid w:val="00A35D81"/>
    <w:rsid w:val="00A35DA9"/>
    <w:rsid w:val="00A35F31"/>
    <w:rsid w:val="00A35F55"/>
    <w:rsid w:val="00A36052"/>
    <w:rsid w:val="00A36066"/>
    <w:rsid w:val="00A36145"/>
    <w:rsid w:val="00A3616F"/>
    <w:rsid w:val="00A362B1"/>
    <w:rsid w:val="00A36375"/>
    <w:rsid w:val="00A36404"/>
    <w:rsid w:val="00A36655"/>
    <w:rsid w:val="00A366AE"/>
    <w:rsid w:val="00A36786"/>
    <w:rsid w:val="00A367E0"/>
    <w:rsid w:val="00A36843"/>
    <w:rsid w:val="00A368D1"/>
    <w:rsid w:val="00A36923"/>
    <w:rsid w:val="00A3698F"/>
    <w:rsid w:val="00A369D6"/>
    <w:rsid w:val="00A36BF8"/>
    <w:rsid w:val="00A36C3B"/>
    <w:rsid w:val="00A36C69"/>
    <w:rsid w:val="00A36D1F"/>
    <w:rsid w:val="00A36D9C"/>
    <w:rsid w:val="00A36DD6"/>
    <w:rsid w:val="00A36F2C"/>
    <w:rsid w:val="00A36FB5"/>
    <w:rsid w:val="00A3712B"/>
    <w:rsid w:val="00A37167"/>
    <w:rsid w:val="00A372BF"/>
    <w:rsid w:val="00A373BB"/>
    <w:rsid w:val="00A37403"/>
    <w:rsid w:val="00A374C4"/>
    <w:rsid w:val="00A374D4"/>
    <w:rsid w:val="00A376CF"/>
    <w:rsid w:val="00A377D4"/>
    <w:rsid w:val="00A37A8C"/>
    <w:rsid w:val="00A37A91"/>
    <w:rsid w:val="00A37C77"/>
    <w:rsid w:val="00A37C9C"/>
    <w:rsid w:val="00A37CCA"/>
    <w:rsid w:val="00A4019F"/>
    <w:rsid w:val="00A402A5"/>
    <w:rsid w:val="00A4030A"/>
    <w:rsid w:val="00A403BD"/>
    <w:rsid w:val="00A403C2"/>
    <w:rsid w:val="00A403CA"/>
    <w:rsid w:val="00A405D3"/>
    <w:rsid w:val="00A405DC"/>
    <w:rsid w:val="00A408C7"/>
    <w:rsid w:val="00A4098D"/>
    <w:rsid w:val="00A40AD9"/>
    <w:rsid w:val="00A40C0F"/>
    <w:rsid w:val="00A40CD2"/>
    <w:rsid w:val="00A40CE2"/>
    <w:rsid w:val="00A40D4D"/>
    <w:rsid w:val="00A40E34"/>
    <w:rsid w:val="00A40E50"/>
    <w:rsid w:val="00A40EC6"/>
    <w:rsid w:val="00A41013"/>
    <w:rsid w:val="00A4104B"/>
    <w:rsid w:val="00A410E7"/>
    <w:rsid w:val="00A411DF"/>
    <w:rsid w:val="00A412F0"/>
    <w:rsid w:val="00A4134F"/>
    <w:rsid w:val="00A41484"/>
    <w:rsid w:val="00A4150C"/>
    <w:rsid w:val="00A41523"/>
    <w:rsid w:val="00A41587"/>
    <w:rsid w:val="00A4183D"/>
    <w:rsid w:val="00A41892"/>
    <w:rsid w:val="00A41955"/>
    <w:rsid w:val="00A4195F"/>
    <w:rsid w:val="00A419CB"/>
    <w:rsid w:val="00A41A07"/>
    <w:rsid w:val="00A41A56"/>
    <w:rsid w:val="00A41B03"/>
    <w:rsid w:val="00A41C00"/>
    <w:rsid w:val="00A41CF8"/>
    <w:rsid w:val="00A41CF9"/>
    <w:rsid w:val="00A41DB1"/>
    <w:rsid w:val="00A41DFD"/>
    <w:rsid w:val="00A41E49"/>
    <w:rsid w:val="00A41F3C"/>
    <w:rsid w:val="00A41F81"/>
    <w:rsid w:val="00A41FA1"/>
    <w:rsid w:val="00A41FB7"/>
    <w:rsid w:val="00A42155"/>
    <w:rsid w:val="00A4223E"/>
    <w:rsid w:val="00A422A2"/>
    <w:rsid w:val="00A4239D"/>
    <w:rsid w:val="00A425AF"/>
    <w:rsid w:val="00A42705"/>
    <w:rsid w:val="00A42715"/>
    <w:rsid w:val="00A42723"/>
    <w:rsid w:val="00A42796"/>
    <w:rsid w:val="00A427B3"/>
    <w:rsid w:val="00A427C7"/>
    <w:rsid w:val="00A428D8"/>
    <w:rsid w:val="00A42AC2"/>
    <w:rsid w:val="00A42C4D"/>
    <w:rsid w:val="00A42D09"/>
    <w:rsid w:val="00A42D44"/>
    <w:rsid w:val="00A42F5C"/>
    <w:rsid w:val="00A43019"/>
    <w:rsid w:val="00A430F3"/>
    <w:rsid w:val="00A43120"/>
    <w:rsid w:val="00A4318B"/>
    <w:rsid w:val="00A431BF"/>
    <w:rsid w:val="00A43231"/>
    <w:rsid w:val="00A4324A"/>
    <w:rsid w:val="00A43400"/>
    <w:rsid w:val="00A434E9"/>
    <w:rsid w:val="00A435D5"/>
    <w:rsid w:val="00A4361A"/>
    <w:rsid w:val="00A436EF"/>
    <w:rsid w:val="00A436FB"/>
    <w:rsid w:val="00A437CF"/>
    <w:rsid w:val="00A437D9"/>
    <w:rsid w:val="00A438FE"/>
    <w:rsid w:val="00A4390E"/>
    <w:rsid w:val="00A43E5D"/>
    <w:rsid w:val="00A43E7D"/>
    <w:rsid w:val="00A43F19"/>
    <w:rsid w:val="00A43F98"/>
    <w:rsid w:val="00A441B8"/>
    <w:rsid w:val="00A441FA"/>
    <w:rsid w:val="00A44207"/>
    <w:rsid w:val="00A442E8"/>
    <w:rsid w:val="00A44319"/>
    <w:rsid w:val="00A44381"/>
    <w:rsid w:val="00A44396"/>
    <w:rsid w:val="00A44546"/>
    <w:rsid w:val="00A44566"/>
    <w:rsid w:val="00A44642"/>
    <w:rsid w:val="00A4477C"/>
    <w:rsid w:val="00A4493B"/>
    <w:rsid w:val="00A44A57"/>
    <w:rsid w:val="00A44B15"/>
    <w:rsid w:val="00A44C49"/>
    <w:rsid w:val="00A44C6F"/>
    <w:rsid w:val="00A44C7C"/>
    <w:rsid w:val="00A44D04"/>
    <w:rsid w:val="00A44F8D"/>
    <w:rsid w:val="00A4526F"/>
    <w:rsid w:val="00A452AE"/>
    <w:rsid w:val="00A452BC"/>
    <w:rsid w:val="00A4530E"/>
    <w:rsid w:val="00A45332"/>
    <w:rsid w:val="00A45359"/>
    <w:rsid w:val="00A45360"/>
    <w:rsid w:val="00A453E0"/>
    <w:rsid w:val="00A45559"/>
    <w:rsid w:val="00A455FC"/>
    <w:rsid w:val="00A45633"/>
    <w:rsid w:val="00A45758"/>
    <w:rsid w:val="00A4578B"/>
    <w:rsid w:val="00A457B1"/>
    <w:rsid w:val="00A457BA"/>
    <w:rsid w:val="00A45969"/>
    <w:rsid w:val="00A45AA4"/>
    <w:rsid w:val="00A45C0B"/>
    <w:rsid w:val="00A45C83"/>
    <w:rsid w:val="00A45D0D"/>
    <w:rsid w:val="00A45DA5"/>
    <w:rsid w:val="00A45DB4"/>
    <w:rsid w:val="00A45ED1"/>
    <w:rsid w:val="00A45F15"/>
    <w:rsid w:val="00A45FAA"/>
    <w:rsid w:val="00A4604F"/>
    <w:rsid w:val="00A461D9"/>
    <w:rsid w:val="00A4625B"/>
    <w:rsid w:val="00A46276"/>
    <w:rsid w:val="00A464DF"/>
    <w:rsid w:val="00A46501"/>
    <w:rsid w:val="00A465AF"/>
    <w:rsid w:val="00A46813"/>
    <w:rsid w:val="00A469BE"/>
    <w:rsid w:val="00A46B12"/>
    <w:rsid w:val="00A46D93"/>
    <w:rsid w:val="00A46F63"/>
    <w:rsid w:val="00A470C9"/>
    <w:rsid w:val="00A470EE"/>
    <w:rsid w:val="00A471D4"/>
    <w:rsid w:val="00A47286"/>
    <w:rsid w:val="00A472A4"/>
    <w:rsid w:val="00A472F5"/>
    <w:rsid w:val="00A4736D"/>
    <w:rsid w:val="00A4747D"/>
    <w:rsid w:val="00A47574"/>
    <w:rsid w:val="00A47597"/>
    <w:rsid w:val="00A475C7"/>
    <w:rsid w:val="00A475F7"/>
    <w:rsid w:val="00A47606"/>
    <w:rsid w:val="00A47778"/>
    <w:rsid w:val="00A47800"/>
    <w:rsid w:val="00A47853"/>
    <w:rsid w:val="00A478CE"/>
    <w:rsid w:val="00A47989"/>
    <w:rsid w:val="00A47A2B"/>
    <w:rsid w:val="00A47A3A"/>
    <w:rsid w:val="00A47B19"/>
    <w:rsid w:val="00A47B6F"/>
    <w:rsid w:val="00A47CC9"/>
    <w:rsid w:val="00A47DF5"/>
    <w:rsid w:val="00A47E35"/>
    <w:rsid w:val="00A47F29"/>
    <w:rsid w:val="00A47FE0"/>
    <w:rsid w:val="00A5021D"/>
    <w:rsid w:val="00A5021F"/>
    <w:rsid w:val="00A503D3"/>
    <w:rsid w:val="00A5047C"/>
    <w:rsid w:val="00A5053B"/>
    <w:rsid w:val="00A5057F"/>
    <w:rsid w:val="00A505EA"/>
    <w:rsid w:val="00A5076A"/>
    <w:rsid w:val="00A50843"/>
    <w:rsid w:val="00A5095E"/>
    <w:rsid w:val="00A50B23"/>
    <w:rsid w:val="00A50C49"/>
    <w:rsid w:val="00A50C52"/>
    <w:rsid w:val="00A50D3B"/>
    <w:rsid w:val="00A50D91"/>
    <w:rsid w:val="00A50F5B"/>
    <w:rsid w:val="00A51134"/>
    <w:rsid w:val="00A51335"/>
    <w:rsid w:val="00A51434"/>
    <w:rsid w:val="00A515CE"/>
    <w:rsid w:val="00A51710"/>
    <w:rsid w:val="00A517E2"/>
    <w:rsid w:val="00A518C7"/>
    <w:rsid w:val="00A5197A"/>
    <w:rsid w:val="00A519F7"/>
    <w:rsid w:val="00A51DAC"/>
    <w:rsid w:val="00A51DCF"/>
    <w:rsid w:val="00A51E70"/>
    <w:rsid w:val="00A51F6B"/>
    <w:rsid w:val="00A51F9A"/>
    <w:rsid w:val="00A52006"/>
    <w:rsid w:val="00A52170"/>
    <w:rsid w:val="00A521B9"/>
    <w:rsid w:val="00A5223C"/>
    <w:rsid w:val="00A52387"/>
    <w:rsid w:val="00A52397"/>
    <w:rsid w:val="00A523BB"/>
    <w:rsid w:val="00A52459"/>
    <w:rsid w:val="00A5249C"/>
    <w:rsid w:val="00A52552"/>
    <w:rsid w:val="00A5259F"/>
    <w:rsid w:val="00A52805"/>
    <w:rsid w:val="00A528F1"/>
    <w:rsid w:val="00A528F9"/>
    <w:rsid w:val="00A5297C"/>
    <w:rsid w:val="00A5299D"/>
    <w:rsid w:val="00A529F7"/>
    <w:rsid w:val="00A52A9A"/>
    <w:rsid w:val="00A52AD7"/>
    <w:rsid w:val="00A52B65"/>
    <w:rsid w:val="00A52E71"/>
    <w:rsid w:val="00A52E9D"/>
    <w:rsid w:val="00A52FCB"/>
    <w:rsid w:val="00A52FDF"/>
    <w:rsid w:val="00A53022"/>
    <w:rsid w:val="00A5314B"/>
    <w:rsid w:val="00A531A5"/>
    <w:rsid w:val="00A531F3"/>
    <w:rsid w:val="00A53271"/>
    <w:rsid w:val="00A5332F"/>
    <w:rsid w:val="00A53668"/>
    <w:rsid w:val="00A536A3"/>
    <w:rsid w:val="00A53847"/>
    <w:rsid w:val="00A5387C"/>
    <w:rsid w:val="00A5387D"/>
    <w:rsid w:val="00A53969"/>
    <w:rsid w:val="00A5397E"/>
    <w:rsid w:val="00A53A42"/>
    <w:rsid w:val="00A53AD9"/>
    <w:rsid w:val="00A53AE8"/>
    <w:rsid w:val="00A53AED"/>
    <w:rsid w:val="00A53B54"/>
    <w:rsid w:val="00A53C06"/>
    <w:rsid w:val="00A53C08"/>
    <w:rsid w:val="00A53C79"/>
    <w:rsid w:val="00A53C83"/>
    <w:rsid w:val="00A53DD6"/>
    <w:rsid w:val="00A53F65"/>
    <w:rsid w:val="00A54007"/>
    <w:rsid w:val="00A54037"/>
    <w:rsid w:val="00A54253"/>
    <w:rsid w:val="00A54551"/>
    <w:rsid w:val="00A54571"/>
    <w:rsid w:val="00A545D6"/>
    <w:rsid w:val="00A54610"/>
    <w:rsid w:val="00A54756"/>
    <w:rsid w:val="00A548BB"/>
    <w:rsid w:val="00A54A1E"/>
    <w:rsid w:val="00A54A53"/>
    <w:rsid w:val="00A54AC8"/>
    <w:rsid w:val="00A54E88"/>
    <w:rsid w:val="00A5501F"/>
    <w:rsid w:val="00A55020"/>
    <w:rsid w:val="00A55031"/>
    <w:rsid w:val="00A55552"/>
    <w:rsid w:val="00A555F4"/>
    <w:rsid w:val="00A55662"/>
    <w:rsid w:val="00A55683"/>
    <w:rsid w:val="00A55770"/>
    <w:rsid w:val="00A557A1"/>
    <w:rsid w:val="00A55812"/>
    <w:rsid w:val="00A55843"/>
    <w:rsid w:val="00A55929"/>
    <w:rsid w:val="00A55A03"/>
    <w:rsid w:val="00A55AAA"/>
    <w:rsid w:val="00A55AD1"/>
    <w:rsid w:val="00A55AF8"/>
    <w:rsid w:val="00A55B76"/>
    <w:rsid w:val="00A55CA7"/>
    <w:rsid w:val="00A55D74"/>
    <w:rsid w:val="00A56181"/>
    <w:rsid w:val="00A562C2"/>
    <w:rsid w:val="00A564BD"/>
    <w:rsid w:val="00A564D8"/>
    <w:rsid w:val="00A56661"/>
    <w:rsid w:val="00A56707"/>
    <w:rsid w:val="00A567DC"/>
    <w:rsid w:val="00A5689B"/>
    <w:rsid w:val="00A568F4"/>
    <w:rsid w:val="00A56A7D"/>
    <w:rsid w:val="00A56A86"/>
    <w:rsid w:val="00A56AD6"/>
    <w:rsid w:val="00A56E17"/>
    <w:rsid w:val="00A56F85"/>
    <w:rsid w:val="00A56FC6"/>
    <w:rsid w:val="00A5703A"/>
    <w:rsid w:val="00A5706A"/>
    <w:rsid w:val="00A570A4"/>
    <w:rsid w:val="00A57305"/>
    <w:rsid w:val="00A573D5"/>
    <w:rsid w:val="00A57406"/>
    <w:rsid w:val="00A575F5"/>
    <w:rsid w:val="00A576A5"/>
    <w:rsid w:val="00A5779A"/>
    <w:rsid w:val="00A577C7"/>
    <w:rsid w:val="00A57A34"/>
    <w:rsid w:val="00A57BA1"/>
    <w:rsid w:val="00A57BCC"/>
    <w:rsid w:val="00A57C95"/>
    <w:rsid w:val="00A57CB3"/>
    <w:rsid w:val="00A57D05"/>
    <w:rsid w:val="00A57D1D"/>
    <w:rsid w:val="00A60095"/>
    <w:rsid w:val="00A6014B"/>
    <w:rsid w:val="00A6020A"/>
    <w:rsid w:val="00A6036A"/>
    <w:rsid w:val="00A604A0"/>
    <w:rsid w:val="00A604AB"/>
    <w:rsid w:val="00A604CF"/>
    <w:rsid w:val="00A604EF"/>
    <w:rsid w:val="00A60573"/>
    <w:rsid w:val="00A605DD"/>
    <w:rsid w:val="00A6063A"/>
    <w:rsid w:val="00A6063B"/>
    <w:rsid w:val="00A60863"/>
    <w:rsid w:val="00A608CA"/>
    <w:rsid w:val="00A60917"/>
    <w:rsid w:val="00A60A96"/>
    <w:rsid w:val="00A60B39"/>
    <w:rsid w:val="00A60BB3"/>
    <w:rsid w:val="00A60D7C"/>
    <w:rsid w:val="00A60E7C"/>
    <w:rsid w:val="00A60E89"/>
    <w:rsid w:val="00A60EB0"/>
    <w:rsid w:val="00A60F50"/>
    <w:rsid w:val="00A60F64"/>
    <w:rsid w:val="00A61020"/>
    <w:rsid w:val="00A610FD"/>
    <w:rsid w:val="00A61187"/>
    <w:rsid w:val="00A611F5"/>
    <w:rsid w:val="00A6121B"/>
    <w:rsid w:val="00A61316"/>
    <w:rsid w:val="00A613A8"/>
    <w:rsid w:val="00A6141F"/>
    <w:rsid w:val="00A61426"/>
    <w:rsid w:val="00A61607"/>
    <w:rsid w:val="00A6171E"/>
    <w:rsid w:val="00A6179C"/>
    <w:rsid w:val="00A61804"/>
    <w:rsid w:val="00A61BA9"/>
    <w:rsid w:val="00A61C48"/>
    <w:rsid w:val="00A61CBB"/>
    <w:rsid w:val="00A61D8B"/>
    <w:rsid w:val="00A61E5D"/>
    <w:rsid w:val="00A61ED2"/>
    <w:rsid w:val="00A62014"/>
    <w:rsid w:val="00A6204F"/>
    <w:rsid w:val="00A6208A"/>
    <w:rsid w:val="00A62117"/>
    <w:rsid w:val="00A6213F"/>
    <w:rsid w:val="00A62141"/>
    <w:rsid w:val="00A62308"/>
    <w:rsid w:val="00A623D4"/>
    <w:rsid w:val="00A623FD"/>
    <w:rsid w:val="00A62403"/>
    <w:rsid w:val="00A6242A"/>
    <w:rsid w:val="00A62542"/>
    <w:rsid w:val="00A6260E"/>
    <w:rsid w:val="00A626BB"/>
    <w:rsid w:val="00A6281A"/>
    <w:rsid w:val="00A629E0"/>
    <w:rsid w:val="00A62C07"/>
    <w:rsid w:val="00A62E99"/>
    <w:rsid w:val="00A62FBC"/>
    <w:rsid w:val="00A63143"/>
    <w:rsid w:val="00A631EA"/>
    <w:rsid w:val="00A63245"/>
    <w:rsid w:val="00A632D3"/>
    <w:rsid w:val="00A6351C"/>
    <w:rsid w:val="00A63596"/>
    <w:rsid w:val="00A635BA"/>
    <w:rsid w:val="00A635DD"/>
    <w:rsid w:val="00A635E0"/>
    <w:rsid w:val="00A636A1"/>
    <w:rsid w:val="00A637C5"/>
    <w:rsid w:val="00A63954"/>
    <w:rsid w:val="00A639E0"/>
    <w:rsid w:val="00A63A21"/>
    <w:rsid w:val="00A63B0F"/>
    <w:rsid w:val="00A63B22"/>
    <w:rsid w:val="00A63B54"/>
    <w:rsid w:val="00A63DB3"/>
    <w:rsid w:val="00A63E03"/>
    <w:rsid w:val="00A63E80"/>
    <w:rsid w:val="00A63F20"/>
    <w:rsid w:val="00A63FA5"/>
    <w:rsid w:val="00A63FD8"/>
    <w:rsid w:val="00A640F3"/>
    <w:rsid w:val="00A641E0"/>
    <w:rsid w:val="00A64311"/>
    <w:rsid w:val="00A643AC"/>
    <w:rsid w:val="00A64435"/>
    <w:rsid w:val="00A64504"/>
    <w:rsid w:val="00A6462F"/>
    <w:rsid w:val="00A64658"/>
    <w:rsid w:val="00A6465C"/>
    <w:rsid w:val="00A6466A"/>
    <w:rsid w:val="00A646AD"/>
    <w:rsid w:val="00A647E0"/>
    <w:rsid w:val="00A64840"/>
    <w:rsid w:val="00A649E0"/>
    <w:rsid w:val="00A64A08"/>
    <w:rsid w:val="00A64B3A"/>
    <w:rsid w:val="00A64D39"/>
    <w:rsid w:val="00A64D75"/>
    <w:rsid w:val="00A64EF0"/>
    <w:rsid w:val="00A64F1D"/>
    <w:rsid w:val="00A65000"/>
    <w:rsid w:val="00A65112"/>
    <w:rsid w:val="00A6516B"/>
    <w:rsid w:val="00A65197"/>
    <w:rsid w:val="00A651D5"/>
    <w:rsid w:val="00A653B5"/>
    <w:rsid w:val="00A6546A"/>
    <w:rsid w:val="00A654F6"/>
    <w:rsid w:val="00A65710"/>
    <w:rsid w:val="00A65783"/>
    <w:rsid w:val="00A6579A"/>
    <w:rsid w:val="00A6579F"/>
    <w:rsid w:val="00A65937"/>
    <w:rsid w:val="00A65A25"/>
    <w:rsid w:val="00A65A39"/>
    <w:rsid w:val="00A65B12"/>
    <w:rsid w:val="00A65DB7"/>
    <w:rsid w:val="00A65ED6"/>
    <w:rsid w:val="00A65F6E"/>
    <w:rsid w:val="00A6607C"/>
    <w:rsid w:val="00A6609B"/>
    <w:rsid w:val="00A66319"/>
    <w:rsid w:val="00A6637E"/>
    <w:rsid w:val="00A663BD"/>
    <w:rsid w:val="00A663E4"/>
    <w:rsid w:val="00A6645D"/>
    <w:rsid w:val="00A66509"/>
    <w:rsid w:val="00A667BF"/>
    <w:rsid w:val="00A667F8"/>
    <w:rsid w:val="00A66848"/>
    <w:rsid w:val="00A66871"/>
    <w:rsid w:val="00A669CA"/>
    <w:rsid w:val="00A669FA"/>
    <w:rsid w:val="00A66B2B"/>
    <w:rsid w:val="00A66CA1"/>
    <w:rsid w:val="00A66D63"/>
    <w:rsid w:val="00A66D68"/>
    <w:rsid w:val="00A66DDA"/>
    <w:rsid w:val="00A67057"/>
    <w:rsid w:val="00A67108"/>
    <w:rsid w:val="00A67126"/>
    <w:rsid w:val="00A67182"/>
    <w:rsid w:val="00A6729F"/>
    <w:rsid w:val="00A672C0"/>
    <w:rsid w:val="00A6746F"/>
    <w:rsid w:val="00A674C3"/>
    <w:rsid w:val="00A676F9"/>
    <w:rsid w:val="00A6787C"/>
    <w:rsid w:val="00A678EF"/>
    <w:rsid w:val="00A679F3"/>
    <w:rsid w:val="00A67B51"/>
    <w:rsid w:val="00A67BBE"/>
    <w:rsid w:val="00A67CCC"/>
    <w:rsid w:val="00A67D1C"/>
    <w:rsid w:val="00A67D2C"/>
    <w:rsid w:val="00A67E02"/>
    <w:rsid w:val="00A67E20"/>
    <w:rsid w:val="00A67E7B"/>
    <w:rsid w:val="00A67FC2"/>
    <w:rsid w:val="00A70009"/>
    <w:rsid w:val="00A702AB"/>
    <w:rsid w:val="00A70685"/>
    <w:rsid w:val="00A70706"/>
    <w:rsid w:val="00A707B8"/>
    <w:rsid w:val="00A7084A"/>
    <w:rsid w:val="00A7085E"/>
    <w:rsid w:val="00A70875"/>
    <w:rsid w:val="00A70885"/>
    <w:rsid w:val="00A708FB"/>
    <w:rsid w:val="00A7092D"/>
    <w:rsid w:val="00A7098E"/>
    <w:rsid w:val="00A70A81"/>
    <w:rsid w:val="00A70B7F"/>
    <w:rsid w:val="00A70BBD"/>
    <w:rsid w:val="00A70C4D"/>
    <w:rsid w:val="00A70F67"/>
    <w:rsid w:val="00A7104D"/>
    <w:rsid w:val="00A712EA"/>
    <w:rsid w:val="00A7130A"/>
    <w:rsid w:val="00A71351"/>
    <w:rsid w:val="00A71443"/>
    <w:rsid w:val="00A714E0"/>
    <w:rsid w:val="00A715F8"/>
    <w:rsid w:val="00A7176D"/>
    <w:rsid w:val="00A7177C"/>
    <w:rsid w:val="00A717E1"/>
    <w:rsid w:val="00A717E2"/>
    <w:rsid w:val="00A718D8"/>
    <w:rsid w:val="00A71A0D"/>
    <w:rsid w:val="00A71A6D"/>
    <w:rsid w:val="00A71BCC"/>
    <w:rsid w:val="00A71C69"/>
    <w:rsid w:val="00A71C96"/>
    <w:rsid w:val="00A71E62"/>
    <w:rsid w:val="00A71E8B"/>
    <w:rsid w:val="00A71EFD"/>
    <w:rsid w:val="00A71FC3"/>
    <w:rsid w:val="00A720C3"/>
    <w:rsid w:val="00A721C8"/>
    <w:rsid w:val="00A721ED"/>
    <w:rsid w:val="00A7230E"/>
    <w:rsid w:val="00A7236F"/>
    <w:rsid w:val="00A72586"/>
    <w:rsid w:val="00A726E5"/>
    <w:rsid w:val="00A72718"/>
    <w:rsid w:val="00A7271C"/>
    <w:rsid w:val="00A7279D"/>
    <w:rsid w:val="00A7289C"/>
    <w:rsid w:val="00A728A4"/>
    <w:rsid w:val="00A728A9"/>
    <w:rsid w:val="00A7295C"/>
    <w:rsid w:val="00A729E8"/>
    <w:rsid w:val="00A72A66"/>
    <w:rsid w:val="00A72A86"/>
    <w:rsid w:val="00A72AB4"/>
    <w:rsid w:val="00A72B20"/>
    <w:rsid w:val="00A72BC8"/>
    <w:rsid w:val="00A72C3C"/>
    <w:rsid w:val="00A72D52"/>
    <w:rsid w:val="00A72D6A"/>
    <w:rsid w:val="00A72E8D"/>
    <w:rsid w:val="00A72EBB"/>
    <w:rsid w:val="00A72F8F"/>
    <w:rsid w:val="00A730CE"/>
    <w:rsid w:val="00A730E9"/>
    <w:rsid w:val="00A7311E"/>
    <w:rsid w:val="00A7314C"/>
    <w:rsid w:val="00A7325A"/>
    <w:rsid w:val="00A73267"/>
    <w:rsid w:val="00A73268"/>
    <w:rsid w:val="00A732B9"/>
    <w:rsid w:val="00A73309"/>
    <w:rsid w:val="00A73419"/>
    <w:rsid w:val="00A734DE"/>
    <w:rsid w:val="00A73593"/>
    <w:rsid w:val="00A735CB"/>
    <w:rsid w:val="00A735F5"/>
    <w:rsid w:val="00A736F1"/>
    <w:rsid w:val="00A737C1"/>
    <w:rsid w:val="00A73833"/>
    <w:rsid w:val="00A738B6"/>
    <w:rsid w:val="00A73B92"/>
    <w:rsid w:val="00A73D30"/>
    <w:rsid w:val="00A73D46"/>
    <w:rsid w:val="00A73EB1"/>
    <w:rsid w:val="00A74069"/>
    <w:rsid w:val="00A74094"/>
    <w:rsid w:val="00A740A5"/>
    <w:rsid w:val="00A740AB"/>
    <w:rsid w:val="00A74157"/>
    <w:rsid w:val="00A741B4"/>
    <w:rsid w:val="00A741C4"/>
    <w:rsid w:val="00A741F2"/>
    <w:rsid w:val="00A742DE"/>
    <w:rsid w:val="00A74376"/>
    <w:rsid w:val="00A7450A"/>
    <w:rsid w:val="00A74632"/>
    <w:rsid w:val="00A746E6"/>
    <w:rsid w:val="00A7478B"/>
    <w:rsid w:val="00A7482A"/>
    <w:rsid w:val="00A7490A"/>
    <w:rsid w:val="00A74A14"/>
    <w:rsid w:val="00A74A77"/>
    <w:rsid w:val="00A74AF5"/>
    <w:rsid w:val="00A74B52"/>
    <w:rsid w:val="00A74B8B"/>
    <w:rsid w:val="00A74C3F"/>
    <w:rsid w:val="00A74D72"/>
    <w:rsid w:val="00A74E2F"/>
    <w:rsid w:val="00A74EDE"/>
    <w:rsid w:val="00A74F73"/>
    <w:rsid w:val="00A74FB2"/>
    <w:rsid w:val="00A7508E"/>
    <w:rsid w:val="00A75193"/>
    <w:rsid w:val="00A75237"/>
    <w:rsid w:val="00A75502"/>
    <w:rsid w:val="00A75532"/>
    <w:rsid w:val="00A756AA"/>
    <w:rsid w:val="00A75793"/>
    <w:rsid w:val="00A757EF"/>
    <w:rsid w:val="00A758B8"/>
    <w:rsid w:val="00A75941"/>
    <w:rsid w:val="00A75B41"/>
    <w:rsid w:val="00A75B4F"/>
    <w:rsid w:val="00A75DA7"/>
    <w:rsid w:val="00A75E5F"/>
    <w:rsid w:val="00A75E7B"/>
    <w:rsid w:val="00A760B1"/>
    <w:rsid w:val="00A76242"/>
    <w:rsid w:val="00A764C8"/>
    <w:rsid w:val="00A764F0"/>
    <w:rsid w:val="00A76567"/>
    <w:rsid w:val="00A76659"/>
    <w:rsid w:val="00A766FE"/>
    <w:rsid w:val="00A76C32"/>
    <w:rsid w:val="00A76CC4"/>
    <w:rsid w:val="00A76D13"/>
    <w:rsid w:val="00A76ED3"/>
    <w:rsid w:val="00A76F0E"/>
    <w:rsid w:val="00A770C3"/>
    <w:rsid w:val="00A77108"/>
    <w:rsid w:val="00A77132"/>
    <w:rsid w:val="00A7725D"/>
    <w:rsid w:val="00A77274"/>
    <w:rsid w:val="00A7729A"/>
    <w:rsid w:val="00A77356"/>
    <w:rsid w:val="00A7743F"/>
    <w:rsid w:val="00A7750C"/>
    <w:rsid w:val="00A775B7"/>
    <w:rsid w:val="00A776E4"/>
    <w:rsid w:val="00A77890"/>
    <w:rsid w:val="00A7790A"/>
    <w:rsid w:val="00A7791F"/>
    <w:rsid w:val="00A77959"/>
    <w:rsid w:val="00A779CD"/>
    <w:rsid w:val="00A779D4"/>
    <w:rsid w:val="00A77B8D"/>
    <w:rsid w:val="00A77CBB"/>
    <w:rsid w:val="00A77E29"/>
    <w:rsid w:val="00A77E43"/>
    <w:rsid w:val="00A77EEB"/>
    <w:rsid w:val="00A77F30"/>
    <w:rsid w:val="00A80229"/>
    <w:rsid w:val="00A8052F"/>
    <w:rsid w:val="00A8059A"/>
    <w:rsid w:val="00A805C6"/>
    <w:rsid w:val="00A80744"/>
    <w:rsid w:val="00A80BCC"/>
    <w:rsid w:val="00A80D69"/>
    <w:rsid w:val="00A80F30"/>
    <w:rsid w:val="00A81118"/>
    <w:rsid w:val="00A8117B"/>
    <w:rsid w:val="00A81181"/>
    <w:rsid w:val="00A81211"/>
    <w:rsid w:val="00A812FC"/>
    <w:rsid w:val="00A8135B"/>
    <w:rsid w:val="00A8138F"/>
    <w:rsid w:val="00A81824"/>
    <w:rsid w:val="00A818F3"/>
    <w:rsid w:val="00A81A04"/>
    <w:rsid w:val="00A81C22"/>
    <w:rsid w:val="00A81E44"/>
    <w:rsid w:val="00A81E55"/>
    <w:rsid w:val="00A81E89"/>
    <w:rsid w:val="00A81FEB"/>
    <w:rsid w:val="00A82036"/>
    <w:rsid w:val="00A8205D"/>
    <w:rsid w:val="00A820B5"/>
    <w:rsid w:val="00A8234F"/>
    <w:rsid w:val="00A82458"/>
    <w:rsid w:val="00A8261D"/>
    <w:rsid w:val="00A826B7"/>
    <w:rsid w:val="00A827DA"/>
    <w:rsid w:val="00A827E8"/>
    <w:rsid w:val="00A828CC"/>
    <w:rsid w:val="00A8297A"/>
    <w:rsid w:val="00A82A1B"/>
    <w:rsid w:val="00A82C53"/>
    <w:rsid w:val="00A82C71"/>
    <w:rsid w:val="00A82D52"/>
    <w:rsid w:val="00A82D5B"/>
    <w:rsid w:val="00A82E11"/>
    <w:rsid w:val="00A82E6A"/>
    <w:rsid w:val="00A82E86"/>
    <w:rsid w:val="00A82E9D"/>
    <w:rsid w:val="00A82F09"/>
    <w:rsid w:val="00A83025"/>
    <w:rsid w:val="00A83116"/>
    <w:rsid w:val="00A83157"/>
    <w:rsid w:val="00A832D1"/>
    <w:rsid w:val="00A83518"/>
    <w:rsid w:val="00A83527"/>
    <w:rsid w:val="00A8360B"/>
    <w:rsid w:val="00A83685"/>
    <w:rsid w:val="00A837E6"/>
    <w:rsid w:val="00A838EC"/>
    <w:rsid w:val="00A839F3"/>
    <w:rsid w:val="00A83A27"/>
    <w:rsid w:val="00A83BB8"/>
    <w:rsid w:val="00A83D32"/>
    <w:rsid w:val="00A83DBE"/>
    <w:rsid w:val="00A83E84"/>
    <w:rsid w:val="00A83EEF"/>
    <w:rsid w:val="00A83F23"/>
    <w:rsid w:val="00A83FD5"/>
    <w:rsid w:val="00A841A4"/>
    <w:rsid w:val="00A84240"/>
    <w:rsid w:val="00A8424F"/>
    <w:rsid w:val="00A843A1"/>
    <w:rsid w:val="00A843A3"/>
    <w:rsid w:val="00A844D3"/>
    <w:rsid w:val="00A84565"/>
    <w:rsid w:val="00A845D2"/>
    <w:rsid w:val="00A847B1"/>
    <w:rsid w:val="00A849E5"/>
    <w:rsid w:val="00A84A12"/>
    <w:rsid w:val="00A84A3D"/>
    <w:rsid w:val="00A84A78"/>
    <w:rsid w:val="00A84B4F"/>
    <w:rsid w:val="00A84C40"/>
    <w:rsid w:val="00A84C4F"/>
    <w:rsid w:val="00A84D49"/>
    <w:rsid w:val="00A84DD8"/>
    <w:rsid w:val="00A84F32"/>
    <w:rsid w:val="00A8505F"/>
    <w:rsid w:val="00A85177"/>
    <w:rsid w:val="00A85213"/>
    <w:rsid w:val="00A85379"/>
    <w:rsid w:val="00A8543E"/>
    <w:rsid w:val="00A854ED"/>
    <w:rsid w:val="00A8551D"/>
    <w:rsid w:val="00A855D6"/>
    <w:rsid w:val="00A855DA"/>
    <w:rsid w:val="00A85774"/>
    <w:rsid w:val="00A85827"/>
    <w:rsid w:val="00A85843"/>
    <w:rsid w:val="00A8586A"/>
    <w:rsid w:val="00A8595D"/>
    <w:rsid w:val="00A8597E"/>
    <w:rsid w:val="00A859BA"/>
    <w:rsid w:val="00A859EF"/>
    <w:rsid w:val="00A85A48"/>
    <w:rsid w:val="00A85A53"/>
    <w:rsid w:val="00A85AFE"/>
    <w:rsid w:val="00A85B95"/>
    <w:rsid w:val="00A85BEA"/>
    <w:rsid w:val="00A85C66"/>
    <w:rsid w:val="00A85CC2"/>
    <w:rsid w:val="00A85F80"/>
    <w:rsid w:val="00A85FDA"/>
    <w:rsid w:val="00A86294"/>
    <w:rsid w:val="00A8630B"/>
    <w:rsid w:val="00A8632A"/>
    <w:rsid w:val="00A8640A"/>
    <w:rsid w:val="00A8642E"/>
    <w:rsid w:val="00A8644F"/>
    <w:rsid w:val="00A865AF"/>
    <w:rsid w:val="00A867EF"/>
    <w:rsid w:val="00A867FF"/>
    <w:rsid w:val="00A86911"/>
    <w:rsid w:val="00A86ABB"/>
    <w:rsid w:val="00A86B6E"/>
    <w:rsid w:val="00A86BE8"/>
    <w:rsid w:val="00A86D1B"/>
    <w:rsid w:val="00A86D54"/>
    <w:rsid w:val="00A86E69"/>
    <w:rsid w:val="00A8737F"/>
    <w:rsid w:val="00A87574"/>
    <w:rsid w:val="00A877B4"/>
    <w:rsid w:val="00A877CC"/>
    <w:rsid w:val="00A87862"/>
    <w:rsid w:val="00A8788E"/>
    <w:rsid w:val="00A87965"/>
    <w:rsid w:val="00A87ACC"/>
    <w:rsid w:val="00A87AE0"/>
    <w:rsid w:val="00A87F28"/>
    <w:rsid w:val="00A90049"/>
    <w:rsid w:val="00A901AE"/>
    <w:rsid w:val="00A901D2"/>
    <w:rsid w:val="00A9022B"/>
    <w:rsid w:val="00A90251"/>
    <w:rsid w:val="00A9051B"/>
    <w:rsid w:val="00A90628"/>
    <w:rsid w:val="00A906E8"/>
    <w:rsid w:val="00A9075F"/>
    <w:rsid w:val="00A907AD"/>
    <w:rsid w:val="00A90B50"/>
    <w:rsid w:val="00A90BDE"/>
    <w:rsid w:val="00A90C41"/>
    <w:rsid w:val="00A90D51"/>
    <w:rsid w:val="00A90E46"/>
    <w:rsid w:val="00A90E54"/>
    <w:rsid w:val="00A9107F"/>
    <w:rsid w:val="00A91174"/>
    <w:rsid w:val="00A912A9"/>
    <w:rsid w:val="00A9132A"/>
    <w:rsid w:val="00A913F9"/>
    <w:rsid w:val="00A91445"/>
    <w:rsid w:val="00A9148E"/>
    <w:rsid w:val="00A915D4"/>
    <w:rsid w:val="00A915F0"/>
    <w:rsid w:val="00A9174D"/>
    <w:rsid w:val="00A918F1"/>
    <w:rsid w:val="00A91A0F"/>
    <w:rsid w:val="00A91B9E"/>
    <w:rsid w:val="00A91DB2"/>
    <w:rsid w:val="00A91E48"/>
    <w:rsid w:val="00A9205B"/>
    <w:rsid w:val="00A9217E"/>
    <w:rsid w:val="00A92204"/>
    <w:rsid w:val="00A92273"/>
    <w:rsid w:val="00A922F9"/>
    <w:rsid w:val="00A9246B"/>
    <w:rsid w:val="00A924E0"/>
    <w:rsid w:val="00A9257E"/>
    <w:rsid w:val="00A925EF"/>
    <w:rsid w:val="00A926AB"/>
    <w:rsid w:val="00A92DEF"/>
    <w:rsid w:val="00A92F05"/>
    <w:rsid w:val="00A930E2"/>
    <w:rsid w:val="00A930E3"/>
    <w:rsid w:val="00A930F7"/>
    <w:rsid w:val="00A93112"/>
    <w:rsid w:val="00A9317B"/>
    <w:rsid w:val="00A932DA"/>
    <w:rsid w:val="00A9330E"/>
    <w:rsid w:val="00A9355F"/>
    <w:rsid w:val="00A935A5"/>
    <w:rsid w:val="00A935F6"/>
    <w:rsid w:val="00A9391F"/>
    <w:rsid w:val="00A93A25"/>
    <w:rsid w:val="00A93A2D"/>
    <w:rsid w:val="00A93BFE"/>
    <w:rsid w:val="00A93FA1"/>
    <w:rsid w:val="00A940B2"/>
    <w:rsid w:val="00A943B8"/>
    <w:rsid w:val="00A9440F"/>
    <w:rsid w:val="00A9453E"/>
    <w:rsid w:val="00A94618"/>
    <w:rsid w:val="00A94646"/>
    <w:rsid w:val="00A9466B"/>
    <w:rsid w:val="00A9478E"/>
    <w:rsid w:val="00A94813"/>
    <w:rsid w:val="00A9484F"/>
    <w:rsid w:val="00A948D9"/>
    <w:rsid w:val="00A94955"/>
    <w:rsid w:val="00A94AF8"/>
    <w:rsid w:val="00A94B0B"/>
    <w:rsid w:val="00A94B70"/>
    <w:rsid w:val="00A94B79"/>
    <w:rsid w:val="00A94BD8"/>
    <w:rsid w:val="00A94C3F"/>
    <w:rsid w:val="00A94C51"/>
    <w:rsid w:val="00A94CB3"/>
    <w:rsid w:val="00A94D00"/>
    <w:rsid w:val="00A94D0F"/>
    <w:rsid w:val="00A94D6B"/>
    <w:rsid w:val="00A94E20"/>
    <w:rsid w:val="00A94E63"/>
    <w:rsid w:val="00A94ED8"/>
    <w:rsid w:val="00A94F17"/>
    <w:rsid w:val="00A94F9E"/>
    <w:rsid w:val="00A95134"/>
    <w:rsid w:val="00A9523D"/>
    <w:rsid w:val="00A9528A"/>
    <w:rsid w:val="00A95297"/>
    <w:rsid w:val="00A952C1"/>
    <w:rsid w:val="00A953E0"/>
    <w:rsid w:val="00A95479"/>
    <w:rsid w:val="00A95507"/>
    <w:rsid w:val="00A95721"/>
    <w:rsid w:val="00A957A4"/>
    <w:rsid w:val="00A95865"/>
    <w:rsid w:val="00A95899"/>
    <w:rsid w:val="00A958F9"/>
    <w:rsid w:val="00A9598C"/>
    <w:rsid w:val="00A95A49"/>
    <w:rsid w:val="00A95AE9"/>
    <w:rsid w:val="00A95AF0"/>
    <w:rsid w:val="00A95AFD"/>
    <w:rsid w:val="00A95BF6"/>
    <w:rsid w:val="00A95FEA"/>
    <w:rsid w:val="00A95FFC"/>
    <w:rsid w:val="00A9602E"/>
    <w:rsid w:val="00A964D3"/>
    <w:rsid w:val="00A965C5"/>
    <w:rsid w:val="00A965D4"/>
    <w:rsid w:val="00A9663E"/>
    <w:rsid w:val="00A9670A"/>
    <w:rsid w:val="00A96769"/>
    <w:rsid w:val="00A968F4"/>
    <w:rsid w:val="00A96A2C"/>
    <w:rsid w:val="00A96AFF"/>
    <w:rsid w:val="00A96BE1"/>
    <w:rsid w:val="00A96CBA"/>
    <w:rsid w:val="00A96DCE"/>
    <w:rsid w:val="00A96E1B"/>
    <w:rsid w:val="00A96E3A"/>
    <w:rsid w:val="00A96E97"/>
    <w:rsid w:val="00A970E9"/>
    <w:rsid w:val="00A9710A"/>
    <w:rsid w:val="00A97276"/>
    <w:rsid w:val="00A973CB"/>
    <w:rsid w:val="00A9740F"/>
    <w:rsid w:val="00A975D6"/>
    <w:rsid w:val="00A978A2"/>
    <w:rsid w:val="00A97964"/>
    <w:rsid w:val="00A97A22"/>
    <w:rsid w:val="00A97ABE"/>
    <w:rsid w:val="00A97BF0"/>
    <w:rsid w:val="00A97C4A"/>
    <w:rsid w:val="00A97CC6"/>
    <w:rsid w:val="00A97D76"/>
    <w:rsid w:val="00AA0028"/>
    <w:rsid w:val="00AA01E8"/>
    <w:rsid w:val="00AA0349"/>
    <w:rsid w:val="00AA0427"/>
    <w:rsid w:val="00AA0431"/>
    <w:rsid w:val="00AA046A"/>
    <w:rsid w:val="00AA0594"/>
    <w:rsid w:val="00AA0781"/>
    <w:rsid w:val="00AA08F3"/>
    <w:rsid w:val="00AA0A31"/>
    <w:rsid w:val="00AA0B37"/>
    <w:rsid w:val="00AA0BD9"/>
    <w:rsid w:val="00AA0D04"/>
    <w:rsid w:val="00AA0DA8"/>
    <w:rsid w:val="00AA0DAE"/>
    <w:rsid w:val="00AA0F21"/>
    <w:rsid w:val="00AA0F52"/>
    <w:rsid w:val="00AA0F57"/>
    <w:rsid w:val="00AA0F60"/>
    <w:rsid w:val="00AA0F63"/>
    <w:rsid w:val="00AA0F65"/>
    <w:rsid w:val="00AA0FEB"/>
    <w:rsid w:val="00AA10A0"/>
    <w:rsid w:val="00AA10F4"/>
    <w:rsid w:val="00AA110B"/>
    <w:rsid w:val="00AA110C"/>
    <w:rsid w:val="00AA129D"/>
    <w:rsid w:val="00AA12B7"/>
    <w:rsid w:val="00AA12CE"/>
    <w:rsid w:val="00AA145E"/>
    <w:rsid w:val="00AA14CA"/>
    <w:rsid w:val="00AA153B"/>
    <w:rsid w:val="00AA1692"/>
    <w:rsid w:val="00AA190F"/>
    <w:rsid w:val="00AA1914"/>
    <w:rsid w:val="00AA1A73"/>
    <w:rsid w:val="00AA1A92"/>
    <w:rsid w:val="00AA1B09"/>
    <w:rsid w:val="00AA1B0B"/>
    <w:rsid w:val="00AA1B70"/>
    <w:rsid w:val="00AA1D87"/>
    <w:rsid w:val="00AA1E93"/>
    <w:rsid w:val="00AA1E98"/>
    <w:rsid w:val="00AA1FFB"/>
    <w:rsid w:val="00AA209B"/>
    <w:rsid w:val="00AA20EF"/>
    <w:rsid w:val="00AA213A"/>
    <w:rsid w:val="00AA21A1"/>
    <w:rsid w:val="00AA21BD"/>
    <w:rsid w:val="00AA221E"/>
    <w:rsid w:val="00AA2257"/>
    <w:rsid w:val="00AA22B8"/>
    <w:rsid w:val="00AA22F0"/>
    <w:rsid w:val="00AA2390"/>
    <w:rsid w:val="00AA239C"/>
    <w:rsid w:val="00AA23E0"/>
    <w:rsid w:val="00AA26EC"/>
    <w:rsid w:val="00AA2732"/>
    <w:rsid w:val="00AA276C"/>
    <w:rsid w:val="00AA276E"/>
    <w:rsid w:val="00AA2788"/>
    <w:rsid w:val="00AA2789"/>
    <w:rsid w:val="00AA29FE"/>
    <w:rsid w:val="00AA2A76"/>
    <w:rsid w:val="00AA2A9A"/>
    <w:rsid w:val="00AA2AD0"/>
    <w:rsid w:val="00AA2B84"/>
    <w:rsid w:val="00AA2B8B"/>
    <w:rsid w:val="00AA2C32"/>
    <w:rsid w:val="00AA2DF5"/>
    <w:rsid w:val="00AA2E76"/>
    <w:rsid w:val="00AA2EF9"/>
    <w:rsid w:val="00AA2F63"/>
    <w:rsid w:val="00AA2FA4"/>
    <w:rsid w:val="00AA2FA9"/>
    <w:rsid w:val="00AA2FEA"/>
    <w:rsid w:val="00AA3099"/>
    <w:rsid w:val="00AA30D9"/>
    <w:rsid w:val="00AA3100"/>
    <w:rsid w:val="00AA31AA"/>
    <w:rsid w:val="00AA354D"/>
    <w:rsid w:val="00AA359B"/>
    <w:rsid w:val="00AA3743"/>
    <w:rsid w:val="00AA3844"/>
    <w:rsid w:val="00AA38F3"/>
    <w:rsid w:val="00AA3976"/>
    <w:rsid w:val="00AA3A24"/>
    <w:rsid w:val="00AA3A6B"/>
    <w:rsid w:val="00AA3B5A"/>
    <w:rsid w:val="00AA3BEB"/>
    <w:rsid w:val="00AA3CF6"/>
    <w:rsid w:val="00AA3D94"/>
    <w:rsid w:val="00AA3E91"/>
    <w:rsid w:val="00AA3EB2"/>
    <w:rsid w:val="00AA3ECE"/>
    <w:rsid w:val="00AA3ED9"/>
    <w:rsid w:val="00AA3EDE"/>
    <w:rsid w:val="00AA3F46"/>
    <w:rsid w:val="00AA4016"/>
    <w:rsid w:val="00AA401B"/>
    <w:rsid w:val="00AA41FE"/>
    <w:rsid w:val="00AA42A2"/>
    <w:rsid w:val="00AA42B9"/>
    <w:rsid w:val="00AA42C5"/>
    <w:rsid w:val="00AA4317"/>
    <w:rsid w:val="00AA43C6"/>
    <w:rsid w:val="00AA4497"/>
    <w:rsid w:val="00AA452B"/>
    <w:rsid w:val="00AA4544"/>
    <w:rsid w:val="00AA4573"/>
    <w:rsid w:val="00AA45E5"/>
    <w:rsid w:val="00AA4639"/>
    <w:rsid w:val="00AA4646"/>
    <w:rsid w:val="00AA475D"/>
    <w:rsid w:val="00AA4875"/>
    <w:rsid w:val="00AA49B6"/>
    <w:rsid w:val="00AA4A90"/>
    <w:rsid w:val="00AA4ED8"/>
    <w:rsid w:val="00AA4FEA"/>
    <w:rsid w:val="00AA51C7"/>
    <w:rsid w:val="00AA5295"/>
    <w:rsid w:val="00AA5302"/>
    <w:rsid w:val="00AA5315"/>
    <w:rsid w:val="00AA5419"/>
    <w:rsid w:val="00AA5539"/>
    <w:rsid w:val="00AA5688"/>
    <w:rsid w:val="00AA5699"/>
    <w:rsid w:val="00AA575E"/>
    <w:rsid w:val="00AA5827"/>
    <w:rsid w:val="00AA5A4E"/>
    <w:rsid w:val="00AA5B29"/>
    <w:rsid w:val="00AA5B82"/>
    <w:rsid w:val="00AA5C84"/>
    <w:rsid w:val="00AA5C88"/>
    <w:rsid w:val="00AA5E4E"/>
    <w:rsid w:val="00AA5EAE"/>
    <w:rsid w:val="00AA5EEE"/>
    <w:rsid w:val="00AA5F72"/>
    <w:rsid w:val="00AA5FB2"/>
    <w:rsid w:val="00AA6122"/>
    <w:rsid w:val="00AA61EC"/>
    <w:rsid w:val="00AA61EE"/>
    <w:rsid w:val="00AA6285"/>
    <w:rsid w:val="00AA62E6"/>
    <w:rsid w:val="00AA631D"/>
    <w:rsid w:val="00AA656F"/>
    <w:rsid w:val="00AA6632"/>
    <w:rsid w:val="00AA66F7"/>
    <w:rsid w:val="00AA6811"/>
    <w:rsid w:val="00AA6954"/>
    <w:rsid w:val="00AA6A7F"/>
    <w:rsid w:val="00AA6AF7"/>
    <w:rsid w:val="00AA6E32"/>
    <w:rsid w:val="00AA6F30"/>
    <w:rsid w:val="00AA6F7F"/>
    <w:rsid w:val="00AA7011"/>
    <w:rsid w:val="00AA726E"/>
    <w:rsid w:val="00AA7414"/>
    <w:rsid w:val="00AA74E1"/>
    <w:rsid w:val="00AA7511"/>
    <w:rsid w:val="00AA7547"/>
    <w:rsid w:val="00AA7631"/>
    <w:rsid w:val="00AA77CA"/>
    <w:rsid w:val="00AA78C7"/>
    <w:rsid w:val="00AA79A1"/>
    <w:rsid w:val="00AA7A86"/>
    <w:rsid w:val="00AA7B13"/>
    <w:rsid w:val="00AA7BDE"/>
    <w:rsid w:val="00AA7BDF"/>
    <w:rsid w:val="00AA7C2A"/>
    <w:rsid w:val="00AA7C64"/>
    <w:rsid w:val="00AA7C7C"/>
    <w:rsid w:val="00AA7C88"/>
    <w:rsid w:val="00AA7CD8"/>
    <w:rsid w:val="00AB01C3"/>
    <w:rsid w:val="00AB023E"/>
    <w:rsid w:val="00AB03F6"/>
    <w:rsid w:val="00AB0430"/>
    <w:rsid w:val="00AB0598"/>
    <w:rsid w:val="00AB05BB"/>
    <w:rsid w:val="00AB0625"/>
    <w:rsid w:val="00AB0650"/>
    <w:rsid w:val="00AB068E"/>
    <w:rsid w:val="00AB079B"/>
    <w:rsid w:val="00AB07DD"/>
    <w:rsid w:val="00AB0901"/>
    <w:rsid w:val="00AB0AE1"/>
    <w:rsid w:val="00AB0AE3"/>
    <w:rsid w:val="00AB0B72"/>
    <w:rsid w:val="00AB0BDB"/>
    <w:rsid w:val="00AB0BDD"/>
    <w:rsid w:val="00AB0E76"/>
    <w:rsid w:val="00AB0F14"/>
    <w:rsid w:val="00AB102F"/>
    <w:rsid w:val="00AB105E"/>
    <w:rsid w:val="00AB1091"/>
    <w:rsid w:val="00AB11A6"/>
    <w:rsid w:val="00AB1244"/>
    <w:rsid w:val="00AB12C6"/>
    <w:rsid w:val="00AB12D6"/>
    <w:rsid w:val="00AB139D"/>
    <w:rsid w:val="00AB1467"/>
    <w:rsid w:val="00AB1522"/>
    <w:rsid w:val="00AB159C"/>
    <w:rsid w:val="00AB1710"/>
    <w:rsid w:val="00AB1738"/>
    <w:rsid w:val="00AB175D"/>
    <w:rsid w:val="00AB1897"/>
    <w:rsid w:val="00AB1913"/>
    <w:rsid w:val="00AB196F"/>
    <w:rsid w:val="00AB1A5B"/>
    <w:rsid w:val="00AB1AA2"/>
    <w:rsid w:val="00AB1EAA"/>
    <w:rsid w:val="00AB2119"/>
    <w:rsid w:val="00AB21A6"/>
    <w:rsid w:val="00AB21D0"/>
    <w:rsid w:val="00AB228F"/>
    <w:rsid w:val="00AB259F"/>
    <w:rsid w:val="00AB2940"/>
    <w:rsid w:val="00AB2A1F"/>
    <w:rsid w:val="00AB2ABD"/>
    <w:rsid w:val="00AB2AD2"/>
    <w:rsid w:val="00AB2BF6"/>
    <w:rsid w:val="00AB2DC1"/>
    <w:rsid w:val="00AB2F01"/>
    <w:rsid w:val="00AB2F1F"/>
    <w:rsid w:val="00AB3280"/>
    <w:rsid w:val="00AB32E4"/>
    <w:rsid w:val="00AB3436"/>
    <w:rsid w:val="00AB36DC"/>
    <w:rsid w:val="00AB3993"/>
    <w:rsid w:val="00AB39DF"/>
    <w:rsid w:val="00AB3CB8"/>
    <w:rsid w:val="00AB3CBB"/>
    <w:rsid w:val="00AB3D4C"/>
    <w:rsid w:val="00AB3E9B"/>
    <w:rsid w:val="00AB3EB8"/>
    <w:rsid w:val="00AB4051"/>
    <w:rsid w:val="00AB4074"/>
    <w:rsid w:val="00AB41A1"/>
    <w:rsid w:val="00AB425A"/>
    <w:rsid w:val="00AB46AE"/>
    <w:rsid w:val="00AB470B"/>
    <w:rsid w:val="00AB47EC"/>
    <w:rsid w:val="00AB481C"/>
    <w:rsid w:val="00AB4846"/>
    <w:rsid w:val="00AB4849"/>
    <w:rsid w:val="00AB4886"/>
    <w:rsid w:val="00AB49EE"/>
    <w:rsid w:val="00AB4ABB"/>
    <w:rsid w:val="00AB4AD0"/>
    <w:rsid w:val="00AB4CC0"/>
    <w:rsid w:val="00AB4DDA"/>
    <w:rsid w:val="00AB4E82"/>
    <w:rsid w:val="00AB4EE2"/>
    <w:rsid w:val="00AB4F01"/>
    <w:rsid w:val="00AB4F2B"/>
    <w:rsid w:val="00AB518C"/>
    <w:rsid w:val="00AB5233"/>
    <w:rsid w:val="00AB523A"/>
    <w:rsid w:val="00AB524E"/>
    <w:rsid w:val="00AB531D"/>
    <w:rsid w:val="00AB53D3"/>
    <w:rsid w:val="00AB53FA"/>
    <w:rsid w:val="00AB54CA"/>
    <w:rsid w:val="00AB5511"/>
    <w:rsid w:val="00AB55A0"/>
    <w:rsid w:val="00AB5667"/>
    <w:rsid w:val="00AB5715"/>
    <w:rsid w:val="00AB577E"/>
    <w:rsid w:val="00AB57FF"/>
    <w:rsid w:val="00AB5ACE"/>
    <w:rsid w:val="00AB5E7D"/>
    <w:rsid w:val="00AB60F7"/>
    <w:rsid w:val="00AB6168"/>
    <w:rsid w:val="00AB641F"/>
    <w:rsid w:val="00AB6493"/>
    <w:rsid w:val="00AB64E3"/>
    <w:rsid w:val="00AB65B8"/>
    <w:rsid w:val="00AB65F6"/>
    <w:rsid w:val="00AB6610"/>
    <w:rsid w:val="00AB66A6"/>
    <w:rsid w:val="00AB6744"/>
    <w:rsid w:val="00AB6755"/>
    <w:rsid w:val="00AB688C"/>
    <w:rsid w:val="00AB6A86"/>
    <w:rsid w:val="00AB6C33"/>
    <w:rsid w:val="00AB6C6C"/>
    <w:rsid w:val="00AB6CA5"/>
    <w:rsid w:val="00AB6CAF"/>
    <w:rsid w:val="00AB6DE5"/>
    <w:rsid w:val="00AB6F81"/>
    <w:rsid w:val="00AB7189"/>
    <w:rsid w:val="00AB71E1"/>
    <w:rsid w:val="00AB7289"/>
    <w:rsid w:val="00AB72A8"/>
    <w:rsid w:val="00AB72F4"/>
    <w:rsid w:val="00AB734F"/>
    <w:rsid w:val="00AB7372"/>
    <w:rsid w:val="00AB7516"/>
    <w:rsid w:val="00AB76AF"/>
    <w:rsid w:val="00AB774D"/>
    <w:rsid w:val="00AB7928"/>
    <w:rsid w:val="00AB79B4"/>
    <w:rsid w:val="00AB7A5D"/>
    <w:rsid w:val="00AB7C93"/>
    <w:rsid w:val="00AB7D70"/>
    <w:rsid w:val="00AB7F49"/>
    <w:rsid w:val="00AB7F8E"/>
    <w:rsid w:val="00AC0031"/>
    <w:rsid w:val="00AC00CB"/>
    <w:rsid w:val="00AC00DB"/>
    <w:rsid w:val="00AC03FD"/>
    <w:rsid w:val="00AC057C"/>
    <w:rsid w:val="00AC0597"/>
    <w:rsid w:val="00AC05A1"/>
    <w:rsid w:val="00AC060F"/>
    <w:rsid w:val="00AC081C"/>
    <w:rsid w:val="00AC0966"/>
    <w:rsid w:val="00AC0A15"/>
    <w:rsid w:val="00AC0A71"/>
    <w:rsid w:val="00AC0AAC"/>
    <w:rsid w:val="00AC0AB0"/>
    <w:rsid w:val="00AC0BFC"/>
    <w:rsid w:val="00AC0C70"/>
    <w:rsid w:val="00AC0CC4"/>
    <w:rsid w:val="00AC0E62"/>
    <w:rsid w:val="00AC0EF6"/>
    <w:rsid w:val="00AC0FCA"/>
    <w:rsid w:val="00AC11FE"/>
    <w:rsid w:val="00AC12D8"/>
    <w:rsid w:val="00AC13BB"/>
    <w:rsid w:val="00AC1570"/>
    <w:rsid w:val="00AC166F"/>
    <w:rsid w:val="00AC1723"/>
    <w:rsid w:val="00AC17C6"/>
    <w:rsid w:val="00AC180B"/>
    <w:rsid w:val="00AC181B"/>
    <w:rsid w:val="00AC1980"/>
    <w:rsid w:val="00AC1A6A"/>
    <w:rsid w:val="00AC1ADE"/>
    <w:rsid w:val="00AC1AE1"/>
    <w:rsid w:val="00AC1AF6"/>
    <w:rsid w:val="00AC1B09"/>
    <w:rsid w:val="00AC1B95"/>
    <w:rsid w:val="00AC1BC0"/>
    <w:rsid w:val="00AC1C80"/>
    <w:rsid w:val="00AC1E4C"/>
    <w:rsid w:val="00AC1E5C"/>
    <w:rsid w:val="00AC1E8C"/>
    <w:rsid w:val="00AC1FCE"/>
    <w:rsid w:val="00AC200C"/>
    <w:rsid w:val="00AC2011"/>
    <w:rsid w:val="00AC2057"/>
    <w:rsid w:val="00AC2416"/>
    <w:rsid w:val="00AC241D"/>
    <w:rsid w:val="00AC2603"/>
    <w:rsid w:val="00AC264A"/>
    <w:rsid w:val="00AC2675"/>
    <w:rsid w:val="00AC270A"/>
    <w:rsid w:val="00AC2797"/>
    <w:rsid w:val="00AC295D"/>
    <w:rsid w:val="00AC2ACB"/>
    <w:rsid w:val="00AC2B41"/>
    <w:rsid w:val="00AC2D8C"/>
    <w:rsid w:val="00AC2D9D"/>
    <w:rsid w:val="00AC2DCB"/>
    <w:rsid w:val="00AC2EAD"/>
    <w:rsid w:val="00AC2F41"/>
    <w:rsid w:val="00AC2FCF"/>
    <w:rsid w:val="00AC3320"/>
    <w:rsid w:val="00AC3358"/>
    <w:rsid w:val="00AC335F"/>
    <w:rsid w:val="00AC337B"/>
    <w:rsid w:val="00AC3454"/>
    <w:rsid w:val="00AC3606"/>
    <w:rsid w:val="00AC3636"/>
    <w:rsid w:val="00AC3650"/>
    <w:rsid w:val="00AC374C"/>
    <w:rsid w:val="00AC3922"/>
    <w:rsid w:val="00AC3A60"/>
    <w:rsid w:val="00AC3E1D"/>
    <w:rsid w:val="00AC3E41"/>
    <w:rsid w:val="00AC3EFA"/>
    <w:rsid w:val="00AC3F27"/>
    <w:rsid w:val="00AC3F33"/>
    <w:rsid w:val="00AC4016"/>
    <w:rsid w:val="00AC401A"/>
    <w:rsid w:val="00AC4066"/>
    <w:rsid w:val="00AC417B"/>
    <w:rsid w:val="00AC4407"/>
    <w:rsid w:val="00AC44BE"/>
    <w:rsid w:val="00AC459C"/>
    <w:rsid w:val="00AC4605"/>
    <w:rsid w:val="00AC4617"/>
    <w:rsid w:val="00AC464C"/>
    <w:rsid w:val="00AC47E7"/>
    <w:rsid w:val="00AC47FC"/>
    <w:rsid w:val="00AC49DD"/>
    <w:rsid w:val="00AC4A0A"/>
    <w:rsid w:val="00AC4B5B"/>
    <w:rsid w:val="00AC4D5C"/>
    <w:rsid w:val="00AC4D7D"/>
    <w:rsid w:val="00AC4DD8"/>
    <w:rsid w:val="00AC4E33"/>
    <w:rsid w:val="00AC4EA4"/>
    <w:rsid w:val="00AC4FBE"/>
    <w:rsid w:val="00AC511A"/>
    <w:rsid w:val="00AC519A"/>
    <w:rsid w:val="00AC519E"/>
    <w:rsid w:val="00AC52FD"/>
    <w:rsid w:val="00AC5361"/>
    <w:rsid w:val="00AC5451"/>
    <w:rsid w:val="00AC548B"/>
    <w:rsid w:val="00AC54AA"/>
    <w:rsid w:val="00AC55EB"/>
    <w:rsid w:val="00AC55F1"/>
    <w:rsid w:val="00AC5703"/>
    <w:rsid w:val="00AC581B"/>
    <w:rsid w:val="00AC58A4"/>
    <w:rsid w:val="00AC595E"/>
    <w:rsid w:val="00AC598B"/>
    <w:rsid w:val="00AC5C73"/>
    <w:rsid w:val="00AC5C81"/>
    <w:rsid w:val="00AC5C9F"/>
    <w:rsid w:val="00AC5D86"/>
    <w:rsid w:val="00AC5EF0"/>
    <w:rsid w:val="00AC5F12"/>
    <w:rsid w:val="00AC6067"/>
    <w:rsid w:val="00AC6071"/>
    <w:rsid w:val="00AC6073"/>
    <w:rsid w:val="00AC60AC"/>
    <w:rsid w:val="00AC63A2"/>
    <w:rsid w:val="00AC643C"/>
    <w:rsid w:val="00AC647D"/>
    <w:rsid w:val="00AC6515"/>
    <w:rsid w:val="00AC65D1"/>
    <w:rsid w:val="00AC671B"/>
    <w:rsid w:val="00AC6764"/>
    <w:rsid w:val="00AC6806"/>
    <w:rsid w:val="00AC6917"/>
    <w:rsid w:val="00AC697C"/>
    <w:rsid w:val="00AC6985"/>
    <w:rsid w:val="00AC6A48"/>
    <w:rsid w:val="00AC6F01"/>
    <w:rsid w:val="00AC70D9"/>
    <w:rsid w:val="00AC7161"/>
    <w:rsid w:val="00AC7182"/>
    <w:rsid w:val="00AC724E"/>
    <w:rsid w:val="00AC7316"/>
    <w:rsid w:val="00AC7559"/>
    <w:rsid w:val="00AC7585"/>
    <w:rsid w:val="00AC773B"/>
    <w:rsid w:val="00AC7740"/>
    <w:rsid w:val="00AC780C"/>
    <w:rsid w:val="00AC79B9"/>
    <w:rsid w:val="00AC79E3"/>
    <w:rsid w:val="00AC7A19"/>
    <w:rsid w:val="00AC7AA8"/>
    <w:rsid w:val="00AC7B01"/>
    <w:rsid w:val="00AC7B20"/>
    <w:rsid w:val="00AC7B40"/>
    <w:rsid w:val="00AC7B52"/>
    <w:rsid w:val="00AC7C15"/>
    <w:rsid w:val="00AC7E87"/>
    <w:rsid w:val="00AC7E99"/>
    <w:rsid w:val="00AC7F11"/>
    <w:rsid w:val="00AC7FF9"/>
    <w:rsid w:val="00AD0045"/>
    <w:rsid w:val="00AD0074"/>
    <w:rsid w:val="00AD0096"/>
    <w:rsid w:val="00AD00CA"/>
    <w:rsid w:val="00AD0470"/>
    <w:rsid w:val="00AD0550"/>
    <w:rsid w:val="00AD058F"/>
    <w:rsid w:val="00AD0784"/>
    <w:rsid w:val="00AD07DC"/>
    <w:rsid w:val="00AD094B"/>
    <w:rsid w:val="00AD0B0B"/>
    <w:rsid w:val="00AD0B0C"/>
    <w:rsid w:val="00AD0BF1"/>
    <w:rsid w:val="00AD0D12"/>
    <w:rsid w:val="00AD0D5F"/>
    <w:rsid w:val="00AD0DD4"/>
    <w:rsid w:val="00AD0E2D"/>
    <w:rsid w:val="00AD0E3F"/>
    <w:rsid w:val="00AD0EC8"/>
    <w:rsid w:val="00AD102A"/>
    <w:rsid w:val="00AD1056"/>
    <w:rsid w:val="00AD1060"/>
    <w:rsid w:val="00AD1083"/>
    <w:rsid w:val="00AD1119"/>
    <w:rsid w:val="00AD120B"/>
    <w:rsid w:val="00AD1211"/>
    <w:rsid w:val="00AD12DB"/>
    <w:rsid w:val="00AD134E"/>
    <w:rsid w:val="00AD1439"/>
    <w:rsid w:val="00AD14A9"/>
    <w:rsid w:val="00AD14BF"/>
    <w:rsid w:val="00AD14D3"/>
    <w:rsid w:val="00AD1575"/>
    <w:rsid w:val="00AD15C6"/>
    <w:rsid w:val="00AD15FA"/>
    <w:rsid w:val="00AD1656"/>
    <w:rsid w:val="00AD165D"/>
    <w:rsid w:val="00AD174A"/>
    <w:rsid w:val="00AD1858"/>
    <w:rsid w:val="00AD1873"/>
    <w:rsid w:val="00AD19A2"/>
    <w:rsid w:val="00AD1A93"/>
    <w:rsid w:val="00AD1AD6"/>
    <w:rsid w:val="00AD1D6B"/>
    <w:rsid w:val="00AD1DFC"/>
    <w:rsid w:val="00AD1EA4"/>
    <w:rsid w:val="00AD1EF5"/>
    <w:rsid w:val="00AD1FF5"/>
    <w:rsid w:val="00AD2080"/>
    <w:rsid w:val="00AD20A0"/>
    <w:rsid w:val="00AD21C7"/>
    <w:rsid w:val="00AD21D5"/>
    <w:rsid w:val="00AD238B"/>
    <w:rsid w:val="00AD24C9"/>
    <w:rsid w:val="00AD2593"/>
    <w:rsid w:val="00AD259D"/>
    <w:rsid w:val="00AD25D6"/>
    <w:rsid w:val="00AD2720"/>
    <w:rsid w:val="00AD2905"/>
    <w:rsid w:val="00AD29E0"/>
    <w:rsid w:val="00AD2A9C"/>
    <w:rsid w:val="00AD2B23"/>
    <w:rsid w:val="00AD2CD2"/>
    <w:rsid w:val="00AD2D0B"/>
    <w:rsid w:val="00AD2D3C"/>
    <w:rsid w:val="00AD2D8A"/>
    <w:rsid w:val="00AD2D90"/>
    <w:rsid w:val="00AD2E72"/>
    <w:rsid w:val="00AD2F27"/>
    <w:rsid w:val="00AD2F29"/>
    <w:rsid w:val="00AD301E"/>
    <w:rsid w:val="00AD30A2"/>
    <w:rsid w:val="00AD34C5"/>
    <w:rsid w:val="00AD36F7"/>
    <w:rsid w:val="00AD383A"/>
    <w:rsid w:val="00AD3856"/>
    <w:rsid w:val="00AD38AD"/>
    <w:rsid w:val="00AD38D0"/>
    <w:rsid w:val="00AD394E"/>
    <w:rsid w:val="00AD398B"/>
    <w:rsid w:val="00AD3A37"/>
    <w:rsid w:val="00AD3BF6"/>
    <w:rsid w:val="00AD3CD0"/>
    <w:rsid w:val="00AD3E62"/>
    <w:rsid w:val="00AD4043"/>
    <w:rsid w:val="00AD4139"/>
    <w:rsid w:val="00AD41E6"/>
    <w:rsid w:val="00AD431D"/>
    <w:rsid w:val="00AD43A8"/>
    <w:rsid w:val="00AD43BA"/>
    <w:rsid w:val="00AD43CC"/>
    <w:rsid w:val="00AD444D"/>
    <w:rsid w:val="00AD45A4"/>
    <w:rsid w:val="00AD45C3"/>
    <w:rsid w:val="00AD4754"/>
    <w:rsid w:val="00AD488C"/>
    <w:rsid w:val="00AD49A5"/>
    <w:rsid w:val="00AD49C3"/>
    <w:rsid w:val="00AD4AF1"/>
    <w:rsid w:val="00AD4AF8"/>
    <w:rsid w:val="00AD4B81"/>
    <w:rsid w:val="00AD4C1D"/>
    <w:rsid w:val="00AD4CC2"/>
    <w:rsid w:val="00AD4E1A"/>
    <w:rsid w:val="00AD4EE3"/>
    <w:rsid w:val="00AD4FFB"/>
    <w:rsid w:val="00AD5130"/>
    <w:rsid w:val="00AD5167"/>
    <w:rsid w:val="00AD51A6"/>
    <w:rsid w:val="00AD531A"/>
    <w:rsid w:val="00AD5387"/>
    <w:rsid w:val="00AD53AD"/>
    <w:rsid w:val="00AD545A"/>
    <w:rsid w:val="00AD5514"/>
    <w:rsid w:val="00AD558D"/>
    <w:rsid w:val="00AD5757"/>
    <w:rsid w:val="00AD57F1"/>
    <w:rsid w:val="00AD5815"/>
    <w:rsid w:val="00AD5930"/>
    <w:rsid w:val="00AD5A02"/>
    <w:rsid w:val="00AD5AFD"/>
    <w:rsid w:val="00AD5D58"/>
    <w:rsid w:val="00AD5E04"/>
    <w:rsid w:val="00AD5EF0"/>
    <w:rsid w:val="00AD5F15"/>
    <w:rsid w:val="00AD60DF"/>
    <w:rsid w:val="00AD60F0"/>
    <w:rsid w:val="00AD6587"/>
    <w:rsid w:val="00AD66F7"/>
    <w:rsid w:val="00AD6A0D"/>
    <w:rsid w:val="00AD6A25"/>
    <w:rsid w:val="00AD6D04"/>
    <w:rsid w:val="00AD6D17"/>
    <w:rsid w:val="00AD6DD3"/>
    <w:rsid w:val="00AD6E63"/>
    <w:rsid w:val="00AD6F86"/>
    <w:rsid w:val="00AD6F91"/>
    <w:rsid w:val="00AD7086"/>
    <w:rsid w:val="00AD709E"/>
    <w:rsid w:val="00AD7125"/>
    <w:rsid w:val="00AD727F"/>
    <w:rsid w:val="00AD72E6"/>
    <w:rsid w:val="00AD7535"/>
    <w:rsid w:val="00AD754D"/>
    <w:rsid w:val="00AD75FE"/>
    <w:rsid w:val="00AD769C"/>
    <w:rsid w:val="00AD7726"/>
    <w:rsid w:val="00AD7969"/>
    <w:rsid w:val="00AD7A41"/>
    <w:rsid w:val="00AD7B25"/>
    <w:rsid w:val="00AD7B7F"/>
    <w:rsid w:val="00AD7B92"/>
    <w:rsid w:val="00AD7C01"/>
    <w:rsid w:val="00AD7D18"/>
    <w:rsid w:val="00AD7ECA"/>
    <w:rsid w:val="00AD7FCF"/>
    <w:rsid w:val="00AE0146"/>
    <w:rsid w:val="00AE01AC"/>
    <w:rsid w:val="00AE035F"/>
    <w:rsid w:val="00AE0410"/>
    <w:rsid w:val="00AE0489"/>
    <w:rsid w:val="00AE0698"/>
    <w:rsid w:val="00AE06FB"/>
    <w:rsid w:val="00AE080B"/>
    <w:rsid w:val="00AE08D2"/>
    <w:rsid w:val="00AE09C1"/>
    <w:rsid w:val="00AE0A37"/>
    <w:rsid w:val="00AE0C4F"/>
    <w:rsid w:val="00AE0C61"/>
    <w:rsid w:val="00AE0C68"/>
    <w:rsid w:val="00AE0E90"/>
    <w:rsid w:val="00AE0F16"/>
    <w:rsid w:val="00AE0F1E"/>
    <w:rsid w:val="00AE0FB7"/>
    <w:rsid w:val="00AE104C"/>
    <w:rsid w:val="00AE1281"/>
    <w:rsid w:val="00AE129C"/>
    <w:rsid w:val="00AE1311"/>
    <w:rsid w:val="00AE1366"/>
    <w:rsid w:val="00AE13F5"/>
    <w:rsid w:val="00AE15BA"/>
    <w:rsid w:val="00AE161A"/>
    <w:rsid w:val="00AE16EB"/>
    <w:rsid w:val="00AE178E"/>
    <w:rsid w:val="00AE17C7"/>
    <w:rsid w:val="00AE18B7"/>
    <w:rsid w:val="00AE19E3"/>
    <w:rsid w:val="00AE19E7"/>
    <w:rsid w:val="00AE1A19"/>
    <w:rsid w:val="00AE1A79"/>
    <w:rsid w:val="00AE1A9D"/>
    <w:rsid w:val="00AE1B47"/>
    <w:rsid w:val="00AE1B4A"/>
    <w:rsid w:val="00AE1DA1"/>
    <w:rsid w:val="00AE1DCB"/>
    <w:rsid w:val="00AE1E08"/>
    <w:rsid w:val="00AE1F7E"/>
    <w:rsid w:val="00AE205F"/>
    <w:rsid w:val="00AE2116"/>
    <w:rsid w:val="00AE21A6"/>
    <w:rsid w:val="00AE21AE"/>
    <w:rsid w:val="00AE227E"/>
    <w:rsid w:val="00AE22B5"/>
    <w:rsid w:val="00AE23FB"/>
    <w:rsid w:val="00AE24A6"/>
    <w:rsid w:val="00AE25E0"/>
    <w:rsid w:val="00AE296E"/>
    <w:rsid w:val="00AE2A1C"/>
    <w:rsid w:val="00AE2A70"/>
    <w:rsid w:val="00AE2A72"/>
    <w:rsid w:val="00AE2B67"/>
    <w:rsid w:val="00AE2D0E"/>
    <w:rsid w:val="00AE2D36"/>
    <w:rsid w:val="00AE2DAC"/>
    <w:rsid w:val="00AE2EB6"/>
    <w:rsid w:val="00AE2F83"/>
    <w:rsid w:val="00AE336C"/>
    <w:rsid w:val="00AE337D"/>
    <w:rsid w:val="00AE33C4"/>
    <w:rsid w:val="00AE33E7"/>
    <w:rsid w:val="00AE3659"/>
    <w:rsid w:val="00AE39C8"/>
    <w:rsid w:val="00AE3A9A"/>
    <w:rsid w:val="00AE3C0C"/>
    <w:rsid w:val="00AE3CDC"/>
    <w:rsid w:val="00AE3E49"/>
    <w:rsid w:val="00AE3E68"/>
    <w:rsid w:val="00AE4056"/>
    <w:rsid w:val="00AE40EC"/>
    <w:rsid w:val="00AE41CB"/>
    <w:rsid w:val="00AE41DD"/>
    <w:rsid w:val="00AE41ED"/>
    <w:rsid w:val="00AE4250"/>
    <w:rsid w:val="00AE446B"/>
    <w:rsid w:val="00AE44EF"/>
    <w:rsid w:val="00AE48DE"/>
    <w:rsid w:val="00AE4AB6"/>
    <w:rsid w:val="00AE4C16"/>
    <w:rsid w:val="00AE4D1B"/>
    <w:rsid w:val="00AE4E8E"/>
    <w:rsid w:val="00AE4ED1"/>
    <w:rsid w:val="00AE4F2E"/>
    <w:rsid w:val="00AE4FE6"/>
    <w:rsid w:val="00AE5053"/>
    <w:rsid w:val="00AE5165"/>
    <w:rsid w:val="00AE51B7"/>
    <w:rsid w:val="00AE5389"/>
    <w:rsid w:val="00AE548D"/>
    <w:rsid w:val="00AE5561"/>
    <w:rsid w:val="00AE5607"/>
    <w:rsid w:val="00AE56BF"/>
    <w:rsid w:val="00AE578F"/>
    <w:rsid w:val="00AE58AE"/>
    <w:rsid w:val="00AE5B42"/>
    <w:rsid w:val="00AE5DA1"/>
    <w:rsid w:val="00AE5ED3"/>
    <w:rsid w:val="00AE5F4E"/>
    <w:rsid w:val="00AE5F5A"/>
    <w:rsid w:val="00AE5FFD"/>
    <w:rsid w:val="00AE60B2"/>
    <w:rsid w:val="00AE60EB"/>
    <w:rsid w:val="00AE6140"/>
    <w:rsid w:val="00AE623B"/>
    <w:rsid w:val="00AE6250"/>
    <w:rsid w:val="00AE6429"/>
    <w:rsid w:val="00AE64D6"/>
    <w:rsid w:val="00AE64DF"/>
    <w:rsid w:val="00AE6566"/>
    <w:rsid w:val="00AE662A"/>
    <w:rsid w:val="00AE69FA"/>
    <w:rsid w:val="00AE6A85"/>
    <w:rsid w:val="00AE6ADA"/>
    <w:rsid w:val="00AE6CDF"/>
    <w:rsid w:val="00AE6CE5"/>
    <w:rsid w:val="00AE6DAC"/>
    <w:rsid w:val="00AE6E2A"/>
    <w:rsid w:val="00AE6EB3"/>
    <w:rsid w:val="00AE6FDF"/>
    <w:rsid w:val="00AE71A8"/>
    <w:rsid w:val="00AE7505"/>
    <w:rsid w:val="00AE7545"/>
    <w:rsid w:val="00AE756E"/>
    <w:rsid w:val="00AE774F"/>
    <w:rsid w:val="00AE775E"/>
    <w:rsid w:val="00AE77EA"/>
    <w:rsid w:val="00AE7814"/>
    <w:rsid w:val="00AE7A16"/>
    <w:rsid w:val="00AE7B66"/>
    <w:rsid w:val="00AE7C27"/>
    <w:rsid w:val="00AE7D73"/>
    <w:rsid w:val="00AE7D87"/>
    <w:rsid w:val="00AE7DD5"/>
    <w:rsid w:val="00AE7EAD"/>
    <w:rsid w:val="00AF0018"/>
    <w:rsid w:val="00AF011E"/>
    <w:rsid w:val="00AF01C8"/>
    <w:rsid w:val="00AF0325"/>
    <w:rsid w:val="00AF0357"/>
    <w:rsid w:val="00AF03E9"/>
    <w:rsid w:val="00AF040C"/>
    <w:rsid w:val="00AF043B"/>
    <w:rsid w:val="00AF04D6"/>
    <w:rsid w:val="00AF0500"/>
    <w:rsid w:val="00AF0536"/>
    <w:rsid w:val="00AF05F0"/>
    <w:rsid w:val="00AF06EE"/>
    <w:rsid w:val="00AF0767"/>
    <w:rsid w:val="00AF0851"/>
    <w:rsid w:val="00AF08A7"/>
    <w:rsid w:val="00AF0AE6"/>
    <w:rsid w:val="00AF0BB8"/>
    <w:rsid w:val="00AF0BC9"/>
    <w:rsid w:val="00AF0D02"/>
    <w:rsid w:val="00AF0D74"/>
    <w:rsid w:val="00AF0E48"/>
    <w:rsid w:val="00AF0F3E"/>
    <w:rsid w:val="00AF10B4"/>
    <w:rsid w:val="00AF111C"/>
    <w:rsid w:val="00AF11ED"/>
    <w:rsid w:val="00AF1229"/>
    <w:rsid w:val="00AF146C"/>
    <w:rsid w:val="00AF16AA"/>
    <w:rsid w:val="00AF16BD"/>
    <w:rsid w:val="00AF17D8"/>
    <w:rsid w:val="00AF195E"/>
    <w:rsid w:val="00AF1A1E"/>
    <w:rsid w:val="00AF1A7B"/>
    <w:rsid w:val="00AF1B5D"/>
    <w:rsid w:val="00AF1C58"/>
    <w:rsid w:val="00AF1CBB"/>
    <w:rsid w:val="00AF1D29"/>
    <w:rsid w:val="00AF1E5C"/>
    <w:rsid w:val="00AF1F14"/>
    <w:rsid w:val="00AF1FA4"/>
    <w:rsid w:val="00AF2088"/>
    <w:rsid w:val="00AF2237"/>
    <w:rsid w:val="00AF2389"/>
    <w:rsid w:val="00AF2390"/>
    <w:rsid w:val="00AF23DF"/>
    <w:rsid w:val="00AF24A6"/>
    <w:rsid w:val="00AF256B"/>
    <w:rsid w:val="00AF2629"/>
    <w:rsid w:val="00AF2771"/>
    <w:rsid w:val="00AF281E"/>
    <w:rsid w:val="00AF284F"/>
    <w:rsid w:val="00AF2A3F"/>
    <w:rsid w:val="00AF2AF6"/>
    <w:rsid w:val="00AF2E15"/>
    <w:rsid w:val="00AF2F38"/>
    <w:rsid w:val="00AF2F7D"/>
    <w:rsid w:val="00AF3058"/>
    <w:rsid w:val="00AF3237"/>
    <w:rsid w:val="00AF3241"/>
    <w:rsid w:val="00AF32C1"/>
    <w:rsid w:val="00AF35CC"/>
    <w:rsid w:val="00AF35D2"/>
    <w:rsid w:val="00AF3648"/>
    <w:rsid w:val="00AF36C4"/>
    <w:rsid w:val="00AF3703"/>
    <w:rsid w:val="00AF397C"/>
    <w:rsid w:val="00AF3A33"/>
    <w:rsid w:val="00AF3CDB"/>
    <w:rsid w:val="00AF3F26"/>
    <w:rsid w:val="00AF4399"/>
    <w:rsid w:val="00AF4452"/>
    <w:rsid w:val="00AF448D"/>
    <w:rsid w:val="00AF4553"/>
    <w:rsid w:val="00AF4627"/>
    <w:rsid w:val="00AF466B"/>
    <w:rsid w:val="00AF4753"/>
    <w:rsid w:val="00AF484A"/>
    <w:rsid w:val="00AF4855"/>
    <w:rsid w:val="00AF49F8"/>
    <w:rsid w:val="00AF4C51"/>
    <w:rsid w:val="00AF4CD3"/>
    <w:rsid w:val="00AF4D8E"/>
    <w:rsid w:val="00AF4DFA"/>
    <w:rsid w:val="00AF5107"/>
    <w:rsid w:val="00AF517F"/>
    <w:rsid w:val="00AF51FC"/>
    <w:rsid w:val="00AF5277"/>
    <w:rsid w:val="00AF542D"/>
    <w:rsid w:val="00AF54FF"/>
    <w:rsid w:val="00AF5502"/>
    <w:rsid w:val="00AF552A"/>
    <w:rsid w:val="00AF552E"/>
    <w:rsid w:val="00AF5575"/>
    <w:rsid w:val="00AF559C"/>
    <w:rsid w:val="00AF55A8"/>
    <w:rsid w:val="00AF55B4"/>
    <w:rsid w:val="00AF576D"/>
    <w:rsid w:val="00AF57A6"/>
    <w:rsid w:val="00AF5B57"/>
    <w:rsid w:val="00AF5B7B"/>
    <w:rsid w:val="00AF5C75"/>
    <w:rsid w:val="00AF5CD8"/>
    <w:rsid w:val="00AF5F12"/>
    <w:rsid w:val="00AF609A"/>
    <w:rsid w:val="00AF6119"/>
    <w:rsid w:val="00AF6122"/>
    <w:rsid w:val="00AF630A"/>
    <w:rsid w:val="00AF6477"/>
    <w:rsid w:val="00AF64AA"/>
    <w:rsid w:val="00AF6581"/>
    <w:rsid w:val="00AF65AD"/>
    <w:rsid w:val="00AF6633"/>
    <w:rsid w:val="00AF67C7"/>
    <w:rsid w:val="00AF694E"/>
    <w:rsid w:val="00AF6967"/>
    <w:rsid w:val="00AF69CF"/>
    <w:rsid w:val="00AF6A16"/>
    <w:rsid w:val="00AF6A50"/>
    <w:rsid w:val="00AF6B0D"/>
    <w:rsid w:val="00AF6B57"/>
    <w:rsid w:val="00AF6C38"/>
    <w:rsid w:val="00AF7114"/>
    <w:rsid w:val="00AF71B6"/>
    <w:rsid w:val="00AF71FE"/>
    <w:rsid w:val="00AF7381"/>
    <w:rsid w:val="00AF747A"/>
    <w:rsid w:val="00AF75EB"/>
    <w:rsid w:val="00AF7676"/>
    <w:rsid w:val="00AF79A5"/>
    <w:rsid w:val="00AF7B1B"/>
    <w:rsid w:val="00AF7CF5"/>
    <w:rsid w:val="00AF7D7D"/>
    <w:rsid w:val="00AF7DB5"/>
    <w:rsid w:val="00AF7DDF"/>
    <w:rsid w:val="00AF7E62"/>
    <w:rsid w:val="00AF7EFF"/>
    <w:rsid w:val="00B00059"/>
    <w:rsid w:val="00B000CB"/>
    <w:rsid w:val="00B0012C"/>
    <w:rsid w:val="00B001C0"/>
    <w:rsid w:val="00B00290"/>
    <w:rsid w:val="00B0056C"/>
    <w:rsid w:val="00B00578"/>
    <w:rsid w:val="00B00594"/>
    <w:rsid w:val="00B007A9"/>
    <w:rsid w:val="00B009EF"/>
    <w:rsid w:val="00B00A28"/>
    <w:rsid w:val="00B00AD4"/>
    <w:rsid w:val="00B00C1A"/>
    <w:rsid w:val="00B00CA8"/>
    <w:rsid w:val="00B00D79"/>
    <w:rsid w:val="00B00DCF"/>
    <w:rsid w:val="00B00E87"/>
    <w:rsid w:val="00B00F8C"/>
    <w:rsid w:val="00B00FA2"/>
    <w:rsid w:val="00B00FB0"/>
    <w:rsid w:val="00B01100"/>
    <w:rsid w:val="00B0114A"/>
    <w:rsid w:val="00B0114E"/>
    <w:rsid w:val="00B011D1"/>
    <w:rsid w:val="00B01466"/>
    <w:rsid w:val="00B0146C"/>
    <w:rsid w:val="00B01480"/>
    <w:rsid w:val="00B0151B"/>
    <w:rsid w:val="00B01544"/>
    <w:rsid w:val="00B015CF"/>
    <w:rsid w:val="00B01620"/>
    <w:rsid w:val="00B01650"/>
    <w:rsid w:val="00B016D1"/>
    <w:rsid w:val="00B016DF"/>
    <w:rsid w:val="00B017A4"/>
    <w:rsid w:val="00B0181E"/>
    <w:rsid w:val="00B01983"/>
    <w:rsid w:val="00B01B25"/>
    <w:rsid w:val="00B01C1D"/>
    <w:rsid w:val="00B01D36"/>
    <w:rsid w:val="00B01D95"/>
    <w:rsid w:val="00B01EF7"/>
    <w:rsid w:val="00B01F24"/>
    <w:rsid w:val="00B01F43"/>
    <w:rsid w:val="00B02135"/>
    <w:rsid w:val="00B0218A"/>
    <w:rsid w:val="00B0226D"/>
    <w:rsid w:val="00B02326"/>
    <w:rsid w:val="00B023B2"/>
    <w:rsid w:val="00B02443"/>
    <w:rsid w:val="00B024D2"/>
    <w:rsid w:val="00B02605"/>
    <w:rsid w:val="00B026FA"/>
    <w:rsid w:val="00B0272B"/>
    <w:rsid w:val="00B0273C"/>
    <w:rsid w:val="00B0280B"/>
    <w:rsid w:val="00B028C0"/>
    <w:rsid w:val="00B028CD"/>
    <w:rsid w:val="00B02A1F"/>
    <w:rsid w:val="00B02B30"/>
    <w:rsid w:val="00B02E44"/>
    <w:rsid w:val="00B02F39"/>
    <w:rsid w:val="00B02F87"/>
    <w:rsid w:val="00B02FF2"/>
    <w:rsid w:val="00B030BC"/>
    <w:rsid w:val="00B03156"/>
    <w:rsid w:val="00B0317E"/>
    <w:rsid w:val="00B0322D"/>
    <w:rsid w:val="00B033EC"/>
    <w:rsid w:val="00B034B0"/>
    <w:rsid w:val="00B03883"/>
    <w:rsid w:val="00B03984"/>
    <w:rsid w:val="00B039B2"/>
    <w:rsid w:val="00B03A79"/>
    <w:rsid w:val="00B03B7D"/>
    <w:rsid w:val="00B03C5F"/>
    <w:rsid w:val="00B03C6C"/>
    <w:rsid w:val="00B03C87"/>
    <w:rsid w:val="00B03D46"/>
    <w:rsid w:val="00B03E03"/>
    <w:rsid w:val="00B03FBE"/>
    <w:rsid w:val="00B04245"/>
    <w:rsid w:val="00B04266"/>
    <w:rsid w:val="00B042DF"/>
    <w:rsid w:val="00B043AC"/>
    <w:rsid w:val="00B043BB"/>
    <w:rsid w:val="00B043F0"/>
    <w:rsid w:val="00B04558"/>
    <w:rsid w:val="00B047C2"/>
    <w:rsid w:val="00B0487C"/>
    <w:rsid w:val="00B04900"/>
    <w:rsid w:val="00B04A5B"/>
    <w:rsid w:val="00B04B57"/>
    <w:rsid w:val="00B04C7B"/>
    <w:rsid w:val="00B04D2D"/>
    <w:rsid w:val="00B04EB5"/>
    <w:rsid w:val="00B04EBA"/>
    <w:rsid w:val="00B04EBD"/>
    <w:rsid w:val="00B04F1D"/>
    <w:rsid w:val="00B04F5E"/>
    <w:rsid w:val="00B05035"/>
    <w:rsid w:val="00B052B2"/>
    <w:rsid w:val="00B05315"/>
    <w:rsid w:val="00B053FD"/>
    <w:rsid w:val="00B05460"/>
    <w:rsid w:val="00B05513"/>
    <w:rsid w:val="00B05539"/>
    <w:rsid w:val="00B05774"/>
    <w:rsid w:val="00B05830"/>
    <w:rsid w:val="00B05863"/>
    <w:rsid w:val="00B059A9"/>
    <w:rsid w:val="00B05E20"/>
    <w:rsid w:val="00B05E88"/>
    <w:rsid w:val="00B05F26"/>
    <w:rsid w:val="00B05FD8"/>
    <w:rsid w:val="00B06189"/>
    <w:rsid w:val="00B0618A"/>
    <w:rsid w:val="00B062F7"/>
    <w:rsid w:val="00B0630F"/>
    <w:rsid w:val="00B06365"/>
    <w:rsid w:val="00B064A4"/>
    <w:rsid w:val="00B064A6"/>
    <w:rsid w:val="00B064FB"/>
    <w:rsid w:val="00B066A0"/>
    <w:rsid w:val="00B066EB"/>
    <w:rsid w:val="00B06720"/>
    <w:rsid w:val="00B0678C"/>
    <w:rsid w:val="00B068DF"/>
    <w:rsid w:val="00B06ACC"/>
    <w:rsid w:val="00B06B13"/>
    <w:rsid w:val="00B06C0B"/>
    <w:rsid w:val="00B06C0D"/>
    <w:rsid w:val="00B06F20"/>
    <w:rsid w:val="00B07019"/>
    <w:rsid w:val="00B0706A"/>
    <w:rsid w:val="00B070D6"/>
    <w:rsid w:val="00B070F5"/>
    <w:rsid w:val="00B072AB"/>
    <w:rsid w:val="00B074DD"/>
    <w:rsid w:val="00B0753B"/>
    <w:rsid w:val="00B076E8"/>
    <w:rsid w:val="00B07703"/>
    <w:rsid w:val="00B07779"/>
    <w:rsid w:val="00B07837"/>
    <w:rsid w:val="00B0786C"/>
    <w:rsid w:val="00B078B7"/>
    <w:rsid w:val="00B07927"/>
    <w:rsid w:val="00B0797D"/>
    <w:rsid w:val="00B07A74"/>
    <w:rsid w:val="00B07B77"/>
    <w:rsid w:val="00B07BBB"/>
    <w:rsid w:val="00B07C9A"/>
    <w:rsid w:val="00B07CCD"/>
    <w:rsid w:val="00B07CE5"/>
    <w:rsid w:val="00B07DE8"/>
    <w:rsid w:val="00B07F51"/>
    <w:rsid w:val="00B07FAD"/>
    <w:rsid w:val="00B10052"/>
    <w:rsid w:val="00B101BD"/>
    <w:rsid w:val="00B10261"/>
    <w:rsid w:val="00B10396"/>
    <w:rsid w:val="00B103D2"/>
    <w:rsid w:val="00B104F9"/>
    <w:rsid w:val="00B1072C"/>
    <w:rsid w:val="00B10940"/>
    <w:rsid w:val="00B10A72"/>
    <w:rsid w:val="00B10AB6"/>
    <w:rsid w:val="00B10B56"/>
    <w:rsid w:val="00B10B76"/>
    <w:rsid w:val="00B10CC7"/>
    <w:rsid w:val="00B10CED"/>
    <w:rsid w:val="00B10D57"/>
    <w:rsid w:val="00B10DFB"/>
    <w:rsid w:val="00B10E94"/>
    <w:rsid w:val="00B10F1A"/>
    <w:rsid w:val="00B10F43"/>
    <w:rsid w:val="00B11140"/>
    <w:rsid w:val="00B111C0"/>
    <w:rsid w:val="00B1131D"/>
    <w:rsid w:val="00B1151F"/>
    <w:rsid w:val="00B11585"/>
    <w:rsid w:val="00B11609"/>
    <w:rsid w:val="00B116B1"/>
    <w:rsid w:val="00B116DF"/>
    <w:rsid w:val="00B11773"/>
    <w:rsid w:val="00B1178A"/>
    <w:rsid w:val="00B11887"/>
    <w:rsid w:val="00B1194A"/>
    <w:rsid w:val="00B119D5"/>
    <w:rsid w:val="00B11AF5"/>
    <w:rsid w:val="00B11B4E"/>
    <w:rsid w:val="00B11BE0"/>
    <w:rsid w:val="00B11E31"/>
    <w:rsid w:val="00B11EEC"/>
    <w:rsid w:val="00B11FBB"/>
    <w:rsid w:val="00B11FF6"/>
    <w:rsid w:val="00B12114"/>
    <w:rsid w:val="00B121D8"/>
    <w:rsid w:val="00B12401"/>
    <w:rsid w:val="00B12459"/>
    <w:rsid w:val="00B126A1"/>
    <w:rsid w:val="00B1275D"/>
    <w:rsid w:val="00B127AC"/>
    <w:rsid w:val="00B128FA"/>
    <w:rsid w:val="00B12970"/>
    <w:rsid w:val="00B12B37"/>
    <w:rsid w:val="00B12B6C"/>
    <w:rsid w:val="00B12BD4"/>
    <w:rsid w:val="00B12C12"/>
    <w:rsid w:val="00B12C51"/>
    <w:rsid w:val="00B12F17"/>
    <w:rsid w:val="00B12F1D"/>
    <w:rsid w:val="00B13161"/>
    <w:rsid w:val="00B131FA"/>
    <w:rsid w:val="00B13277"/>
    <w:rsid w:val="00B13280"/>
    <w:rsid w:val="00B13350"/>
    <w:rsid w:val="00B13516"/>
    <w:rsid w:val="00B13541"/>
    <w:rsid w:val="00B136EA"/>
    <w:rsid w:val="00B13736"/>
    <w:rsid w:val="00B13872"/>
    <w:rsid w:val="00B138D7"/>
    <w:rsid w:val="00B13968"/>
    <w:rsid w:val="00B13B51"/>
    <w:rsid w:val="00B13B68"/>
    <w:rsid w:val="00B13BC7"/>
    <w:rsid w:val="00B13BF1"/>
    <w:rsid w:val="00B13CC9"/>
    <w:rsid w:val="00B13EF7"/>
    <w:rsid w:val="00B13F85"/>
    <w:rsid w:val="00B13F86"/>
    <w:rsid w:val="00B140DE"/>
    <w:rsid w:val="00B14134"/>
    <w:rsid w:val="00B14186"/>
    <w:rsid w:val="00B141D1"/>
    <w:rsid w:val="00B143EA"/>
    <w:rsid w:val="00B145F1"/>
    <w:rsid w:val="00B146F6"/>
    <w:rsid w:val="00B14729"/>
    <w:rsid w:val="00B14939"/>
    <w:rsid w:val="00B14A29"/>
    <w:rsid w:val="00B14AF7"/>
    <w:rsid w:val="00B14B66"/>
    <w:rsid w:val="00B14C64"/>
    <w:rsid w:val="00B14DE4"/>
    <w:rsid w:val="00B14E27"/>
    <w:rsid w:val="00B14FDE"/>
    <w:rsid w:val="00B1507E"/>
    <w:rsid w:val="00B15094"/>
    <w:rsid w:val="00B15131"/>
    <w:rsid w:val="00B15189"/>
    <w:rsid w:val="00B151C3"/>
    <w:rsid w:val="00B15221"/>
    <w:rsid w:val="00B15396"/>
    <w:rsid w:val="00B15455"/>
    <w:rsid w:val="00B15745"/>
    <w:rsid w:val="00B1596A"/>
    <w:rsid w:val="00B15992"/>
    <w:rsid w:val="00B1599E"/>
    <w:rsid w:val="00B15A0E"/>
    <w:rsid w:val="00B15CAC"/>
    <w:rsid w:val="00B15DC0"/>
    <w:rsid w:val="00B15DF9"/>
    <w:rsid w:val="00B15E52"/>
    <w:rsid w:val="00B15E8D"/>
    <w:rsid w:val="00B15FED"/>
    <w:rsid w:val="00B1600B"/>
    <w:rsid w:val="00B161B4"/>
    <w:rsid w:val="00B1626B"/>
    <w:rsid w:val="00B16483"/>
    <w:rsid w:val="00B1651E"/>
    <w:rsid w:val="00B166FD"/>
    <w:rsid w:val="00B1675A"/>
    <w:rsid w:val="00B167D9"/>
    <w:rsid w:val="00B16822"/>
    <w:rsid w:val="00B16B6E"/>
    <w:rsid w:val="00B16BE0"/>
    <w:rsid w:val="00B16D7F"/>
    <w:rsid w:val="00B16E2E"/>
    <w:rsid w:val="00B16E54"/>
    <w:rsid w:val="00B16E8A"/>
    <w:rsid w:val="00B16EFA"/>
    <w:rsid w:val="00B170AC"/>
    <w:rsid w:val="00B171E6"/>
    <w:rsid w:val="00B17685"/>
    <w:rsid w:val="00B176CD"/>
    <w:rsid w:val="00B1770B"/>
    <w:rsid w:val="00B1777E"/>
    <w:rsid w:val="00B17AFD"/>
    <w:rsid w:val="00B17BBE"/>
    <w:rsid w:val="00B17C9A"/>
    <w:rsid w:val="00B17D99"/>
    <w:rsid w:val="00B17F81"/>
    <w:rsid w:val="00B200C8"/>
    <w:rsid w:val="00B201CA"/>
    <w:rsid w:val="00B20250"/>
    <w:rsid w:val="00B202A6"/>
    <w:rsid w:val="00B20380"/>
    <w:rsid w:val="00B2041B"/>
    <w:rsid w:val="00B20445"/>
    <w:rsid w:val="00B2063E"/>
    <w:rsid w:val="00B206AE"/>
    <w:rsid w:val="00B207E3"/>
    <w:rsid w:val="00B20841"/>
    <w:rsid w:val="00B20A35"/>
    <w:rsid w:val="00B20B4C"/>
    <w:rsid w:val="00B20C42"/>
    <w:rsid w:val="00B20F8A"/>
    <w:rsid w:val="00B211FB"/>
    <w:rsid w:val="00B2120D"/>
    <w:rsid w:val="00B2123E"/>
    <w:rsid w:val="00B21451"/>
    <w:rsid w:val="00B2149B"/>
    <w:rsid w:val="00B21517"/>
    <w:rsid w:val="00B215DE"/>
    <w:rsid w:val="00B215F2"/>
    <w:rsid w:val="00B21733"/>
    <w:rsid w:val="00B217B7"/>
    <w:rsid w:val="00B21813"/>
    <w:rsid w:val="00B218A8"/>
    <w:rsid w:val="00B21960"/>
    <w:rsid w:val="00B21AC1"/>
    <w:rsid w:val="00B21AE6"/>
    <w:rsid w:val="00B21AED"/>
    <w:rsid w:val="00B21BF6"/>
    <w:rsid w:val="00B21D2D"/>
    <w:rsid w:val="00B21E62"/>
    <w:rsid w:val="00B21F5C"/>
    <w:rsid w:val="00B22181"/>
    <w:rsid w:val="00B2227C"/>
    <w:rsid w:val="00B223E2"/>
    <w:rsid w:val="00B22426"/>
    <w:rsid w:val="00B224A4"/>
    <w:rsid w:val="00B2254F"/>
    <w:rsid w:val="00B225F8"/>
    <w:rsid w:val="00B22845"/>
    <w:rsid w:val="00B228AD"/>
    <w:rsid w:val="00B2295C"/>
    <w:rsid w:val="00B22AA0"/>
    <w:rsid w:val="00B22B06"/>
    <w:rsid w:val="00B22BAF"/>
    <w:rsid w:val="00B22BF7"/>
    <w:rsid w:val="00B22D46"/>
    <w:rsid w:val="00B22DD8"/>
    <w:rsid w:val="00B22E86"/>
    <w:rsid w:val="00B22FA2"/>
    <w:rsid w:val="00B231D3"/>
    <w:rsid w:val="00B23468"/>
    <w:rsid w:val="00B234E3"/>
    <w:rsid w:val="00B2360B"/>
    <w:rsid w:val="00B2367A"/>
    <w:rsid w:val="00B23680"/>
    <w:rsid w:val="00B237A3"/>
    <w:rsid w:val="00B23928"/>
    <w:rsid w:val="00B23964"/>
    <w:rsid w:val="00B239FF"/>
    <w:rsid w:val="00B23A4E"/>
    <w:rsid w:val="00B23BD3"/>
    <w:rsid w:val="00B23D60"/>
    <w:rsid w:val="00B23D69"/>
    <w:rsid w:val="00B23D92"/>
    <w:rsid w:val="00B23E65"/>
    <w:rsid w:val="00B23F07"/>
    <w:rsid w:val="00B240F5"/>
    <w:rsid w:val="00B242BA"/>
    <w:rsid w:val="00B2444A"/>
    <w:rsid w:val="00B2472C"/>
    <w:rsid w:val="00B2474E"/>
    <w:rsid w:val="00B247BE"/>
    <w:rsid w:val="00B248FE"/>
    <w:rsid w:val="00B24984"/>
    <w:rsid w:val="00B24DA0"/>
    <w:rsid w:val="00B24DA9"/>
    <w:rsid w:val="00B24DE7"/>
    <w:rsid w:val="00B25020"/>
    <w:rsid w:val="00B25145"/>
    <w:rsid w:val="00B2514A"/>
    <w:rsid w:val="00B25201"/>
    <w:rsid w:val="00B253D2"/>
    <w:rsid w:val="00B254AE"/>
    <w:rsid w:val="00B25574"/>
    <w:rsid w:val="00B256A7"/>
    <w:rsid w:val="00B256C9"/>
    <w:rsid w:val="00B25730"/>
    <w:rsid w:val="00B258B5"/>
    <w:rsid w:val="00B258D4"/>
    <w:rsid w:val="00B25A01"/>
    <w:rsid w:val="00B25A32"/>
    <w:rsid w:val="00B25A48"/>
    <w:rsid w:val="00B25B88"/>
    <w:rsid w:val="00B25B8B"/>
    <w:rsid w:val="00B25C7F"/>
    <w:rsid w:val="00B25CEE"/>
    <w:rsid w:val="00B25CF9"/>
    <w:rsid w:val="00B25D2F"/>
    <w:rsid w:val="00B25D3E"/>
    <w:rsid w:val="00B25EE9"/>
    <w:rsid w:val="00B25F18"/>
    <w:rsid w:val="00B25F66"/>
    <w:rsid w:val="00B25F94"/>
    <w:rsid w:val="00B25FC8"/>
    <w:rsid w:val="00B26023"/>
    <w:rsid w:val="00B2608E"/>
    <w:rsid w:val="00B260A2"/>
    <w:rsid w:val="00B261CF"/>
    <w:rsid w:val="00B26303"/>
    <w:rsid w:val="00B2631B"/>
    <w:rsid w:val="00B26338"/>
    <w:rsid w:val="00B2634B"/>
    <w:rsid w:val="00B264A1"/>
    <w:rsid w:val="00B26594"/>
    <w:rsid w:val="00B265CE"/>
    <w:rsid w:val="00B2668A"/>
    <w:rsid w:val="00B266C1"/>
    <w:rsid w:val="00B2673C"/>
    <w:rsid w:val="00B267CE"/>
    <w:rsid w:val="00B26853"/>
    <w:rsid w:val="00B26884"/>
    <w:rsid w:val="00B2688E"/>
    <w:rsid w:val="00B26A30"/>
    <w:rsid w:val="00B26AD6"/>
    <w:rsid w:val="00B26AE1"/>
    <w:rsid w:val="00B26C5A"/>
    <w:rsid w:val="00B26C97"/>
    <w:rsid w:val="00B26CEC"/>
    <w:rsid w:val="00B26D6E"/>
    <w:rsid w:val="00B26D94"/>
    <w:rsid w:val="00B26DDF"/>
    <w:rsid w:val="00B26DE9"/>
    <w:rsid w:val="00B26EB9"/>
    <w:rsid w:val="00B26EE9"/>
    <w:rsid w:val="00B26F57"/>
    <w:rsid w:val="00B26FAC"/>
    <w:rsid w:val="00B2702D"/>
    <w:rsid w:val="00B27090"/>
    <w:rsid w:val="00B27589"/>
    <w:rsid w:val="00B2780D"/>
    <w:rsid w:val="00B279BE"/>
    <w:rsid w:val="00B27B2D"/>
    <w:rsid w:val="00B27B89"/>
    <w:rsid w:val="00B27C17"/>
    <w:rsid w:val="00B27C2D"/>
    <w:rsid w:val="00B27C82"/>
    <w:rsid w:val="00B27D1C"/>
    <w:rsid w:val="00B27D7B"/>
    <w:rsid w:val="00B27ED9"/>
    <w:rsid w:val="00B27EDE"/>
    <w:rsid w:val="00B27F19"/>
    <w:rsid w:val="00B27F5D"/>
    <w:rsid w:val="00B27FEB"/>
    <w:rsid w:val="00B30002"/>
    <w:rsid w:val="00B3003F"/>
    <w:rsid w:val="00B30084"/>
    <w:rsid w:val="00B3028C"/>
    <w:rsid w:val="00B302A2"/>
    <w:rsid w:val="00B30491"/>
    <w:rsid w:val="00B304CE"/>
    <w:rsid w:val="00B304D5"/>
    <w:rsid w:val="00B30506"/>
    <w:rsid w:val="00B305A0"/>
    <w:rsid w:val="00B305ED"/>
    <w:rsid w:val="00B30651"/>
    <w:rsid w:val="00B306FF"/>
    <w:rsid w:val="00B3073A"/>
    <w:rsid w:val="00B308F8"/>
    <w:rsid w:val="00B30903"/>
    <w:rsid w:val="00B3091D"/>
    <w:rsid w:val="00B309B6"/>
    <w:rsid w:val="00B30A9F"/>
    <w:rsid w:val="00B30AA1"/>
    <w:rsid w:val="00B30D43"/>
    <w:rsid w:val="00B30E51"/>
    <w:rsid w:val="00B30E90"/>
    <w:rsid w:val="00B30F3B"/>
    <w:rsid w:val="00B30F8C"/>
    <w:rsid w:val="00B3112A"/>
    <w:rsid w:val="00B31132"/>
    <w:rsid w:val="00B31155"/>
    <w:rsid w:val="00B311EB"/>
    <w:rsid w:val="00B31249"/>
    <w:rsid w:val="00B31278"/>
    <w:rsid w:val="00B31361"/>
    <w:rsid w:val="00B31545"/>
    <w:rsid w:val="00B31604"/>
    <w:rsid w:val="00B3162C"/>
    <w:rsid w:val="00B3178E"/>
    <w:rsid w:val="00B31AD3"/>
    <w:rsid w:val="00B31AEC"/>
    <w:rsid w:val="00B31B1E"/>
    <w:rsid w:val="00B31BAA"/>
    <w:rsid w:val="00B31C95"/>
    <w:rsid w:val="00B31C9F"/>
    <w:rsid w:val="00B31CC3"/>
    <w:rsid w:val="00B31CF8"/>
    <w:rsid w:val="00B31DAF"/>
    <w:rsid w:val="00B31DFF"/>
    <w:rsid w:val="00B31E2E"/>
    <w:rsid w:val="00B31EAC"/>
    <w:rsid w:val="00B31FBB"/>
    <w:rsid w:val="00B31FD5"/>
    <w:rsid w:val="00B3205B"/>
    <w:rsid w:val="00B32063"/>
    <w:rsid w:val="00B320EB"/>
    <w:rsid w:val="00B32234"/>
    <w:rsid w:val="00B322D4"/>
    <w:rsid w:val="00B324F0"/>
    <w:rsid w:val="00B32729"/>
    <w:rsid w:val="00B327E8"/>
    <w:rsid w:val="00B32824"/>
    <w:rsid w:val="00B32A58"/>
    <w:rsid w:val="00B32A90"/>
    <w:rsid w:val="00B32D6D"/>
    <w:rsid w:val="00B32DAA"/>
    <w:rsid w:val="00B32E42"/>
    <w:rsid w:val="00B32F89"/>
    <w:rsid w:val="00B32FB6"/>
    <w:rsid w:val="00B33178"/>
    <w:rsid w:val="00B33195"/>
    <w:rsid w:val="00B33238"/>
    <w:rsid w:val="00B3323A"/>
    <w:rsid w:val="00B332FE"/>
    <w:rsid w:val="00B33484"/>
    <w:rsid w:val="00B334BC"/>
    <w:rsid w:val="00B3366B"/>
    <w:rsid w:val="00B33684"/>
    <w:rsid w:val="00B3374D"/>
    <w:rsid w:val="00B33951"/>
    <w:rsid w:val="00B33C51"/>
    <w:rsid w:val="00B33D20"/>
    <w:rsid w:val="00B33E7E"/>
    <w:rsid w:val="00B33E8A"/>
    <w:rsid w:val="00B33EAD"/>
    <w:rsid w:val="00B33FCF"/>
    <w:rsid w:val="00B340EB"/>
    <w:rsid w:val="00B3413D"/>
    <w:rsid w:val="00B3414F"/>
    <w:rsid w:val="00B34235"/>
    <w:rsid w:val="00B34315"/>
    <w:rsid w:val="00B3432D"/>
    <w:rsid w:val="00B34406"/>
    <w:rsid w:val="00B34536"/>
    <w:rsid w:val="00B347C7"/>
    <w:rsid w:val="00B348E6"/>
    <w:rsid w:val="00B34A9D"/>
    <w:rsid w:val="00B34AC9"/>
    <w:rsid w:val="00B34AE6"/>
    <w:rsid w:val="00B34B6F"/>
    <w:rsid w:val="00B34BE1"/>
    <w:rsid w:val="00B34EDA"/>
    <w:rsid w:val="00B34EED"/>
    <w:rsid w:val="00B34F88"/>
    <w:rsid w:val="00B34FF9"/>
    <w:rsid w:val="00B3516C"/>
    <w:rsid w:val="00B352E7"/>
    <w:rsid w:val="00B3531D"/>
    <w:rsid w:val="00B35356"/>
    <w:rsid w:val="00B35374"/>
    <w:rsid w:val="00B353FA"/>
    <w:rsid w:val="00B35476"/>
    <w:rsid w:val="00B35480"/>
    <w:rsid w:val="00B355A4"/>
    <w:rsid w:val="00B35614"/>
    <w:rsid w:val="00B3563E"/>
    <w:rsid w:val="00B356EB"/>
    <w:rsid w:val="00B35743"/>
    <w:rsid w:val="00B3579C"/>
    <w:rsid w:val="00B358C9"/>
    <w:rsid w:val="00B35B74"/>
    <w:rsid w:val="00B35BE1"/>
    <w:rsid w:val="00B35C73"/>
    <w:rsid w:val="00B35E48"/>
    <w:rsid w:val="00B35EA2"/>
    <w:rsid w:val="00B360CE"/>
    <w:rsid w:val="00B363D1"/>
    <w:rsid w:val="00B36476"/>
    <w:rsid w:val="00B365E3"/>
    <w:rsid w:val="00B366DA"/>
    <w:rsid w:val="00B3674F"/>
    <w:rsid w:val="00B367E8"/>
    <w:rsid w:val="00B36882"/>
    <w:rsid w:val="00B36958"/>
    <w:rsid w:val="00B369E3"/>
    <w:rsid w:val="00B36A7F"/>
    <w:rsid w:val="00B36D0D"/>
    <w:rsid w:val="00B36DDA"/>
    <w:rsid w:val="00B36ECA"/>
    <w:rsid w:val="00B3701F"/>
    <w:rsid w:val="00B37129"/>
    <w:rsid w:val="00B37130"/>
    <w:rsid w:val="00B3714A"/>
    <w:rsid w:val="00B37199"/>
    <w:rsid w:val="00B37257"/>
    <w:rsid w:val="00B372EE"/>
    <w:rsid w:val="00B37429"/>
    <w:rsid w:val="00B37478"/>
    <w:rsid w:val="00B37580"/>
    <w:rsid w:val="00B37718"/>
    <w:rsid w:val="00B3771C"/>
    <w:rsid w:val="00B37A1D"/>
    <w:rsid w:val="00B37A6C"/>
    <w:rsid w:val="00B37AA4"/>
    <w:rsid w:val="00B37AAA"/>
    <w:rsid w:val="00B37CA1"/>
    <w:rsid w:val="00B37D9C"/>
    <w:rsid w:val="00B37FE3"/>
    <w:rsid w:val="00B400C9"/>
    <w:rsid w:val="00B40109"/>
    <w:rsid w:val="00B40247"/>
    <w:rsid w:val="00B40368"/>
    <w:rsid w:val="00B40501"/>
    <w:rsid w:val="00B405CE"/>
    <w:rsid w:val="00B4068E"/>
    <w:rsid w:val="00B40851"/>
    <w:rsid w:val="00B40914"/>
    <w:rsid w:val="00B40A2B"/>
    <w:rsid w:val="00B40A53"/>
    <w:rsid w:val="00B40B9B"/>
    <w:rsid w:val="00B40BD5"/>
    <w:rsid w:val="00B40C0A"/>
    <w:rsid w:val="00B40C80"/>
    <w:rsid w:val="00B40D02"/>
    <w:rsid w:val="00B40ED5"/>
    <w:rsid w:val="00B4109E"/>
    <w:rsid w:val="00B41103"/>
    <w:rsid w:val="00B41371"/>
    <w:rsid w:val="00B4152F"/>
    <w:rsid w:val="00B41538"/>
    <w:rsid w:val="00B41595"/>
    <w:rsid w:val="00B415B2"/>
    <w:rsid w:val="00B41902"/>
    <w:rsid w:val="00B41A98"/>
    <w:rsid w:val="00B41D17"/>
    <w:rsid w:val="00B41EC5"/>
    <w:rsid w:val="00B41F14"/>
    <w:rsid w:val="00B41F64"/>
    <w:rsid w:val="00B4205C"/>
    <w:rsid w:val="00B420DF"/>
    <w:rsid w:val="00B420EB"/>
    <w:rsid w:val="00B420F4"/>
    <w:rsid w:val="00B42365"/>
    <w:rsid w:val="00B42536"/>
    <w:rsid w:val="00B42539"/>
    <w:rsid w:val="00B42611"/>
    <w:rsid w:val="00B4265D"/>
    <w:rsid w:val="00B42993"/>
    <w:rsid w:val="00B429D6"/>
    <w:rsid w:val="00B42A1D"/>
    <w:rsid w:val="00B42A20"/>
    <w:rsid w:val="00B42A67"/>
    <w:rsid w:val="00B42B82"/>
    <w:rsid w:val="00B42BFD"/>
    <w:rsid w:val="00B42C0A"/>
    <w:rsid w:val="00B42C37"/>
    <w:rsid w:val="00B42CA6"/>
    <w:rsid w:val="00B42CC7"/>
    <w:rsid w:val="00B42D22"/>
    <w:rsid w:val="00B42D77"/>
    <w:rsid w:val="00B42E69"/>
    <w:rsid w:val="00B42EE0"/>
    <w:rsid w:val="00B4308E"/>
    <w:rsid w:val="00B43098"/>
    <w:rsid w:val="00B430C3"/>
    <w:rsid w:val="00B430E9"/>
    <w:rsid w:val="00B4317C"/>
    <w:rsid w:val="00B431DB"/>
    <w:rsid w:val="00B4341A"/>
    <w:rsid w:val="00B43471"/>
    <w:rsid w:val="00B435DB"/>
    <w:rsid w:val="00B436F6"/>
    <w:rsid w:val="00B43712"/>
    <w:rsid w:val="00B43749"/>
    <w:rsid w:val="00B43AE1"/>
    <w:rsid w:val="00B43B44"/>
    <w:rsid w:val="00B43DA4"/>
    <w:rsid w:val="00B43DA5"/>
    <w:rsid w:val="00B43E2A"/>
    <w:rsid w:val="00B43E59"/>
    <w:rsid w:val="00B43E81"/>
    <w:rsid w:val="00B43FEE"/>
    <w:rsid w:val="00B4411C"/>
    <w:rsid w:val="00B4428B"/>
    <w:rsid w:val="00B442A5"/>
    <w:rsid w:val="00B44324"/>
    <w:rsid w:val="00B44391"/>
    <w:rsid w:val="00B44394"/>
    <w:rsid w:val="00B444D7"/>
    <w:rsid w:val="00B444EC"/>
    <w:rsid w:val="00B4451E"/>
    <w:rsid w:val="00B4462B"/>
    <w:rsid w:val="00B446BE"/>
    <w:rsid w:val="00B448C9"/>
    <w:rsid w:val="00B448E0"/>
    <w:rsid w:val="00B44936"/>
    <w:rsid w:val="00B44AE4"/>
    <w:rsid w:val="00B44D12"/>
    <w:rsid w:val="00B45019"/>
    <w:rsid w:val="00B4503C"/>
    <w:rsid w:val="00B45060"/>
    <w:rsid w:val="00B4515F"/>
    <w:rsid w:val="00B45176"/>
    <w:rsid w:val="00B451BF"/>
    <w:rsid w:val="00B4526E"/>
    <w:rsid w:val="00B454EC"/>
    <w:rsid w:val="00B45575"/>
    <w:rsid w:val="00B4567B"/>
    <w:rsid w:val="00B45B99"/>
    <w:rsid w:val="00B45C26"/>
    <w:rsid w:val="00B45C3D"/>
    <w:rsid w:val="00B45C88"/>
    <w:rsid w:val="00B45D53"/>
    <w:rsid w:val="00B45E2C"/>
    <w:rsid w:val="00B45E84"/>
    <w:rsid w:val="00B45F9D"/>
    <w:rsid w:val="00B46008"/>
    <w:rsid w:val="00B4602C"/>
    <w:rsid w:val="00B4610C"/>
    <w:rsid w:val="00B46123"/>
    <w:rsid w:val="00B461D7"/>
    <w:rsid w:val="00B46321"/>
    <w:rsid w:val="00B463F9"/>
    <w:rsid w:val="00B4653A"/>
    <w:rsid w:val="00B4655F"/>
    <w:rsid w:val="00B466D5"/>
    <w:rsid w:val="00B46921"/>
    <w:rsid w:val="00B46A06"/>
    <w:rsid w:val="00B46B49"/>
    <w:rsid w:val="00B46CE2"/>
    <w:rsid w:val="00B46D0F"/>
    <w:rsid w:val="00B46D12"/>
    <w:rsid w:val="00B46E94"/>
    <w:rsid w:val="00B470C7"/>
    <w:rsid w:val="00B47100"/>
    <w:rsid w:val="00B4716E"/>
    <w:rsid w:val="00B4730D"/>
    <w:rsid w:val="00B4734D"/>
    <w:rsid w:val="00B474C7"/>
    <w:rsid w:val="00B4760A"/>
    <w:rsid w:val="00B4778D"/>
    <w:rsid w:val="00B47791"/>
    <w:rsid w:val="00B4785E"/>
    <w:rsid w:val="00B47A4B"/>
    <w:rsid w:val="00B47B03"/>
    <w:rsid w:val="00B47B9D"/>
    <w:rsid w:val="00B47F35"/>
    <w:rsid w:val="00B47FA9"/>
    <w:rsid w:val="00B47FAD"/>
    <w:rsid w:val="00B5002B"/>
    <w:rsid w:val="00B50242"/>
    <w:rsid w:val="00B503A3"/>
    <w:rsid w:val="00B504F2"/>
    <w:rsid w:val="00B50598"/>
    <w:rsid w:val="00B5069F"/>
    <w:rsid w:val="00B508B6"/>
    <w:rsid w:val="00B508F7"/>
    <w:rsid w:val="00B5096C"/>
    <w:rsid w:val="00B50A34"/>
    <w:rsid w:val="00B50A8F"/>
    <w:rsid w:val="00B50B9C"/>
    <w:rsid w:val="00B50CD7"/>
    <w:rsid w:val="00B50D38"/>
    <w:rsid w:val="00B50E97"/>
    <w:rsid w:val="00B50EB9"/>
    <w:rsid w:val="00B5100D"/>
    <w:rsid w:val="00B5107D"/>
    <w:rsid w:val="00B510AF"/>
    <w:rsid w:val="00B51274"/>
    <w:rsid w:val="00B51340"/>
    <w:rsid w:val="00B51343"/>
    <w:rsid w:val="00B514A9"/>
    <w:rsid w:val="00B51502"/>
    <w:rsid w:val="00B51512"/>
    <w:rsid w:val="00B5164C"/>
    <w:rsid w:val="00B51663"/>
    <w:rsid w:val="00B516FC"/>
    <w:rsid w:val="00B51754"/>
    <w:rsid w:val="00B51905"/>
    <w:rsid w:val="00B51930"/>
    <w:rsid w:val="00B51965"/>
    <w:rsid w:val="00B51CF8"/>
    <w:rsid w:val="00B51D05"/>
    <w:rsid w:val="00B51D07"/>
    <w:rsid w:val="00B51E0A"/>
    <w:rsid w:val="00B51E29"/>
    <w:rsid w:val="00B51F4E"/>
    <w:rsid w:val="00B5201C"/>
    <w:rsid w:val="00B5207F"/>
    <w:rsid w:val="00B520C7"/>
    <w:rsid w:val="00B522DB"/>
    <w:rsid w:val="00B523DB"/>
    <w:rsid w:val="00B5246D"/>
    <w:rsid w:val="00B524B9"/>
    <w:rsid w:val="00B5251C"/>
    <w:rsid w:val="00B525B8"/>
    <w:rsid w:val="00B525F6"/>
    <w:rsid w:val="00B525F9"/>
    <w:rsid w:val="00B52628"/>
    <w:rsid w:val="00B52701"/>
    <w:rsid w:val="00B52824"/>
    <w:rsid w:val="00B52907"/>
    <w:rsid w:val="00B52BC5"/>
    <w:rsid w:val="00B52D47"/>
    <w:rsid w:val="00B530C1"/>
    <w:rsid w:val="00B53142"/>
    <w:rsid w:val="00B531A8"/>
    <w:rsid w:val="00B53239"/>
    <w:rsid w:val="00B5337D"/>
    <w:rsid w:val="00B533B4"/>
    <w:rsid w:val="00B533E7"/>
    <w:rsid w:val="00B53428"/>
    <w:rsid w:val="00B534CA"/>
    <w:rsid w:val="00B5368A"/>
    <w:rsid w:val="00B536F8"/>
    <w:rsid w:val="00B53770"/>
    <w:rsid w:val="00B5377D"/>
    <w:rsid w:val="00B5396C"/>
    <w:rsid w:val="00B53BFE"/>
    <w:rsid w:val="00B53C41"/>
    <w:rsid w:val="00B53E2B"/>
    <w:rsid w:val="00B53F53"/>
    <w:rsid w:val="00B53FA9"/>
    <w:rsid w:val="00B53FD1"/>
    <w:rsid w:val="00B54012"/>
    <w:rsid w:val="00B54039"/>
    <w:rsid w:val="00B54054"/>
    <w:rsid w:val="00B54323"/>
    <w:rsid w:val="00B544A4"/>
    <w:rsid w:val="00B54535"/>
    <w:rsid w:val="00B546E6"/>
    <w:rsid w:val="00B548CD"/>
    <w:rsid w:val="00B54A02"/>
    <w:rsid w:val="00B54BE7"/>
    <w:rsid w:val="00B54C3F"/>
    <w:rsid w:val="00B54DD7"/>
    <w:rsid w:val="00B550BA"/>
    <w:rsid w:val="00B551A3"/>
    <w:rsid w:val="00B5523F"/>
    <w:rsid w:val="00B552D0"/>
    <w:rsid w:val="00B5539A"/>
    <w:rsid w:val="00B55501"/>
    <w:rsid w:val="00B55513"/>
    <w:rsid w:val="00B55520"/>
    <w:rsid w:val="00B555B5"/>
    <w:rsid w:val="00B55749"/>
    <w:rsid w:val="00B557BE"/>
    <w:rsid w:val="00B5593E"/>
    <w:rsid w:val="00B55A95"/>
    <w:rsid w:val="00B55AD1"/>
    <w:rsid w:val="00B55AE5"/>
    <w:rsid w:val="00B55B5B"/>
    <w:rsid w:val="00B55B94"/>
    <w:rsid w:val="00B55C6D"/>
    <w:rsid w:val="00B55D84"/>
    <w:rsid w:val="00B55D93"/>
    <w:rsid w:val="00B55DE0"/>
    <w:rsid w:val="00B55DE1"/>
    <w:rsid w:val="00B55E25"/>
    <w:rsid w:val="00B55EB5"/>
    <w:rsid w:val="00B5607C"/>
    <w:rsid w:val="00B561D6"/>
    <w:rsid w:val="00B562F0"/>
    <w:rsid w:val="00B563E6"/>
    <w:rsid w:val="00B56410"/>
    <w:rsid w:val="00B56648"/>
    <w:rsid w:val="00B567BF"/>
    <w:rsid w:val="00B5698B"/>
    <w:rsid w:val="00B56AD8"/>
    <w:rsid w:val="00B56BF7"/>
    <w:rsid w:val="00B56C19"/>
    <w:rsid w:val="00B56DA2"/>
    <w:rsid w:val="00B56ED8"/>
    <w:rsid w:val="00B571A3"/>
    <w:rsid w:val="00B57291"/>
    <w:rsid w:val="00B572D8"/>
    <w:rsid w:val="00B5742F"/>
    <w:rsid w:val="00B57654"/>
    <w:rsid w:val="00B577A8"/>
    <w:rsid w:val="00B577F7"/>
    <w:rsid w:val="00B57994"/>
    <w:rsid w:val="00B57A04"/>
    <w:rsid w:val="00B57A94"/>
    <w:rsid w:val="00B57AEA"/>
    <w:rsid w:val="00B57BAD"/>
    <w:rsid w:val="00B57BFE"/>
    <w:rsid w:val="00B57DCE"/>
    <w:rsid w:val="00B57F78"/>
    <w:rsid w:val="00B6000B"/>
    <w:rsid w:val="00B600AE"/>
    <w:rsid w:val="00B60212"/>
    <w:rsid w:val="00B60323"/>
    <w:rsid w:val="00B6036D"/>
    <w:rsid w:val="00B603F5"/>
    <w:rsid w:val="00B60404"/>
    <w:rsid w:val="00B604C8"/>
    <w:rsid w:val="00B606BA"/>
    <w:rsid w:val="00B60702"/>
    <w:rsid w:val="00B60BF6"/>
    <w:rsid w:val="00B60D4F"/>
    <w:rsid w:val="00B60E73"/>
    <w:rsid w:val="00B60F1E"/>
    <w:rsid w:val="00B60F52"/>
    <w:rsid w:val="00B60FDF"/>
    <w:rsid w:val="00B6102B"/>
    <w:rsid w:val="00B610AA"/>
    <w:rsid w:val="00B611A0"/>
    <w:rsid w:val="00B611B5"/>
    <w:rsid w:val="00B6130D"/>
    <w:rsid w:val="00B61DDB"/>
    <w:rsid w:val="00B61EAD"/>
    <w:rsid w:val="00B61EB6"/>
    <w:rsid w:val="00B61EFC"/>
    <w:rsid w:val="00B61FDD"/>
    <w:rsid w:val="00B62002"/>
    <w:rsid w:val="00B620A8"/>
    <w:rsid w:val="00B622F1"/>
    <w:rsid w:val="00B62353"/>
    <w:rsid w:val="00B62414"/>
    <w:rsid w:val="00B62421"/>
    <w:rsid w:val="00B625D3"/>
    <w:rsid w:val="00B628DD"/>
    <w:rsid w:val="00B62929"/>
    <w:rsid w:val="00B62A0C"/>
    <w:rsid w:val="00B62A54"/>
    <w:rsid w:val="00B62BEA"/>
    <w:rsid w:val="00B62C7F"/>
    <w:rsid w:val="00B62F14"/>
    <w:rsid w:val="00B63039"/>
    <w:rsid w:val="00B630AE"/>
    <w:rsid w:val="00B630EC"/>
    <w:rsid w:val="00B63179"/>
    <w:rsid w:val="00B63221"/>
    <w:rsid w:val="00B63224"/>
    <w:rsid w:val="00B6334D"/>
    <w:rsid w:val="00B63447"/>
    <w:rsid w:val="00B6349F"/>
    <w:rsid w:val="00B635D2"/>
    <w:rsid w:val="00B63716"/>
    <w:rsid w:val="00B6376E"/>
    <w:rsid w:val="00B63771"/>
    <w:rsid w:val="00B637CB"/>
    <w:rsid w:val="00B63906"/>
    <w:rsid w:val="00B63A99"/>
    <w:rsid w:val="00B63BD6"/>
    <w:rsid w:val="00B63C92"/>
    <w:rsid w:val="00B63C9D"/>
    <w:rsid w:val="00B63CB4"/>
    <w:rsid w:val="00B63CC0"/>
    <w:rsid w:val="00B63D34"/>
    <w:rsid w:val="00B63DA8"/>
    <w:rsid w:val="00B63E1F"/>
    <w:rsid w:val="00B63E26"/>
    <w:rsid w:val="00B63F08"/>
    <w:rsid w:val="00B63F7B"/>
    <w:rsid w:val="00B6401D"/>
    <w:rsid w:val="00B640A2"/>
    <w:rsid w:val="00B640A5"/>
    <w:rsid w:val="00B6431B"/>
    <w:rsid w:val="00B64443"/>
    <w:rsid w:val="00B64881"/>
    <w:rsid w:val="00B6488E"/>
    <w:rsid w:val="00B64C4C"/>
    <w:rsid w:val="00B64DD8"/>
    <w:rsid w:val="00B64F16"/>
    <w:rsid w:val="00B65050"/>
    <w:rsid w:val="00B651B0"/>
    <w:rsid w:val="00B651F6"/>
    <w:rsid w:val="00B65257"/>
    <w:rsid w:val="00B65311"/>
    <w:rsid w:val="00B65368"/>
    <w:rsid w:val="00B653AD"/>
    <w:rsid w:val="00B6571B"/>
    <w:rsid w:val="00B65770"/>
    <w:rsid w:val="00B65836"/>
    <w:rsid w:val="00B658F3"/>
    <w:rsid w:val="00B65A79"/>
    <w:rsid w:val="00B65B57"/>
    <w:rsid w:val="00B65BCC"/>
    <w:rsid w:val="00B65C6A"/>
    <w:rsid w:val="00B65D71"/>
    <w:rsid w:val="00B65DAD"/>
    <w:rsid w:val="00B65DF2"/>
    <w:rsid w:val="00B65E07"/>
    <w:rsid w:val="00B65E34"/>
    <w:rsid w:val="00B65E64"/>
    <w:rsid w:val="00B65E65"/>
    <w:rsid w:val="00B65EC9"/>
    <w:rsid w:val="00B65EF9"/>
    <w:rsid w:val="00B65F50"/>
    <w:rsid w:val="00B65F57"/>
    <w:rsid w:val="00B6602E"/>
    <w:rsid w:val="00B66057"/>
    <w:rsid w:val="00B660D7"/>
    <w:rsid w:val="00B6614E"/>
    <w:rsid w:val="00B66236"/>
    <w:rsid w:val="00B6636A"/>
    <w:rsid w:val="00B6649D"/>
    <w:rsid w:val="00B668BB"/>
    <w:rsid w:val="00B66957"/>
    <w:rsid w:val="00B669EB"/>
    <w:rsid w:val="00B66B0C"/>
    <w:rsid w:val="00B66B13"/>
    <w:rsid w:val="00B66F9D"/>
    <w:rsid w:val="00B670C3"/>
    <w:rsid w:val="00B67118"/>
    <w:rsid w:val="00B67174"/>
    <w:rsid w:val="00B671CC"/>
    <w:rsid w:val="00B6725D"/>
    <w:rsid w:val="00B6729B"/>
    <w:rsid w:val="00B672AE"/>
    <w:rsid w:val="00B67316"/>
    <w:rsid w:val="00B673BC"/>
    <w:rsid w:val="00B67492"/>
    <w:rsid w:val="00B674D1"/>
    <w:rsid w:val="00B6758D"/>
    <w:rsid w:val="00B67648"/>
    <w:rsid w:val="00B67ACB"/>
    <w:rsid w:val="00B67AF0"/>
    <w:rsid w:val="00B67B1C"/>
    <w:rsid w:val="00B67B30"/>
    <w:rsid w:val="00B67C46"/>
    <w:rsid w:val="00B67CD4"/>
    <w:rsid w:val="00B67ED2"/>
    <w:rsid w:val="00B67FA9"/>
    <w:rsid w:val="00B67FB3"/>
    <w:rsid w:val="00B70003"/>
    <w:rsid w:val="00B7001D"/>
    <w:rsid w:val="00B70236"/>
    <w:rsid w:val="00B702AA"/>
    <w:rsid w:val="00B70361"/>
    <w:rsid w:val="00B70392"/>
    <w:rsid w:val="00B704F5"/>
    <w:rsid w:val="00B70538"/>
    <w:rsid w:val="00B706E4"/>
    <w:rsid w:val="00B706F0"/>
    <w:rsid w:val="00B707F0"/>
    <w:rsid w:val="00B7085C"/>
    <w:rsid w:val="00B708AF"/>
    <w:rsid w:val="00B70971"/>
    <w:rsid w:val="00B70B16"/>
    <w:rsid w:val="00B70B86"/>
    <w:rsid w:val="00B70C04"/>
    <w:rsid w:val="00B70C42"/>
    <w:rsid w:val="00B70C55"/>
    <w:rsid w:val="00B70CDB"/>
    <w:rsid w:val="00B70EB8"/>
    <w:rsid w:val="00B712EE"/>
    <w:rsid w:val="00B714B2"/>
    <w:rsid w:val="00B715FC"/>
    <w:rsid w:val="00B71665"/>
    <w:rsid w:val="00B71771"/>
    <w:rsid w:val="00B717A8"/>
    <w:rsid w:val="00B717E6"/>
    <w:rsid w:val="00B71898"/>
    <w:rsid w:val="00B718CE"/>
    <w:rsid w:val="00B71A9E"/>
    <w:rsid w:val="00B71AE4"/>
    <w:rsid w:val="00B71DBA"/>
    <w:rsid w:val="00B71F81"/>
    <w:rsid w:val="00B720A0"/>
    <w:rsid w:val="00B721F8"/>
    <w:rsid w:val="00B72208"/>
    <w:rsid w:val="00B72419"/>
    <w:rsid w:val="00B724B5"/>
    <w:rsid w:val="00B72597"/>
    <w:rsid w:val="00B725CD"/>
    <w:rsid w:val="00B72641"/>
    <w:rsid w:val="00B7276C"/>
    <w:rsid w:val="00B72777"/>
    <w:rsid w:val="00B72802"/>
    <w:rsid w:val="00B72841"/>
    <w:rsid w:val="00B728F1"/>
    <w:rsid w:val="00B729A6"/>
    <w:rsid w:val="00B72E20"/>
    <w:rsid w:val="00B730F3"/>
    <w:rsid w:val="00B732A6"/>
    <w:rsid w:val="00B7334A"/>
    <w:rsid w:val="00B7343B"/>
    <w:rsid w:val="00B7363D"/>
    <w:rsid w:val="00B7369C"/>
    <w:rsid w:val="00B737B0"/>
    <w:rsid w:val="00B73AA5"/>
    <w:rsid w:val="00B73C27"/>
    <w:rsid w:val="00B73CB7"/>
    <w:rsid w:val="00B73DD0"/>
    <w:rsid w:val="00B73E22"/>
    <w:rsid w:val="00B73F05"/>
    <w:rsid w:val="00B740BD"/>
    <w:rsid w:val="00B740FF"/>
    <w:rsid w:val="00B742A2"/>
    <w:rsid w:val="00B742BD"/>
    <w:rsid w:val="00B743A7"/>
    <w:rsid w:val="00B7441D"/>
    <w:rsid w:val="00B744C8"/>
    <w:rsid w:val="00B74525"/>
    <w:rsid w:val="00B74694"/>
    <w:rsid w:val="00B747E6"/>
    <w:rsid w:val="00B7490C"/>
    <w:rsid w:val="00B74981"/>
    <w:rsid w:val="00B749B2"/>
    <w:rsid w:val="00B74CEE"/>
    <w:rsid w:val="00B74D13"/>
    <w:rsid w:val="00B74DCE"/>
    <w:rsid w:val="00B74ECD"/>
    <w:rsid w:val="00B75025"/>
    <w:rsid w:val="00B7517C"/>
    <w:rsid w:val="00B75302"/>
    <w:rsid w:val="00B75391"/>
    <w:rsid w:val="00B753D1"/>
    <w:rsid w:val="00B754DB"/>
    <w:rsid w:val="00B7551B"/>
    <w:rsid w:val="00B7559B"/>
    <w:rsid w:val="00B755F3"/>
    <w:rsid w:val="00B756DB"/>
    <w:rsid w:val="00B756E3"/>
    <w:rsid w:val="00B75797"/>
    <w:rsid w:val="00B7585F"/>
    <w:rsid w:val="00B75909"/>
    <w:rsid w:val="00B75914"/>
    <w:rsid w:val="00B759E1"/>
    <w:rsid w:val="00B75A59"/>
    <w:rsid w:val="00B75B85"/>
    <w:rsid w:val="00B75D58"/>
    <w:rsid w:val="00B75EF8"/>
    <w:rsid w:val="00B75FD6"/>
    <w:rsid w:val="00B7641F"/>
    <w:rsid w:val="00B7656C"/>
    <w:rsid w:val="00B766D2"/>
    <w:rsid w:val="00B7676C"/>
    <w:rsid w:val="00B7679A"/>
    <w:rsid w:val="00B76883"/>
    <w:rsid w:val="00B769CF"/>
    <w:rsid w:val="00B76A04"/>
    <w:rsid w:val="00B76A27"/>
    <w:rsid w:val="00B76A48"/>
    <w:rsid w:val="00B76ADC"/>
    <w:rsid w:val="00B76B3B"/>
    <w:rsid w:val="00B76D95"/>
    <w:rsid w:val="00B76DB9"/>
    <w:rsid w:val="00B76DBC"/>
    <w:rsid w:val="00B76DBF"/>
    <w:rsid w:val="00B76F0E"/>
    <w:rsid w:val="00B76FAD"/>
    <w:rsid w:val="00B77094"/>
    <w:rsid w:val="00B7710E"/>
    <w:rsid w:val="00B77252"/>
    <w:rsid w:val="00B77319"/>
    <w:rsid w:val="00B775D9"/>
    <w:rsid w:val="00B77617"/>
    <w:rsid w:val="00B77871"/>
    <w:rsid w:val="00B778CB"/>
    <w:rsid w:val="00B77988"/>
    <w:rsid w:val="00B77A3C"/>
    <w:rsid w:val="00B77BEA"/>
    <w:rsid w:val="00B77C1D"/>
    <w:rsid w:val="00B77C21"/>
    <w:rsid w:val="00B77CA3"/>
    <w:rsid w:val="00B77D9B"/>
    <w:rsid w:val="00B77DB9"/>
    <w:rsid w:val="00B77DE9"/>
    <w:rsid w:val="00B77E36"/>
    <w:rsid w:val="00B77ECA"/>
    <w:rsid w:val="00B77EE2"/>
    <w:rsid w:val="00B77EF1"/>
    <w:rsid w:val="00B80077"/>
    <w:rsid w:val="00B80143"/>
    <w:rsid w:val="00B801C5"/>
    <w:rsid w:val="00B80252"/>
    <w:rsid w:val="00B802F9"/>
    <w:rsid w:val="00B80306"/>
    <w:rsid w:val="00B80561"/>
    <w:rsid w:val="00B80796"/>
    <w:rsid w:val="00B80826"/>
    <w:rsid w:val="00B80912"/>
    <w:rsid w:val="00B80A42"/>
    <w:rsid w:val="00B80B5B"/>
    <w:rsid w:val="00B80B6C"/>
    <w:rsid w:val="00B80DF2"/>
    <w:rsid w:val="00B81174"/>
    <w:rsid w:val="00B8127D"/>
    <w:rsid w:val="00B812E8"/>
    <w:rsid w:val="00B81456"/>
    <w:rsid w:val="00B814FA"/>
    <w:rsid w:val="00B8156B"/>
    <w:rsid w:val="00B8159D"/>
    <w:rsid w:val="00B816E6"/>
    <w:rsid w:val="00B81890"/>
    <w:rsid w:val="00B818FD"/>
    <w:rsid w:val="00B81998"/>
    <w:rsid w:val="00B819A1"/>
    <w:rsid w:val="00B81A54"/>
    <w:rsid w:val="00B81ABD"/>
    <w:rsid w:val="00B81AE8"/>
    <w:rsid w:val="00B81C3C"/>
    <w:rsid w:val="00B81C5B"/>
    <w:rsid w:val="00B81CF3"/>
    <w:rsid w:val="00B81FB6"/>
    <w:rsid w:val="00B82079"/>
    <w:rsid w:val="00B82109"/>
    <w:rsid w:val="00B8215C"/>
    <w:rsid w:val="00B8220C"/>
    <w:rsid w:val="00B823AB"/>
    <w:rsid w:val="00B8245C"/>
    <w:rsid w:val="00B82467"/>
    <w:rsid w:val="00B8253A"/>
    <w:rsid w:val="00B827BD"/>
    <w:rsid w:val="00B82854"/>
    <w:rsid w:val="00B82963"/>
    <w:rsid w:val="00B82D87"/>
    <w:rsid w:val="00B82E6B"/>
    <w:rsid w:val="00B82E73"/>
    <w:rsid w:val="00B82EF4"/>
    <w:rsid w:val="00B82F8C"/>
    <w:rsid w:val="00B8316C"/>
    <w:rsid w:val="00B8320A"/>
    <w:rsid w:val="00B8329C"/>
    <w:rsid w:val="00B8331C"/>
    <w:rsid w:val="00B83325"/>
    <w:rsid w:val="00B833D3"/>
    <w:rsid w:val="00B8351F"/>
    <w:rsid w:val="00B836E5"/>
    <w:rsid w:val="00B837ED"/>
    <w:rsid w:val="00B839DE"/>
    <w:rsid w:val="00B839F2"/>
    <w:rsid w:val="00B83BCA"/>
    <w:rsid w:val="00B83C7B"/>
    <w:rsid w:val="00B83CA0"/>
    <w:rsid w:val="00B83D40"/>
    <w:rsid w:val="00B83DBC"/>
    <w:rsid w:val="00B83E42"/>
    <w:rsid w:val="00B83EC8"/>
    <w:rsid w:val="00B83ED9"/>
    <w:rsid w:val="00B840F5"/>
    <w:rsid w:val="00B841FD"/>
    <w:rsid w:val="00B84308"/>
    <w:rsid w:val="00B84415"/>
    <w:rsid w:val="00B845CD"/>
    <w:rsid w:val="00B846E2"/>
    <w:rsid w:val="00B8472F"/>
    <w:rsid w:val="00B847E5"/>
    <w:rsid w:val="00B84884"/>
    <w:rsid w:val="00B8488F"/>
    <w:rsid w:val="00B84B37"/>
    <w:rsid w:val="00B84B99"/>
    <w:rsid w:val="00B84C69"/>
    <w:rsid w:val="00B84D3D"/>
    <w:rsid w:val="00B84D41"/>
    <w:rsid w:val="00B84DF3"/>
    <w:rsid w:val="00B84E0B"/>
    <w:rsid w:val="00B84E66"/>
    <w:rsid w:val="00B84EF1"/>
    <w:rsid w:val="00B84FD1"/>
    <w:rsid w:val="00B851E7"/>
    <w:rsid w:val="00B8540E"/>
    <w:rsid w:val="00B8545D"/>
    <w:rsid w:val="00B85586"/>
    <w:rsid w:val="00B85987"/>
    <w:rsid w:val="00B85A4D"/>
    <w:rsid w:val="00B85B20"/>
    <w:rsid w:val="00B85B7D"/>
    <w:rsid w:val="00B85DC6"/>
    <w:rsid w:val="00B85DCC"/>
    <w:rsid w:val="00B86060"/>
    <w:rsid w:val="00B86189"/>
    <w:rsid w:val="00B8621E"/>
    <w:rsid w:val="00B862AE"/>
    <w:rsid w:val="00B86379"/>
    <w:rsid w:val="00B8649A"/>
    <w:rsid w:val="00B865A6"/>
    <w:rsid w:val="00B865C4"/>
    <w:rsid w:val="00B86728"/>
    <w:rsid w:val="00B868ED"/>
    <w:rsid w:val="00B86A19"/>
    <w:rsid w:val="00B86AA8"/>
    <w:rsid w:val="00B86BF4"/>
    <w:rsid w:val="00B86C16"/>
    <w:rsid w:val="00B86D70"/>
    <w:rsid w:val="00B86D79"/>
    <w:rsid w:val="00B86DCC"/>
    <w:rsid w:val="00B86ECF"/>
    <w:rsid w:val="00B86F77"/>
    <w:rsid w:val="00B87042"/>
    <w:rsid w:val="00B87077"/>
    <w:rsid w:val="00B87086"/>
    <w:rsid w:val="00B870B7"/>
    <w:rsid w:val="00B871C5"/>
    <w:rsid w:val="00B872B6"/>
    <w:rsid w:val="00B87302"/>
    <w:rsid w:val="00B87353"/>
    <w:rsid w:val="00B87393"/>
    <w:rsid w:val="00B87420"/>
    <w:rsid w:val="00B87448"/>
    <w:rsid w:val="00B874D3"/>
    <w:rsid w:val="00B8773E"/>
    <w:rsid w:val="00B87839"/>
    <w:rsid w:val="00B87840"/>
    <w:rsid w:val="00B879EC"/>
    <w:rsid w:val="00B87AFD"/>
    <w:rsid w:val="00B87BD5"/>
    <w:rsid w:val="00B87C1E"/>
    <w:rsid w:val="00B87C64"/>
    <w:rsid w:val="00B87C66"/>
    <w:rsid w:val="00B87D00"/>
    <w:rsid w:val="00B87D3D"/>
    <w:rsid w:val="00B87E32"/>
    <w:rsid w:val="00B901D9"/>
    <w:rsid w:val="00B901E5"/>
    <w:rsid w:val="00B90281"/>
    <w:rsid w:val="00B90284"/>
    <w:rsid w:val="00B902D3"/>
    <w:rsid w:val="00B902F1"/>
    <w:rsid w:val="00B907C5"/>
    <w:rsid w:val="00B9092A"/>
    <w:rsid w:val="00B90A79"/>
    <w:rsid w:val="00B90AA0"/>
    <w:rsid w:val="00B90D60"/>
    <w:rsid w:val="00B90EF0"/>
    <w:rsid w:val="00B90FF1"/>
    <w:rsid w:val="00B9101B"/>
    <w:rsid w:val="00B910FA"/>
    <w:rsid w:val="00B911D9"/>
    <w:rsid w:val="00B91284"/>
    <w:rsid w:val="00B9136B"/>
    <w:rsid w:val="00B9141F"/>
    <w:rsid w:val="00B914F2"/>
    <w:rsid w:val="00B9177B"/>
    <w:rsid w:val="00B91869"/>
    <w:rsid w:val="00B9189D"/>
    <w:rsid w:val="00B91950"/>
    <w:rsid w:val="00B91A2B"/>
    <w:rsid w:val="00B91AC4"/>
    <w:rsid w:val="00B91C4D"/>
    <w:rsid w:val="00B91CCA"/>
    <w:rsid w:val="00B91CDA"/>
    <w:rsid w:val="00B91CDF"/>
    <w:rsid w:val="00B91E59"/>
    <w:rsid w:val="00B91F54"/>
    <w:rsid w:val="00B91F71"/>
    <w:rsid w:val="00B91FAC"/>
    <w:rsid w:val="00B92049"/>
    <w:rsid w:val="00B92128"/>
    <w:rsid w:val="00B921CC"/>
    <w:rsid w:val="00B92274"/>
    <w:rsid w:val="00B922D9"/>
    <w:rsid w:val="00B9244A"/>
    <w:rsid w:val="00B926C5"/>
    <w:rsid w:val="00B9287B"/>
    <w:rsid w:val="00B928CD"/>
    <w:rsid w:val="00B92963"/>
    <w:rsid w:val="00B92969"/>
    <w:rsid w:val="00B92977"/>
    <w:rsid w:val="00B92A9A"/>
    <w:rsid w:val="00B92ADC"/>
    <w:rsid w:val="00B92C96"/>
    <w:rsid w:val="00B92D52"/>
    <w:rsid w:val="00B92DA8"/>
    <w:rsid w:val="00B9306F"/>
    <w:rsid w:val="00B93084"/>
    <w:rsid w:val="00B93240"/>
    <w:rsid w:val="00B934CB"/>
    <w:rsid w:val="00B934D4"/>
    <w:rsid w:val="00B935A5"/>
    <w:rsid w:val="00B93600"/>
    <w:rsid w:val="00B936F9"/>
    <w:rsid w:val="00B937BF"/>
    <w:rsid w:val="00B937E2"/>
    <w:rsid w:val="00B93994"/>
    <w:rsid w:val="00B93A07"/>
    <w:rsid w:val="00B93A1B"/>
    <w:rsid w:val="00B93A21"/>
    <w:rsid w:val="00B93B38"/>
    <w:rsid w:val="00B93BB2"/>
    <w:rsid w:val="00B93BE6"/>
    <w:rsid w:val="00B93BF7"/>
    <w:rsid w:val="00B93C02"/>
    <w:rsid w:val="00B94202"/>
    <w:rsid w:val="00B94359"/>
    <w:rsid w:val="00B943A9"/>
    <w:rsid w:val="00B94568"/>
    <w:rsid w:val="00B945DA"/>
    <w:rsid w:val="00B945DD"/>
    <w:rsid w:val="00B945EF"/>
    <w:rsid w:val="00B9473A"/>
    <w:rsid w:val="00B948EC"/>
    <w:rsid w:val="00B94AA3"/>
    <w:rsid w:val="00B94AA9"/>
    <w:rsid w:val="00B94B26"/>
    <w:rsid w:val="00B94B7A"/>
    <w:rsid w:val="00B94BD0"/>
    <w:rsid w:val="00B94C56"/>
    <w:rsid w:val="00B94D0A"/>
    <w:rsid w:val="00B94D68"/>
    <w:rsid w:val="00B94D76"/>
    <w:rsid w:val="00B95298"/>
    <w:rsid w:val="00B95311"/>
    <w:rsid w:val="00B954B8"/>
    <w:rsid w:val="00B95506"/>
    <w:rsid w:val="00B95530"/>
    <w:rsid w:val="00B956F8"/>
    <w:rsid w:val="00B95729"/>
    <w:rsid w:val="00B957BF"/>
    <w:rsid w:val="00B957D5"/>
    <w:rsid w:val="00B95A3D"/>
    <w:rsid w:val="00B95A51"/>
    <w:rsid w:val="00B95ABD"/>
    <w:rsid w:val="00B95B67"/>
    <w:rsid w:val="00B95C4B"/>
    <w:rsid w:val="00B95C72"/>
    <w:rsid w:val="00B95C7F"/>
    <w:rsid w:val="00B95CC4"/>
    <w:rsid w:val="00B95D7B"/>
    <w:rsid w:val="00B95F34"/>
    <w:rsid w:val="00B95F5A"/>
    <w:rsid w:val="00B961B0"/>
    <w:rsid w:val="00B962C6"/>
    <w:rsid w:val="00B9658D"/>
    <w:rsid w:val="00B96638"/>
    <w:rsid w:val="00B96679"/>
    <w:rsid w:val="00B966CD"/>
    <w:rsid w:val="00B9689F"/>
    <w:rsid w:val="00B96980"/>
    <w:rsid w:val="00B969D0"/>
    <w:rsid w:val="00B96B1D"/>
    <w:rsid w:val="00B96B56"/>
    <w:rsid w:val="00B96B64"/>
    <w:rsid w:val="00B96B65"/>
    <w:rsid w:val="00B96C13"/>
    <w:rsid w:val="00B96CD2"/>
    <w:rsid w:val="00B96E98"/>
    <w:rsid w:val="00B96EDD"/>
    <w:rsid w:val="00B96F0B"/>
    <w:rsid w:val="00B96FB1"/>
    <w:rsid w:val="00B97126"/>
    <w:rsid w:val="00B974F1"/>
    <w:rsid w:val="00B976C0"/>
    <w:rsid w:val="00B97AFF"/>
    <w:rsid w:val="00B97B02"/>
    <w:rsid w:val="00B97BD9"/>
    <w:rsid w:val="00BA0003"/>
    <w:rsid w:val="00BA00BC"/>
    <w:rsid w:val="00BA0195"/>
    <w:rsid w:val="00BA028C"/>
    <w:rsid w:val="00BA02DB"/>
    <w:rsid w:val="00BA0325"/>
    <w:rsid w:val="00BA03AD"/>
    <w:rsid w:val="00BA03FD"/>
    <w:rsid w:val="00BA051F"/>
    <w:rsid w:val="00BA05E5"/>
    <w:rsid w:val="00BA0682"/>
    <w:rsid w:val="00BA0818"/>
    <w:rsid w:val="00BA08A9"/>
    <w:rsid w:val="00BA09E5"/>
    <w:rsid w:val="00BA0AA9"/>
    <w:rsid w:val="00BA0AB5"/>
    <w:rsid w:val="00BA0DE0"/>
    <w:rsid w:val="00BA0E01"/>
    <w:rsid w:val="00BA0F8F"/>
    <w:rsid w:val="00BA1077"/>
    <w:rsid w:val="00BA10AB"/>
    <w:rsid w:val="00BA10F2"/>
    <w:rsid w:val="00BA116E"/>
    <w:rsid w:val="00BA11C6"/>
    <w:rsid w:val="00BA122F"/>
    <w:rsid w:val="00BA1292"/>
    <w:rsid w:val="00BA12B5"/>
    <w:rsid w:val="00BA142C"/>
    <w:rsid w:val="00BA1489"/>
    <w:rsid w:val="00BA15EA"/>
    <w:rsid w:val="00BA169A"/>
    <w:rsid w:val="00BA18FA"/>
    <w:rsid w:val="00BA1926"/>
    <w:rsid w:val="00BA1A2C"/>
    <w:rsid w:val="00BA1A48"/>
    <w:rsid w:val="00BA1B9C"/>
    <w:rsid w:val="00BA1BE2"/>
    <w:rsid w:val="00BA1C63"/>
    <w:rsid w:val="00BA1D5F"/>
    <w:rsid w:val="00BA1D7D"/>
    <w:rsid w:val="00BA1F47"/>
    <w:rsid w:val="00BA203B"/>
    <w:rsid w:val="00BA20E3"/>
    <w:rsid w:val="00BA2153"/>
    <w:rsid w:val="00BA230F"/>
    <w:rsid w:val="00BA233C"/>
    <w:rsid w:val="00BA237F"/>
    <w:rsid w:val="00BA2400"/>
    <w:rsid w:val="00BA2432"/>
    <w:rsid w:val="00BA247A"/>
    <w:rsid w:val="00BA262E"/>
    <w:rsid w:val="00BA28AC"/>
    <w:rsid w:val="00BA28F3"/>
    <w:rsid w:val="00BA294E"/>
    <w:rsid w:val="00BA2A5F"/>
    <w:rsid w:val="00BA2ACB"/>
    <w:rsid w:val="00BA2D46"/>
    <w:rsid w:val="00BA2E7C"/>
    <w:rsid w:val="00BA2FDD"/>
    <w:rsid w:val="00BA2FEC"/>
    <w:rsid w:val="00BA31C5"/>
    <w:rsid w:val="00BA32F3"/>
    <w:rsid w:val="00BA3396"/>
    <w:rsid w:val="00BA3489"/>
    <w:rsid w:val="00BA35C4"/>
    <w:rsid w:val="00BA35C6"/>
    <w:rsid w:val="00BA3723"/>
    <w:rsid w:val="00BA37A9"/>
    <w:rsid w:val="00BA3881"/>
    <w:rsid w:val="00BA39FA"/>
    <w:rsid w:val="00BA3A92"/>
    <w:rsid w:val="00BA3ADF"/>
    <w:rsid w:val="00BA3B50"/>
    <w:rsid w:val="00BA3B6B"/>
    <w:rsid w:val="00BA3B7F"/>
    <w:rsid w:val="00BA3CC6"/>
    <w:rsid w:val="00BA3E93"/>
    <w:rsid w:val="00BA400B"/>
    <w:rsid w:val="00BA407F"/>
    <w:rsid w:val="00BA4147"/>
    <w:rsid w:val="00BA41EA"/>
    <w:rsid w:val="00BA422A"/>
    <w:rsid w:val="00BA42B5"/>
    <w:rsid w:val="00BA42B8"/>
    <w:rsid w:val="00BA4340"/>
    <w:rsid w:val="00BA436F"/>
    <w:rsid w:val="00BA43DC"/>
    <w:rsid w:val="00BA445A"/>
    <w:rsid w:val="00BA4472"/>
    <w:rsid w:val="00BA44C0"/>
    <w:rsid w:val="00BA457A"/>
    <w:rsid w:val="00BA45DA"/>
    <w:rsid w:val="00BA45FF"/>
    <w:rsid w:val="00BA46C2"/>
    <w:rsid w:val="00BA46CE"/>
    <w:rsid w:val="00BA4706"/>
    <w:rsid w:val="00BA475F"/>
    <w:rsid w:val="00BA4899"/>
    <w:rsid w:val="00BA48C1"/>
    <w:rsid w:val="00BA49FF"/>
    <w:rsid w:val="00BA4B94"/>
    <w:rsid w:val="00BA4C3E"/>
    <w:rsid w:val="00BA4C57"/>
    <w:rsid w:val="00BA4D40"/>
    <w:rsid w:val="00BA4D45"/>
    <w:rsid w:val="00BA4D98"/>
    <w:rsid w:val="00BA4DCF"/>
    <w:rsid w:val="00BA4EF8"/>
    <w:rsid w:val="00BA4F16"/>
    <w:rsid w:val="00BA5041"/>
    <w:rsid w:val="00BA51B7"/>
    <w:rsid w:val="00BA5236"/>
    <w:rsid w:val="00BA524E"/>
    <w:rsid w:val="00BA5326"/>
    <w:rsid w:val="00BA5350"/>
    <w:rsid w:val="00BA53BA"/>
    <w:rsid w:val="00BA548A"/>
    <w:rsid w:val="00BA54C4"/>
    <w:rsid w:val="00BA5529"/>
    <w:rsid w:val="00BA5591"/>
    <w:rsid w:val="00BA57A7"/>
    <w:rsid w:val="00BA57B8"/>
    <w:rsid w:val="00BA5809"/>
    <w:rsid w:val="00BA5853"/>
    <w:rsid w:val="00BA58B5"/>
    <w:rsid w:val="00BA5A50"/>
    <w:rsid w:val="00BA5B20"/>
    <w:rsid w:val="00BA5B69"/>
    <w:rsid w:val="00BA5C45"/>
    <w:rsid w:val="00BA5EBF"/>
    <w:rsid w:val="00BA603D"/>
    <w:rsid w:val="00BA62C7"/>
    <w:rsid w:val="00BA6302"/>
    <w:rsid w:val="00BA6453"/>
    <w:rsid w:val="00BA6475"/>
    <w:rsid w:val="00BA64B5"/>
    <w:rsid w:val="00BA6516"/>
    <w:rsid w:val="00BA67C2"/>
    <w:rsid w:val="00BA684E"/>
    <w:rsid w:val="00BA6A63"/>
    <w:rsid w:val="00BA6B8B"/>
    <w:rsid w:val="00BA6CE0"/>
    <w:rsid w:val="00BA719A"/>
    <w:rsid w:val="00BA71F6"/>
    <w:rsid w:val="00BA73F5"/>
    <w:rsid w:val="00BA7452"/>
    <w:rsid w:val="00BA74E1"/>
    <w:rsid w:val="00BA76AB"/>
    <w:rsid w:val="00BA76BC"/>
    <w:rsid w:val="00BA7739"/>
    <w:rsid w:val="00BA7CCD"/>
    <w:rsid w:val="00BA7E2A"/>
    <w:rsid w:val="00BA7E58"/>
    <w:rsid w:val="00BA7E88"/>
    <w:rsid w:val="00BA7EB7"/>
    <w:rsid w:val="00BA7F07"/>
    <w:rsid w:val="00BB00B8"/>
    <w:rsid w:val="00BB01C2"/>
    <w:rsid w:val="00BB01CF"/>
    <w:rsid w:val="00BB0284"/>
    <w:rsid w:val="00BB0293"/>
    <w:rsid w:val="00BB02B4"/>
    <w:rsid w:val="00BB02E6"/>
    <w:rsid w:val="00BB079E"/>
    <w:rsid w:val="00BB07D3"/>
    <w:rsid w:val="00BB0AC1"/>
    <w:rsid w:val="00BB0AD9"/>
    <w:rsid w:val="00BB0B10"/>
    <w:rsid w:val="00BB0B1C"/>
    <w:rsid w:val="00BB0BDF"/>
    <w:rsid w:val="00BB0BE5"/>
    <w:rsid w:val="00BB0D00"/>
    <w:rsid w:val="00BB0D27"/>
    <w:rsid w:val="00BB0DD2"/>
    <w:rsid w:val="00BB0EC1"/>
    <w:rsid w:val="00BB0EDC"/>
    <w:rsid w:val="00BB1005"/>
    <w:rsid w:val="00BB103F"/>
    <w:rsid w:val="00BB1161"/>
    <w:rsid w:val="00BB1223"/>
    <w:rsid w:val="00BB1295"/>
    <w:rsid w:val="00BB12C4"/>
    <w:rsid w:val="00BB145B"/>
    <w:rsid w:val="00BB146C"/>
    <w:rsid w:val="00BB1566"/>
    <w:rsid w:val="00BB160D"/>
    <w:rsid w:val="00BB162F"/>
    <w:rsid w:val="00BB1668"/>
    <w:rsid w:val="00BB1762"/>
    <w:rsid w:val="00BB185D"/>
    <w:rsid w:val="00BB18AC"/>
    <w:rsid w:val="00BB18AF"/>
    <w:rsid w:val="00BB19B6"/>
    <w:rsid w:val="00BB1AFC"/>
    <w:rsid w:val="00BB1B1E"/>
    <w:rsid w:val="00BB1B5D"/>
    <w:rsid w:val="00BB1C01"/>
    <w:rsid w:val="00BB1C58"/>
    <w:rsid w:val="00BB1D1E"/>
    <w:rsid w:val="00BB1E01"/>
    <w:rsid w:val="00BB1ED9"/>
    <w:rsid w:val="00BB208B"/>
    <w:rsid w:val="00BB2319"/>
    <w:rsid w:val="00BB24C9"/>
    <w:rsid w:val="00BB2578"/>
    <w:rsid w:val="00BB260E"/>
    <w:rsid w:val="00BB272D"/>
    <w:rsid w:val="00BB2730"/>
    <w:rsid w:val="00BB2786"/>
    <w:rsid w:val="00BB2848"/>
    <w:rsid w:val="00BB2897"/>
    <w:rsid w:val="00BB29CF"/>
    <w:rsid w:val="00BB2BCC"/>
    <w:rsid w:val="00BB2C26"/>
    <w:rsid w:val="00BB2C76"/>
    <w:rsid w:val="00BB2EAE"/>
    <w:rsid w:val="00BB2F23"/>
    <w:rsid w:val="00BB2FB2"/>
    <w:rsid w:val="00BB308A"/>
    <w:rsid w:val="00BB30EA"/>
    <w:rsid w:val="00BB3156"/>
    <w:rsid w:val="00BB3289"/>
    <w:rsid w:val="00BB36EE"/>
    <w:rsid w:val="00BB3845"/>
    <w:rsid w:val="00BB3B7E"/>
    <w:rsid w:val="00BB3DF6"/>
    <w:rsid w:val="00BB3E58"/>
    <w:rsid w:val="00BB40C9"/>
    <w:rsid w:val="00BB40D9"/>
    <w:rsid w:val="00BB427D"/>
    <w:rsid w:val="00BB42C8"/>
    <w:rsid w:val="00BB42D7"/>
    <w:rsid w:val="00BB431E"/>
    <w:rsid w:val="00BB436A"/>
    <w:rsid w:val="00BB43BF"/>
    <w:rsid w:val="00BB44DF"/>
    <w:rsid w:val="00BB4522"/>
    <w:rsid w:val="00BB4523"/>
    <w:rsid w:val="00BB4541"/>
    <w:rsid w:val="00BB45F2"/>
    <w:rsid w:val="00BB46AC"/>
    <w:rsid w:val="00BB46E0"/>
    <w:rsid w:val="00BB46F8"/>
    <w:rsid w:val="00BB479B"/>
    <w:rsid w:val="00BB479E"/>
    <w:rsid w:val="00BB482F"/>
    <w:rsid w:val="00BB4968"/>
    <w:rsid w:val="00BB49CF"/>
    <w:rsid w:val="00BB4AA6"/>
    <w:rsid w:val="00BB4AA8"/>
    <w:rsid w:val="00BB4ACE"/>
    <w:rsid w:val="00BB4B3A"/>
    <w:rsid w:val="00BB4B6D"/>
    <w:rsid w:val="00BB4E9B"/>
    <w:rsid w:val="00BB4FBB"/>
    <w:rsid w:val="00BB502C"/>
    <w:rsid w:val="00BB521A"/>
    <w:rsid w:val="00BB5332"/>
    <w:rsid w:val="00BB53BC"/>
    <w:rsid w:val="00BB53E0"/>
    <w:rsid w:val="00BB5436"/>
    <w:rsid w:val="00BB54A3"/>
    <w:rsid w:val="00BB5566"/>
    <w:rsid w:val="00BB55B3"/>
    <w:rsid w:val="00BB5715"/>
    <w:rsid w:val="00BB5866"/>
    <w:rsid w:val="00BB5875"/>
    <w:rsid w:val="00BB5920"/>
    <w:rsid w:val="00BB5A3D"/>
    <w:rsid w:val="00BB5AE8"/>
    <w:rsid w:val="00BB5B18"/>
    <w:rsid w:val="00BB5B46"/>
    <w:rsid w:val="00BB5BCE"/>
    <w:rsid w:val="00BB5BE7"/>
    <w:rsid w:val="00BB5CAE"/>
    <w:rsid w:val="00BB5F24"/>
    <w:rsid w:val="00BB5F66"/>
    <w:rsid w:val="00BB5FBB"/>
    <w:rsid w:val="00BB5FBD"/>
    <w:rsid w:val="00BB625E"/>
    <w:rsid w:val="00BB62FB"/>
    <w:rsid w:val="00BB636D"/>
    <w:rsid w:val="00BB64E6"/>
    <w:rsid w:val="00BB6722"/>
    <w:rsid w:val="00BB6742"/>
    <w:rsid w:val="00BB6794"/>
    <w:rsid w:val="00BB68A0"/>
    <w:rsid w:val="00BB6AB1"/>
    <w:rsid w:val="00BB6B3A"/>
    <w:rsid w:val="00BB6BD6"/>
    <w:rsid w:val="00BB6C37"/>
    <w:rsid w:val="00BB6CAB"/>
    <w:rsid w:val="00BB6D61"/>
    <w:rsid w:val="00BB7041"/>
    <w:rsid w:val="00BB7184"/>
    <w:rsid w:val="00BB7198"/>
    <w:rsid w:val="00BB71BB"/>
    <w:rsid w:val="00BB721E"/>
    <w:rsid w:val="00BB7351"/>
    <w:rsid w:val="00BB7470"/>
    <w:rsid w:val="00BB7547"/>
    <w:rsid w:val="00BB755E"/>
    <w:rsid w:val="00BB7724"/>
    <w:rsid w:val="00BB7861"/>
    <w:rsid w:val="00BB7868"/>
    <w:rsid w:val="00BB7877"/>
    <w:rsid w:val="00BB78AA"/>
    <w:rsid w:val="00BB7979"/>
    <w:rsid w:val="00BB7A46"/>
    <w:rsid w:val="00BB7A89"/>
    <w:rsid w:val="00BB7A9D"/>
    <w:rsid w:val="00BB7AD7"/>
    <w:rsid w:val="00BB7AF6"/>
    <w:rsid w:val="00BB7C15"/>
    <w:rsid w:val="00BB7CF0"/>
    <w:rsid w:val="00BB7DDA"/>
    <w:rsid w:val="00BB7E68"/>
    <w:rsid w:val="00BB7F88"/>
    <w:rsid w:val="00BC0267"/>
    <w:rsid w:val="00BC02C1"/>
    <w:rsid w:val="00BC02F9"/>
    <w:rsid w:val="00BC0460"/>
    <w:rsid w:val="00BC0497"/>
    <w:rsid w:val="00BC04E3"/>
    <w:rsid w:val="00BC0744"/>
    <w:rsid w:val="00BC07D5"/>
    <w:rsid w:val="00BC0BDD"/>
    <w:rsid w:val="00BC0C5F"/>
    <w:rsid w:val="00BC0C71"/>
    <w:rsid w:val="00BC0DE2"/>
    <w:rsid w:val="00BC0EA7"/>
    <w:rsid w:val="00BC0F08"/>
    <w:rsid w:val="00BC105D"/>
    <w:rsid w:val="00BC10C6"/>
    <w:rsid w:val="00BC10E1"/>
    <w:rsid w:val="00BC1310"/>
    <w:rsid w:val="00BC1342"/>
    <w:rsid w:val="00BC13E5"/>
    <w:rsid w:val="00BC13F9"/>
    <w:rsid w:val="00BC151C"/>
    <w:rsid w:val="00BC162F"/>
    <w:rsid w:val="00BC1633"/>
    <w:rsid w:val="00BC1834"/>
    <w:rsid w:val="00BC1905"/>
    <w:rsid w:val="00BC19B9"/>
    <w:rsid w:val="00BC1A5F"/>
    <w:rsid w:val="00BC1DFA"/>
    <w:rsid w:val="00BC2019"/>
    <w:rsid w:val="00BC2084"/>
    <w:rsid w:val="00BC20DC"/>
    <w:rsid w:val="00BC2173"/>
    <w:rsid w:val="00BC2276"/>
    <w:rsid w:val="00BC229E"/>
    <w:rsid w:val="00BC22BB"/>
    <w:rsid w:val="00BC231C"/>
    <w:rsid w:val="00BC236D"/>
    <w:rsid w:val="00BC23AA"/>
    <w:rsid w:val="00BC2459"/>
    <w:rsid w:val="00BC248C"/>
    <w:rsid w:val="00BC24E5"/>
    <w:rsid w:val="00BC2517"/>
    <w:rsid w:val="00BC251B"/>
    <w:rsid w:val="00BC251F"/>
    <w:rsid w:val="00BC25FD"/>
    <w:rsid w:val="00BC27EC"/>
    <w:rsid w:val="00BC2A63"/>
    <w:rsid w:val="00BC2ABF"/>
    <w:rsid w:val="00BC2C63"/>
    <w:rsid w:val="00BC2DDC"/>
    <w:rsid w:val="00BC2DEE"/>
    <w:rsid w:val="00BC2FE1"/>
    <w:rsid w:val="00BC307D"/>
    <w:rsid w:val="00BC30C6"/>
    <w:rsid w:val="00BC3165"/>
    <w:rsid w:val="00BC31BD"/>
    <w:rsid w:val="00BC3245"/>
    <w:rsid w:val="00BC3298"/>
    <w:rsid w:val="00BC32EA"/>
    <w:rsid w:val="00BC33D4"/>
    <w:rsid w:val="00BC353A"/>
    <w:rsid w:val="00BC37BB"/>
    <w:rsid w:val="00BC37F4"/>
    <w:rsid w:val="00BC3905"/>
    <w:rsid w:val="00BC3927"/>
    <w:rsid w:val="00BC3A1B"/>
    <w:rsid w:val="00BC3CCE"/>
    <w:rsid w:val="00BC3D24"/>
    <w:rsid w:val="00BC3E2E"/>
    <w:rsid w:val="00BC3E49"/>
    <w:rsid w:val="00BC3E84"/>
    <w:rsid w:val="00BC3EE7"/>
    <w:rsid w:val="00BC3F70"/>
    <w:rsid w:val="00BC4015"/>
    <w:rsid w:val="00BC4024"/>
    <w:rsid w:val="00BC432E"/>
    <w:rsid w:val="00BC43FF"/>
    <w:rsid w:val="00BC4407"/>
    <w:rsid w:val="00BC44BC"/>
    <w:rsid w:val="00BC44C9"/>
    <w:rsid w:val="00BC450A"/>
    <w:rsid w:val="00BC4565"/>
    <w:rsid w:val="00BC45A3"/>
    <w:rsid w:val="00BC45B5"/>
    <w:rsid w:val="00BC4634"/>
    <w:rsid w:val="00BC464E"/>
    <w:rsid w:val="00BC4A21"/>
    <w:rsid w:val="00BC4B33"/>
    <w:rsid w:val="00BC4BD8"/>
    <w:rsid w:val="00BC4D6F"/>
    <w:rsid w:val="00BC4E22"/>
    <w:rsid w:val="00BC4E57"/>
    <w:rsid w:val="00BC4F1E"/>
    <w:rsid w:val="00BC4FB4"/>
    <w:rsid w:val="00BC4FC1"/>
    <w:rsid w:val="00BC4FF4"/>
    <w:rsid w:val="00BC510C"/>
    <w:rsid w:val="00BC514C"/>
    <w:rsid w:val="00BC515A"/>
    <w:rsid w:val="00BC5230"/>
    <w:rsid w:val="00BC5293"/>
    <w:rsid w:val="00BC5391"/>
    <w:rsid w:val="00BC543A"/>
    <w:rsid w:val="00BC54DC"/>
    <w:rsid w:val="00BC5545"/>
    <w:rsid w:val="00BC5577"/>
    <w:rsid w:val="00BC5843"/>
    <w:rsid w:val="00BC5876"/>
    <w:rsid w:val="00BC58BD"/>
    <w:rsid w:val="00BC58D3"/>
    <w:rsid w:val="00BC5A77"/>
    <w:rsid w:val="00BC5AA2"/>
    <w:rsid w:val="00BC5AB5"/>
    <w:rsid w:val="00BC5BF2"/>
    <w:rsid w:val="00BC5E44"/>
    <w:rsid w:val="00BC5E63"/>
    <w:rsid w:val="00BC5EAA"/>
    <w:rsid w:val="00BC5F0E"/>
    <w:rsid w:val="00BC608C"/>
    <w:rsid w:val="00BC60DB"/>
    <w:rsid w:val="00BC60E0"/>
    <w:rsid w:val="00BC6126"/>
    <w:rsid w:val="00BC614E"/>
    <w:rsid w:val="00BC635D"/>
    <w:rsid w:val="00BC63BA"/>
    <w:rsid w:val="00BC6420"/>
    <w:rsid w:val="00BC657E"/>
    <w:rsid w:val="00BC6616"/>
    <w:rsid w:val="00BC661A"/>
    <w:rsid w:val="00BC662C"/>
    <w:rsid w:val="00BC68C0"/>
    <w:rsid w:val="00BC68D0"/>
    <w:rsid w:val="00BC6975"/>
    <w:rsid w:val="00BC6BE0"/>
    <w:rsid w:val="00BC6D20"/>
    <w:rsid w:val="00BC6D35"/>
    <w:rsid w:val="00BC6DF9"/>
    <w:rsid w:val="00BC6E48"/>
    <w:rsid w:val="00BC6E90"/>
    <w:rsid w:val="00BC6EA1"/>
    <w:rsid w:val="00BC70B8"/>
    <w:rsid w:val="00BC7408"/>
    <w:rsid w:val="00BC7566"/>
    <w:rsid w:val="00BC756E"/>
    <w:rsid w:val="00BC7593"/>
    <w:rsid w:val="00BC7623"/>
    <w:rsid w:val="00BC763C"/>
    <w:rsid w:val="00BC7783"/>
    <w:rsid w:val="00BC77AC"/>
    <w:rsid w:val="00BC78C3"/>
    <w:rsid w:val="00BC78E3"/>
    <w:rsid w:val="00BC7913"/>
    <w:rsid w:val="00BC79A3"/>
    <w:rsid w:val="00BC7AEC"/>
    <w:rsid w:val="00BC7B2C"/>
    <w:rsid w:val="00BC7B58"/>
    <w:rsid w:val="00BC7D8E"/>
    <w:rsid w:val="00BC7E6F"/>
    <w:rsid w:val="00BC7EEE"/>
    <w:rsid w:val="00BC7F14"/>
    <w:rsid w:val="00BC7F6E"/>
    <w:rsid w:val="00BD0323"/>
    <w:rsid w:val="00BD041A"/>
    <w:rsid w:val="00BD057B"/>
    <w:rsid w:val="00BD05D6"/>
    <w:rsid w:val="00BD063A"/>
    <w:rsid w:val="00BD0698"/>
    <w:rsid w:val="00BD06B4"/>
    <w:rsid w:val="00BD06EF"/>
    <w:rsid w:val="00BD07D8"/>
    <w:rsid w:val="00BD0837"/>
    <w:rsid w:val="00BD089A"/>
    <w:rsid w:val="00BD08F8"/>
    <w:rsid w:val="00BD0913"/>
    <w:rsid w:val="00BD091D"/>
    <w:rsid w:val="00BD09E1"/>
    <w:rsid w:val="00BD0BE1"/>
    <w:rsid w:val="00BD0BEE"/>
    <w:rsid w:val="00BD0D5B"/>
    <w:rsid w:val="00BD0F30"/>
    <w:rsid w:val="00BD0FED"/>
    <w:rsid w:val="00BD10A9"/>
    <w:rsid w:val="00BD1135"/>
    <w:rsid w:val="00BD11D9"/>
    <w:rsid w:val="00BD1306"/>
    <w:rsid w:val="00BD1425"/>
    <w:rsid w:val="00BD15AE"/>
    <w:rsid w:val="00BD18F6"/>
    <w:rsid w:val="00BD1A4F"/>
    <w:rsid w:val="00BD1C7D"/>
    <w:rsid w:val="00BD1D34"/>
    <w:rsid w:val="00BD1D6A"/>
    <w:rsid w:val="00BD1E72"/>
    <w:rsid w:val="00BD1E73"/>
    <w:rsid w:val="00BD1F97"/>
    <w:rsid w:val="00BD1FB4"/>
    <w:rsid w:val="00BD239C"/>
    <w:rsid w:val="00BD2511"/>
    <w:rsid w:val="00BD25EC"/>
    <w:rsid w:val="00BD26A3"/>
    <w:rsid w:val="00BD26AA"/>
    <w:rsid w:val="00BD2742"/>
    <w:rsid w:val="00BD27FC"/>
    <w:rsid w:val="00BD2813"/>
    <w:rsid w:val="00BD289F"/>
    <w:rsid w:val="00BD28A7"/>
    <w:rsid w:val="00BD2979"/>
    <w:rsid w:val="00BD2A6B"/>
    <w:rsid w:val="00BD2B60"/>
    <w:rsid w:val="00BD2C7A"/>
    <w:rsid w:val="00BD2C96"/>
    <w:rsid w:val="00BD2E34"/>
    <w:rsid w:val="00BD2F2B"/>
    <w:rsid w:val="00BD2F79"/>
    <w:rsid w:val="00BD2FB1"/>
    <w:rsid w:val="00BD2FC9"/>
    <w:rsid w:val="00BD3124"/>
    <w:rsid w:val="00BD329E"/>
    <w:rsid w:val="00BD3520"/>
    <w:rsid w:val="00BD354E"/>
    <w:rsid w:val="00BD3623"/>
    <w:rsid w:val="00BD377B"/>
    <w:rsid w:val="00BD383E"/>
    <w:rsid w:val="00BD387B"/>
    <w:rsid w:val="00BD39B0"/>
    <w:rsid w:val="00BD39EA"/>
    <w:rsid w:val="00BD39ED"/>
    <w:rsid w:val="00BD3C33"/>
    <w:rsid w:val="00BD3C9F"/>
    <w:rsid w:val="00BD3D47"/>
    <w:rsid w:val="00BD3D60"/>
    <w:rsid w:val="00BD3D69"/>
    <w:rsid w:val="00BD3DB5"/>
    <w:rsid w:val="00BD3E27"/>
    <w:rsid w:val="00BD3E3E"/>
    <w:rsid w:val="00BD3E4C"/>
    <w:rsid w:val="00BD3F3C"/>
    <w:rsid w:val="00BD3FF5"/>
    <w:rsid w:val="00BD40DB"/>
    <w:rsid w:val="00BD4286"/>
    <w:rsid w:val="00BD4566"/>
    <w:rsid w:val="00BD4713"/>
    <w:rsid w:val="00BD4758"/>
    <w:rsid w:val="00BD48A4"/>
    <w:rsid w:val="00BD4C4C"/>
    <w:rsid w:val="00BD4D3E"/>
    <w:rsid w:val="00BD4E35"/>
    <w:rsid w:val="00BD4E39"/>
    <w:rsid w:val="00BD4FDC"/>
    <w:rsid w:val="00BD519A"/>
    <w:rsid w:val="00BD5300"/>
    <w:rsid w:val="00BD54E8"/>
    <w:rsid w:val="00BD54E9"/>
    <w:rsid w:val="00BD57F5"/>
    <w:rsid w:val="00BD596F"/>
    <w:rsid w:val="00BD5AD8"/>
    <w:rsid w:val="00BD5B9A"/>
    <w:rsid w:val="00BD5BA4"/>
    <w:rsid w:val="00BD5C08"/>
    <w:rsid w:val="00BD5DF8"/>
    <w:rsid w:val="00BD5FEA"/>
    <w:rsid w:val="00BD61A2"/>
    <w:rsid w:val="00BD62AD"/>
    <w:rsid w:val="00BD63F0"/>
    <w:rsid w:val="00BD6453"/>
    <w:rsid w:val="00BD6749"/>
    <w:rsid w:val="00BD686F"/>
    <w:rsid w:val="00BD6945"/>
    <w:rsid w:val="00BD695B"/>
    <w:rsid w:val="00BD6A0E"/>
    <w:rsid w:val="00BD6A49"/>
    <w:rsid w:val="00BD6A9F"/>
    <w:rsid w:val="00BD6B00"/>
    <w:rsid w:val="00BD6B8F"/>
    <w:rsid w:val="00BD6C9F"/>
    <w:rsid w:val="00BD6CB0"/>
    <w:rsid w:val="00BD6D07"/>
    <w:rsid w:val="00BD6D60"/>
    <w:rsid w:val="00BD6DBD"/>
    <w:rsid w:val="00BD6DE5"/>
    <w:rsid w:val="00BD6E7B"/>
    <w:rsid w:val="00BD6FF2"/>
    <w:rsid w:val="00BD705F"/>
    <w:rsid w:val="00BD71F9"/>
    <w:rsid w:val="00BD72F7"/>
    <w:rsid w:val="00BD7509"/>
    <w:rsid w:val="00BD75B5"/>
    <w:rsid w:val="00BD75D2"/>
    <w:rsid w:val="00BD75FB"/>
    <w:rsid w:val="00BD763C"/>
    <w:rsid w:val="00BD775E"/>
    <w:rsid w:val="00BD7894"/>
    <w:rsid w:val="00BD792F"/>
    <w:rsid w:val="00BD793C"/>
    <w:rsid w:val="00BD7A00"/>
    <w:rsid w:val="00BD7A35"/>
    <w:rsid w:val="00BD7B17"/>
    <w:rsid w:val="00BD7B64"/>
    <w:rsid w:val="00BD7BA9"/>
    <w:rsid w:val="00BD7CC9"/>
    <w:rsid w:val="00BD7E31"/>
    <w:rsid w:val="00BD7EC4"/>
    <w:rsid w:val="00BD7FE8"/>
    <w:rsid w:val="00BE007F"/>
    <w:rsid w:val="00BE0114"/>
    <w:rsid w:val="00BE01FF"/>
    <w:rsid w:val="00BE03C8"/>
    <w:rsid w:val="00BE0616"/>
    <w:rsid w:val="00BE06A4"/>
    <w:rsid w:val="00BE0705"/>
    <w:rsid w:val="00BE0779"/>
    <w:rsid w:val="00BE0849"/>
    <w:rsid w:val="00BE0A21"/>
    <w:rsid w:val="00BE0A3C"/>
    <w:rsid w:val="00BE0AD4"/>
    <w:rsid w:val="00BE0AFF"/>
    <w:rsid w:val="00BE0BDB"/>
    <w:rsid w:val="00BE0DDF"/>
    <w:rsid w:val="00BE0E40"/>
    <w:rsid w:val="00BE0FC7"/>
    <w:rsid w:val="00BE1001"/>
    <w:rsid w:val="00BE10A9"/>
    <w:rsid w:val="00BE11D5"/>
    <w:rsid w:val="00BE12D5"/>
    <w:rsid w:val="00BE132C"/>
    <w:rsid w:val="00BE1470"/>
    <w:rsid w:val="00BE1480"/>
    <w:rsid w:val="00BE1585"/>
    <w:rsid w:val="00BE18DB"/>
    <w:rsid w:val="00BE1C5D"/>
    <w:rsid w:val="00BE1C64"/>
    <w:rsid w:val="00BE1C70"/>
    <w:rsid w:val="00BE1CFF"/>
    <w:rsid w:val="00BE1E76"/>
    <w:rsid w:val="00BE1F84"/>
    <w:rsid w:val="00BE1FDB"/>
    <w:rsid w:val="00BE207D"/>
    <w:rsid w:val="00BE2132"/>
    <w:rsid w:val="00BE221D"/>
    <w:rsid w:val="00BE2473"/>
    <w:rsid w:val="00BE256C"/>
    <w:rsid w:val="00BE2739"/>
    <w:rsid w:val="00BE2872"/>
    <w:rsid w:val="00BE28C2"/>
    <w:rsid w:val="00BE28C6"/>
    <w:rsid w:val="00BE2C98"/>
    <w:rsid w:val="00BE2EC3"/>
    <w:rsid w:val="00BE2F82"/>
    <w:rsid w:val="00BE2F91"/>
    <w:rsid w:val="00BE31DF"/>
    <w:rsid w:val="00BE33C4"/>
    <w:rsid w:val="00BE3571"/>
    <w:rsid w:val="00BE35BA"/>
    <w:rsid w:val="00BE3650"/>
    <w:rsid w:val="00BE367C"/>
    <w:rsid w:val="00BE38B9"/>
    <w:rsid w:val="00BE39E2"/>
    <w:rsid w:val="00BE3B88"/>
    <w:rsid w:val="00BE3C87"/>
    <w:rsid w:val="00BE3D3D"/>
    <w:rsid w:val="00BE3DDC"/>
    <w:rsid w:val="00BE3E00"/>
    <w:rsid w:val="00BE3ED5"/>
    <w:rsid w:val="00BE3F0A"/>
    <w:rsid w:val="00BE3FEE"/>
    <w:rsid w:val="00BE4043"/>
    <w:rsid w:val="00BE40EA"/>
    <w:rsid w:val="00BE4111"/>
    <w:rsid w:val="00BE411C"/>
    <w:rsid w:val="00BE4129"/>
    <w:rsid w:val="00BE41EB"/>
    <w:rsid w:val="00BE43A8"/>
    <w:rsid w:val="00BE43F7"/>
    <w:rsid w:val="00BE43F9"/>
    <w:rsid w:val="00BE4561"/>
    <w:rsid w:val="00BE47CA"/>
    <w:rsid w:val="00BE4872"/>
    <w:rsid w:val="00BE4A20"/>
    <w:rsid w:val="00BE4A51"/>
    <w:rsid w:val="00BE4B0E"/>
    <w:rsid w:val="00BE4BC8"/>
    <w:rsid w:val="00BE4C07"/>
    <w:rsid w:val="00BE4C5D"/>
    <w:rsid w:val="00BE4CE8"/>
    <w:rsid w:val="00BE4DBE"/>
    <w:rsid w:val="00BE4F3B"/>
    <w:rsid w:val="00BE526E"/>
    <w:rsid w:val="00BE53F4"/>
    <w:rsid w:val="00BE5476"/>
    <w:rsid w:val="00BE54BB"/>
    <w:rsid w:val="00BE54E4"/>
    <w:rsid w:val="00BE5609"/>
    <w:rsid w:val="00BE5647"/>
    <w:rsid w:val="00BE566A"/>
    <w:rsid w:val="00BE5793"/>
    <w:rsid w:val="00BE5A72"/>
    <w:rsid w:val="00BE5A9E"/>
    <w:rsid w:val="00BE5C21"/>
    <w:rsid w:val="00BE5C75"/>
    <w:rsid w:val="00BE5D3E"/>
    <w:rsid w:val="00BE5E2B"/>
    <w:rsid w:val="00BE5E4B"/>
    <w:rsid w:val="00BE5EDD"/>
    <w:rsid w:val="00BE6226"/>
    <w:rsid w:val="00BE6230"/>
    <w:rsid w:val="00BE63E0"/>
    <w:rsid w:val="00BE64B6"/>
    <w:rsid w:val="00BE655F"/>
    <w:rsid w:val="00BE66A2"/>
    <w:rsid w:val="00BE66DC"/>
    <w:rsid w:val="00BE6706"/>
    <w:rsid w:val="00BE6782"/>
    <w:rsid w:val="00BE67BA"/>
    <w:rsid w:val="00BE6894"/>
    <w:rsid w:val="00BE68EE"/>
    <w:rsid w:val="00BE69B0"/>
    <w:rsid w:val="00BE6A47"/>
    <w:rsid w:val="00BE6AE1"/>
    <w:rsid w:val="00BE6F58"/>
    <w:rsid w:val="00BE71D5"/>
    <w:rsid w:val="00BE71F6"/>
    <w:rsid w:val="00BE7213"/>
    <w:rsid w:val="00BE73BE"/>
    <w:rsid w:val="00BE74DB"/>
    <w:rsid w:val="00BE76BA"/>
    <w:rsid w:val="00BE7720"/>
    <w:rsid w:val="00BE7843"/>
    <w:rsid w:val="00BE78AA"/>
    <w:rsid w:val="00BE7977"/>
    <w:rsid w:val="00BE7A02"/>
    <w:rsid w:val="00BE7ADF"/>
    <w:rsid w:val="00BE7B1C"/>
    <w:rsid w:val="00BE7B6F"/>
    <w:rsid w:val="00BE7CFE"/>
    <w:rsid w:val="00BE7D2D"/>
    <w:rsid w:val="00BE7D92"/>
    <w:rsid w:val="00BE7EAD"/>
    <w:rsid w:val="00BE7EB8"/>
    <w:rsid w:val="00BE7F03"/>
    <w:rsid w:val="00BF00C0"/>
    <w:rsid w:val="00BF00EC"/>
    <w:rsid w:val="00BF02D4"/>
    <w:rsid w:val="00BF0386"/>
    <w:rsid w:val="00BF040F"/>
    <w:rsid w:val="00BF0421"/>
    <w:rsid w:val="00BF0716"/>
    <w:rsid w:val="00BF0830"/>
    <w:rsid w:val="00BF088E"/>
    <w:rsid w:val="00BF0967"/>
    <w:rsid w:val="00BF0ABF"/>
    <w:rsid w:val="00BF0DAC"/>
    <w:rsid w:val="00BF0DE1"/>
    <w:rsid w:val="00BF0F12"/>
    <w:rsid w:val="00BF0F82"/>
    <w:rsid w:val="00BF0FE4"/>
    <w:rsid w:val="00BF10CB"/>
    <w:rsid w:val="00BF10ED"/>
    <w:rsid w:val="00BF13CF"/>
    <w:rsid w:val="00BF1435"/>
    <w:rsid w:val="00BF1608"/>
    <w:rsid w:val="00BF168E"/>
    <w:rsid w:val="00BF172E"/>
    <w:rsid w:val="00BF1789"/>
    <w:rsid w:val="00BF17C8"/>
    <w:rsid w:val="00BF191B"/>
    <w:rsid w:val="00BF1B9D"/>
    <w:rsid w:val="00BF1BC3"/>
    <w:rsid w:val="00BF1BE5"/>
    <w:rsid w:val="00BF1C04"/>
    <w:rsid w:val="00BF1C6A"/>
    <w:rsid w:val="00BF1CA2"/>
    <w:rsid w:val="00BF1D3B"/>
    <w:rsid w:val="00BF1DCE"/>
    <w:rsid w:val="00BF1F97"/>
    <w:rsid w:val="00BF1FB8"/>
    <w:rsid w:val="00BF204E"/>
    <w:rsid w:val="00BF21A5"/>
    <w:rsid w:val="00BF2249"/>
    <w:rsid w:val="00BF2394"/>
    <w:rsid w:val="00BF288B"/>
    <w:rsid w:val="00BF29B6"/>
    <w:rsid w:val="00BF2A10"/>
    <w:rsid w:val="00BF2A11"/>
    <w:rsid w:val="00BF2AD3"/>
    <w:rsid w:val="00BF2B07"/>
    <w:rsid w:val="00BF2BA9"/>
    <w:rsid w:val="00BF2DED"/>
    <w:rsid w:val="00BF2E9C"/>
    <w:rsid w:val="00BF2F0C"/>
    <w:rsid w:val="00BF2F85"/>
    <w:rsid w:val="00BF31F5"/>
    <w:rsid w:val="00BF3355"/>
    <w:rsid w:val="00BF3366"/>
    <w:rsid w:val="00BF33AA"/>
    <w:rsid w:val="00BF33E7"/>
    <w:rsid w:val="00BF345E"/>
    <w:rsid w:val="00BF3474"/>
    <w:rsid w:val="00BF3571"/>
    <w:rsid w:val="00BF35ED"/>
    <w:rsid w:val="00BF35FD"/>
    <w:rsid w:val="00BF3624"/>
    <w:rsid w:val="00BF3633"/>
    <w:rsid w:val="00BF375E"/>
    <w:rsid w:val="00BF387F"/>
    <w:rsid w:val="00BF38FD"/>
    <w:rsid w:val="00BF3B3B"/>
    <w:rsid w:val="00BF3C8D"/>
    <w:rsid w:val="00BF3CE3"/>
    <w:rsid w:val="00BF3E21"/>
    <w:rsid w:val="00BF3E49"/>
    <w:rsid w:val="00BF3F1B"/>
    <w:rsid w:val="00BF4129"/>
    <w:rsid w:val="00BF4354"/>
    <w:rsid w:val="00BF43BF"/>
    <w:rsid w:val="00BF44B1"/>
    <w:rsid w:val="00BF46DF"/>
    <w:rsid w:val="00BF4781"/>
    <w:rsid w:val="00BF481B"/>
    <w:rsid w:val="00BF485F"/>
    <w:rsid w:val="00BF4B20"/>
    <w:rsid w:val="00BF4B8D"/>
    <w:rsid w:val="00BF4D92"/>
    <w:rsid w:val="00BF4F43"/>
    <w:rsid w:val="00BF513B"/>
    <w:rsid w:val="00BF5483"/>
    <w:rsid w:val="00BF54AE"/>
    <w:rsid w:val="00BF55A8"/>
    <w:rsid w:val="00BF56AD"/>
    <w:rsid w:val="00BF56F1"/>
    <w:rsid w:val="00BF5705"/>
    <w:rsid w:val="00BF586F"/>
    <w:rsid w:val="00BF58DE"/>
    <w:rsid w:val="00BF5942"/>
    <w:rsid w:val="00BF5A10"/>
    <w:rsid w:val="00BF5A55"/>
    <w:rsid w:val="00BF5A8A"/>
    <w:rsid w:val="00BF5B03"/>
    <w:rsid w:val="00BF5C19"/>
    <w:rsid w:val="00BF5DCD"/>
    <w:rsid w:val="00BF5EFE"/>
    <w:rsid w:val="00BF62CA"/>
    <w:rsid w:val="00BF63C5"/>
    <w:rsid w:val="00BF6400"/>
    <w:rsid w:val="00BF6723"/>
    <w:rsid w:val="00BF6802"/>
    <w:rsid w:val="00BF68AB"/>
    <w:rsid w:val="00BF68AC"/>
    <w:rsid w:val="00BF6993"/>
    <w:rsid w:val="00BF6A48"/>
    <w:rsid w:val="00BF6AC4"/>
    <w:rsid w:val="00BF6B2B"/>
    <w:rsid w:val="00BF6CBD"/>
    <w:rsid w:val="00BF6D33"/>
    <w:rsid w:val="00BF6E14"/>
    <w:rsid w:val="00BF6F27"/>
    <w:rsid w:val="00BF7103"/>
    <w:rsid w:val="00BF74AB"/>
    <w:rsid w:val="00BF74C3"/>
    <w:rsid w:val="00BF769C"/>
    <w:rsid w:val="00BF7854"/>
    <w:rsid w:val="00BF7863"/>
    <w:rsid w:val="00BF78FD"/>
    <w:rsid w:val="00BF7A1A"/>
    <w:rsid w:val="00BF7B6B"/>
    <w:rsid w:val="00BF7C4E"/>
    <w:rsid w:val="00BF7D4D"/>
    <w:rsid w:val="00BF7DFB"/>
    <w:rsid w:val="00BF7EC7"/>
    <w:rsid w:val="00BF7FD6"/>
    <w:rsid w:val="00BF7FE9"/>
    <w:rsid w:val="00C00049"/>
    <w:rsid w:val="00C000EE"/>
    <w:rsid w:val="00C00224"/>
    <w:rsid w:val="00C0022B"/>
    <w:rsid w:val="00C00530"/>
    <w:rsid w:val="00C006DC"/>
    <w:rsid w:val="00C008B4"/>
    <w:rsid w:val="00C00923"/>
    <w:rsid w:val="00C00935"/>
    <w:rsid w:val="00C00995"/>
    <w:rsid w:val="00C009FD"/>
    <w:rsid w:val="00C00AB2"/>
    <w:rsid w:val="00C00D1D"/>
    <w:rsid w:val="00C00DFC"/>
    <w:rsid w:val="00C00E1C"/>
    <w:rsid w:val="00C00E74"/>
    <w:rsid w:val="00C00EC7"/>
    <w:rsid w:val="00C00ECD"/>
    <w:rsid w:val="00C00ED1"/>
    <w:rsid w:val="00C00EE5"/>
    <w:rsid w:val="00C01076"/>
    <w:rsid w:val="00C0119B"/>
    <w:rsid w:val="00C011B2"/>
    <w:rsid w:val="00C01272"/>
    <w:rsid w:val="00C012F6"/>
    <w:rsid w:val="00C01325"/>
    <w:rsid w:val="00C0136B"/>
    <w:rsid w:val="00C013E9"/>
    <w:rsid w:val="00C014B0"/>
    <w:rsid w:val="00C014D9"/>
    <w:rsid w:val="00C014DC"/>
    <w:rsid w:val="00C01518"/>
    <w:rsid w:val="00C0157B"/>
    <w:rsid w:val="00C015D3"/>
    <w:rsid w:val="00C01717"/>
    <w:rsid w:val="00C0180F"/>
    <w:rsid w:val="00C01826"/>
    <w:rsid w:val="00C0197E"/>
    <w:rsid w:val="00C01A27"/>
    <w:rsid w:val="00C01AAE"/>
    <w:rsid w:val="00C01AB8"/>
    <w:rsid w:val="00C01B97"/>
    <w:rsid w:val="00C01C22"/>
    <w:rsid w:val="00C01DA4"/>
    <w:rsid w:val="00C01DCB"/>
    <w:rsid w:val="00C01EE9"/>
    <w:rsid w:val="00C01F7F"/>
    <w:rsid w:val="00C01FE0"/>
    <w:rsid w:val="00C02110"/>
    <w:rsid w:val="00C02243"/>
    <w:rsid w:val="00C02273"/>
    <w:rsid w:val="00C02377"/>
    <w:rsid w:val="00C023FA"/>
    <w:rsid w:val="00C02587"/>
    <w:rsid w:val="00C025E8"/>
    <w:rsid w:val="00C025F3"/>
    <w:rsid w:val="00C02606"/>
    <w:rsid w:val="00C0280E"/>
    <w:rsid w:val="00C029A7"/>
    <w:rsid w:val="00C02C30"/>
    <w:rsid w:val="00C02CCE"/>
    <w:rsid w:val="00C02EFF"/>
    <w:rsid w:val="00C02F82"/>
    <w:rsid w:val="00C0341B"/>
    <w:rsid w:val="00C0372B"/>
    <w:rsid w:val="00C0374A"/>
    <w:rsid w:val="00C038C2"/>
    <w:rsid w:val="00C03AC6"/>
    <w:rsid w:val="00C03B80"/>
    <w:rsid w:val="00C03BE4"/>
    <w:rsid w:val="00C03EBC"/>
    <w:rsid w:val="00C03EF7"/>
    <w:rsid w:val="00C041AB"/>
    <w:rsid w:val="00C041F4"/>
    <w:rsid w:val="00C042FD"/>
    <w:rsid w:val="00C0445D"/>
    <w:rsid w:val="00C044A8"/>
    <w:rsid w:val="00C04649"/>
    <w:rsid w:val="00C0499D"/>
    <w:rsid w:val="00C04A55"/>
    <w:rsid w:val="00C04B16"/>
    <w:rsid w:val="00C04CF0"/>
    <w:rsid w:val="00C04D04"/>
    <w:rsid w:val="00C04DA6"/>
    <w:rsid w:val="00C05358"/>
    <w:rsid w:val="00C05377"/>
    <w:rsid w:val="00C0549B"/>
    <w:rsid w:val="00C055F2"/>
    <w:rsid w:val="00C05607"/>
    <w:rsid w:val="00C05709"/>
    <w:rsid w:val="00C05882"/>
    <w:rsid w:val="00C058A4"/>
    <w:rsid w:val="00C0595D"/>
    <w:rsid w:val="00C05B2A"/>
    <w:rsid w:val="00C05DC8"/>
    <w:rsid w:val="00C05E12"/>
    <w:rsid w:val="00C05E13"/>
    <w:rsid w:val="00C05E32"/>
    <w:rsid w:val="00C05FB7"/>
    <w:rsid w:val="00C05FD5"/>
    <w:rsid w:val="00C0607D"/>
    <w:rsid w:val="00C0630F"/>
    <w:rsid w:val="00C063BA"/>
    <w:rsid w:val="00C06530"/>
    <w:rsid w:val="00C0658D"/>
    <w:rsid w:val="00C06653"/>
    <w:rsid w:val="00C0684C"/>
    <w:rsid w:val="00C068BF"/>
    <w:rsid w:val="00C0691E"/>
    <w:rsid w:val="00C06C7E"/>
    <w:rsid w:val="00C06CA8"/>
    <w:rsid w:val="00C06D7E"/>
    <w:rsid w:val="00C06E53"/>
    <w:rsid w:val="00C06E56"/>
    <w:rsid w:val="00C06EBC"/>
    <w:rsid w:val="00C06F01"/>
    <w:rsid w:val="00C06F8E"/>
    <w:rsid w:val="00C07054"/>
    <w:rsid w:val="00C0706F"/>
    <w:rsid w:val="00C070E0"/>
    <w:rsid w:val="00C071CB"/>
    <w:rsid w:val="00C071E5"/>
    <w:rsid w:val="00C07203"/>
    <w:rsid w:val="00C07309"/>
    <w:rsid w:val="00C0731F"/>
    <w:rsid w:val="00C0732B"/>
    <w:rsid w:val="00C07370"/>
    <w:rsid w:val="00C07459"/>
    <w:rsid w:val="00C0745B"/>
    <w:rsid w:val="00C0746F"/>
    <w:rsid w:val="00C0768C"/>
    <w:rsid w:val="00C077F4"/>
    <w:rsid w:val="00C07CE1"/>
    <w:rsid w:val="00C07D41"/>
    <w:rsid w:val="00C07D90"/>
    <w:rsid w:val="00C07EFF"/>
    <w:rsid w:val="00C07FFC"/>
    <w:rsid w:val="00C1000B"/>
    <w:rsid w:val="00C1011A"/>
    <w:rsid w:val="00C102B8"/>
    <w:rsid w:val="00C1039E"/>
    <w:rsid w:val="00C103D4"/>
    <w:rsid w:val="00C10418"/>
    <w:rsid w:val="00C104EF"/>
    <w:rsid w:val="00C1051C"/>
    <w:rsid w:val="00C10819"/>
    <w:rsid w:val="00C1096C"/>
    <w:rsid w:val="00C109AD"/>
    <w:rsid w:val="00C10AE7"/>
    <w:rsid w:val="00C10B03"/>
    <w:rsid w:val="00C10E97"/>
    <w:rsid w:val="00C10F04"/>
    <w:rsid w:val="00C10F05"/>
    <w:rsid w:val="00C11060"/>
    <w:rsid w:val="00C110F9"/>
    <w:rsid w:val="00C1138C"/>
    <w:rsid w:val="00C114D7"/>
    <w:rsid w:val="00C114E7"/>
    <w:rsid w:val="00C11507"/>
    <w:rsid w:val="00C1152E"/>
    <w:rsid w:val="00C115D5"/>
    <w:rsid w:val="00C115DF"/>
    <w:rsid w:val="00C115EE"/>
    <w:rsid w:val="00C11728"/>
    <w:rsid w:val="00C11754"/>
    <w:rsid w:val="00C117A3"/>
    <w:rsid w:val="00C117AE"/>
    <w:rsid w:val="00C117F8"/>
    <w:rsid w:val="00C11816"/>
    <w:rsid w:val="00C11820"/>
    <w:rsid w:val="00C11A3E"/>
    <w:rsid w:val="00C11A82"/>
    <w:rsid w:val="00C11CB0"/>
    <w:rsid w:val="00C11D45"/>
    <w:rsid w:val="00C11E87"/>
    <w:rsid w:val="00C11FA0"/>
    <w:rsid w:val="00C11FA1"/>
    <w:rsid w:val="00C11FF8"/>
    <w:rsid w:val="00C12023"/>
    <w:rsid w:val="00C12033"/>
    <w:rsid w:val="00C12040"/>
    <w:rsid w:val="00C12061"/>
    <w:rsid w:val="00C12093"/>
    <w:rsid w:val="00C120C4"/>
    <w:rsid w:val="00C1215C"/>
    <w:rsid w:val="00C12236"/>
    <w:rsid w:val="00C125E5"/>
    <w:rsid w:val="00C1260D"/>
    <w:rsid w:val="00C126FB"/>
    <w:rsid w:val="00C128E7"/>
    <w:rsid w:val="00C12A3F"/>
    <w:rsid w:val="00C12A5A"/>
    <w:rsid w:val="00C12AFD"/>
    <w:rsid w:val="00C12B8D"/>
    <w:rsid w:val="00C12B95"/>
    <w:rsid w:val="00C12BC8"/>
    <w:rsid w:val="00C12BCE"/>
    <w:rsid w:val="00C12BF2"/>
    <w:rsid w:val="00C12C58"/>
    <w:rsid w:val="00C12D20"/>
    <w:rsid w:val="00C12D2C"/>
    <w:rsid w:val="00C12DE6"/>
    <w:rsid w:val="00C13028"/>
    <w:rsid w:val="00C13556"/>
    <w:rsid w:val="00C13596"/>
    <w:rsid w:val="00C13744"/>
    <w:rsid w:val="00C1396D"/>
    <w:rsid w:val="00C13B5E"/>
    <w:rsid w:val="00C13E23"/>
    <w:rsid w:val="00C13E90"/>
    <w:rsid w:val="00C13ED2"/>
    <w:rsid w:val="00C13EED"/>
    <w:rsid w:val="00C1400A"/>
    <w:rsid w:val="00C141CC"/>
    <w:rsid w:val="00C142ED"/>
    <w:rsid w:val="00C142FC"/>
    <w:rsid w:val="00C14345"/>
    <w:rsid w:val="00C146A7"/>
    <w:rsid w:val="00C146CA"/>
    <w:rsid w:val="00C147A3"/>
    <w:rsid w:val="00C148A4"/>
    <w:rsid w:val="00C148DF"/>
    <w:rsid w:val="00C14A33"/>
    <w:rsid w:val="00C14A6A"/>
    <w:rsid w:val="00C14AD5"/>
    <w:rsid w:val="00C14B0E"/>
    <w:rsid w:val="00C14B85"/>
    <w:rsid w:val="00C14C5F"/>
    <w:rsid w:val="00C14C62"/>
    <w:rsid w:val="00C14C7F"/>
    <w:rsid w:val="00C14FA1"/>
    <w:rsid w:val="00C15027"/>
    <w:rsid w:val="00C150E1"/>
    <w:rsid w:val="00C150E4"/>
    <w:rsid w:val="00C15240"/>
    <w:rsid w:val="00C1524A"/>
    <w:rsid w:val="00C1525E"/>
    <w:rsid w:val="00C153FE"/>
    <w:rsid w:val="00C1556F"/>
    <w:rsid w:val="00C15606"/>
    <w:rsid w:val="00C1577E"/>
    <w:rsid w:val="00C159B9"/>
    <w:rsid w:val="00C15A74"/>
    <w:rsid w:val="00C15B9B"/>
    <w:rsid w:val="00C15C53"/>
    <w:rsid w:val="00C15C8D"/>
    <w:rsid w:val="00C15CE4"/>
    <w:rsid w:val="00C15E43"/>
    <w:rsid w:val="00C15F55"/>
    <w:rsid w:val="00C15FA8"/>
    <w:rsid w:val="00C15FDD"/>
    <w:rsid w:val="00C161BC"/>
    <w:rsid w:val="00C161E9"/>
    <w:rsid w:val="00C16221"/>
    <w:rsid w:val="00C162D4"/>
    <w:rsid w:val="00C163C4"/>
    <w:rsid w:val="00C1648D"/>
    <w:rsid w:val="00C166D9"/>
    <w:rsid w:val="00C168A2"/>
    <w:rsid w:val="00C168CE"/>
    <w:rsid w:val="00C16A48"/>
    <w:rsid w:val="00C16A7A"/>
    <w:rsid w:val="00C16C9F"/>
    <w:rsid w:val="00C16CCE"/>
    <w:rsid w:val="00C16E01"/>
    <w:rsid w:val="00C16E0D"/>
    <w:rsid w:val="00C16E6B"/>
    <w:rsid w:val="00C16FFE"/>
    <w:rsid w:val="00C17083"/>
    <w:rsid w:val="00C17161"/>
    <w:rsid w:val="00C17283"/>
    <w:rsid w:val="00C1732B"/>
    <w:rsid w:val="00C174CB"/>
    <w:rsid w:val="00C175A0"/>
    <w:rsid w:val="00C175D4"/>
    <w:rsid w:val="00C17635"/>
    <w:rsid w:val="00C176C5"/>
    <w:rsid w:val="00C176D6"/>
    <w:rsid w:val="00C17846"/>
    <w:rsid w:val="00C17A17"/>
    <w:rsid w:val="00C17B2A"/>
    <w:rsid w:val="00C17C45"/>
    <w:rsid w:val="00C17CFB"/>
    <w:rsid w:val="00C17E22"/>
    <w:rsid w:val="00C17F1B"/>
    <w:rsid w:val="00C17F2F"/>
    <w:rsid w:val="00C2010A"/>
    <w:rsid w:val="00C20113"/>
    <w:rsid w:val="00C201D5"/>
    <w:rsid w:val="00C202FF"/>
    <w:rsid w:val="00C2030D"/>
    <w:rsid w:val="00C2037D"/>
    <w:rsid w:val="00C203BB"/>
    <w:rsid w:val="00C2040E"/>
    <w:rsid w:val="00C20477"/>
    <w:rsid w:val="00C205F7"/>
    <w:rsid w:val="00C2060E"/>
    <w:rsid w:val="00C20614"/>
    <w:rsid w:val="00C20642"/>
    <w:rsid w:val="00C2065F"/>
    <w:rsid w:val="00C209F0"/>
    <w:rsid w:val="00C20A00"/>
    <w:rsid w:val="00C20B0D"/>
    <w:rsid w:val="00C20C1A"/>
    <w:rsid w:val="00C20C59"/>
    <w:rsid w:val="00C20CC4"/>
    <w:rsid w:val="00C20D8A"/>
    <w:rsid w:val="00C20DFD"/>
    <w:rsid w:val="00C21056"/>
    <w:rsid w:val="00C211D5"/>
    <w:rsid w:val="00C21245"/>
    <w:rsid w:val="00C213C0"/>
    <w:rsid w:val="00C21515"/>
    <w:rsid w:val="00C21563"/>
    <w:rsid w:val="00C21685"/>
    <w:rsid w:val="00C21704"/>
    <w:rsid w:val="00C2172E"/>
    <w:rsid w:val="00C2177C"/>
    <w:rsid w:val="00C217FF"/>
    <w:rsid w:val="00C21826"/>
    <w:rsid w:val="00C218C3"/>
    <w:rsid w:val="00C21BB9"/>
    <w:rsid w:val="00C21DCE"/>
    <w:rsid w:val="00C22009"/>
    <w:rsid w:val="00C2207B"/>
    <w:rsid w:val="00C22088"/>
    <w:rsid w:val="00C22271"/>
    <w:rsid w:val="00C223E9"/>
    <w:rsid w:val="00C2255A"/>
    <w:rsid w:val="00C22593"/>
    <w:rsid w:val="00C225E6"/>
    <w:rsid w:val="00C225FF"/>
    <w:rsid w:val="00C226DC"/>
    <w:rsid w:val="00C228AF"/>
    <w:rsid w:val="00C22998"/>
    <w:rsid w:val="00C229B6"/>
    <w:rsid w:val="00C22AFB"/>
    <w:rsid w:val="00C22B94"/>
    <w:rsid w:val="00C22C3A"/>
    <w:rsid w:val="00C22C47"/>
    <w:rsid w:val="00C22D5C"/>
    <w:rsid w:val="00C22EA3"/>
    <w:rsid w:val="00C22EA6"/>
    <w:rsid w:val="00C22F3F"/>
    <w:rsid w:val="00C230C7"/>
    <w:rsid w:val="00C232C4"/>
    <w:rsid w:val="00C23338"/>
    <w:rsid w:val="00C2376F"/>
    <w:rsid w:val="00C237B0"/>
    <w:rsid w:val="00C23A25"/>
    <w:rsid w:val="00C23C3A"/>
    <w:rsid w:val="00C23C86"/>
    <w:rsid w:val="00C23D68"/>
    <w:rsid w:val="00C23DC3"/>
    <w:rsid w:val="00C23F24"/>
    <w:rsid w:val="00C23F67"/>
    <w:rsid w:val="00C24251"/>
    <w:rsid w:val="00C2465F"/>
    <w:rsid w:val="00C24677"/>
    <w:rsid w:val="00C247B6"/>
    <w:rsid w:val="00C247F6"/>
    <w:rsid w:val="00C24942"/>
    <w:rsid w:val="00C2494F"/>
    <w:rsid w:val="00C249B7"/>
    <w:rsid w:val="00C24A7E"/>
    <w:rsid w:val="00C24B2B"/>
    <w:rsid w:val="00C24BAD"/>
    <w:rsid w:val="00C24DD3"/>
    <w:rsid w:val="00C24E0A"/>
    <w:rsid w:val="00C24F6E"/>
    <w:rsid w:val="00C24F76"/>
    <w:rsid w:val="00C24FFD"/>
    <w:rsid w:val="00C250B5"/>
    <w:rsid w:val="00C25130"/>
    <w:rsid w:val="00C251C7"/>
    <w:rsid w:val="00C252A8"/>
    <w:rsid w:val="00C252AC"/>
    <w:rsid w:val="00C252CA"/>
    <w:rsid w:val="00C252EF"/>
    <w:rsid w:val="00C2540A"/>
    <w:rsid w:val="00C254E1"/>
    <w:rsid w:val="00C255B2"/>
    <w:rsid w:val="00C255D3"/>
    <w:rsid w:val="00C257AA"/>
    <w:rsid w:val="00C25932"/>
    <w:rsid w:val="00C2599D"/>
    <w:rsid w:val="00C25AB7"/>
    <w:rsid w:val="00C25AC2"/>
    <w:rsid w:val="00C25B35"/>
    <w:rsid w:val="00C25C6C"/>
    <w:rsid w:val="00C25CA3"/>
    <w:rsid w:val="00C25E3C"/>
    <w:rsid w:val="00C25E74"/>
    <w:rsid w:val="00C25FFB"/>
    <w:rsid w:val="00C26015"/>
    <w:rsid w:val="00C2604B"/>
    <w:rsid w:val="00C260B4"/>
    <w:rsid w:val="00C262E0"/>
    <w:rsid w:val="00C26344"/>
    <w:rsid w:val="00C2652D"/>
    <w:rsid w:val="00C265C4"/>
    <w:rsid w:val="00C26611"/>
    <w:rsid w:val="00C26776"/>
    <w:rsid w:val="00C268D6"/>
    <w:rsid w:val="00C26BC2"/>
    <w:rsid w:val="00C26BFC"/>
    <w:rsid w:val="00C26C79"/>
    <w:rsid w:val="00C26C9C"/>
    <w:rsid w:val="00C26D73"/>
    <w:rsid w:val="00C26DF2"/>
    <w:rsid w:val="00C26E75"/>
    <w:rsid w:val="00C2712D"/>
    <w:rsid w:val="00C27254"/>
    <w:rsid w:val="00C273A7"/>
    <w:rsid w:val="00C273F8"/>
    <w:rsid w:val="00C2752E"/>
    <w:rsid w:val="00C275A2"/>
    <w:rsid w:val="00C276B8"/>
    <w:rsid w:val="00C27787"/>
    <w:rsid w:val="00C27900"/>
    <w:rsid w:val="00C2790D"/>
    <w:rsid w:val="00C27ABE"/>
    <w:rsid w:val="00C27BBC"/>
    <w:rsid w:val="00C27BC2"/>
    <w:rsid w:val="00C27BE1"/>
    <w:rsid w:val="00C27C7F"/>
    <w:rsid w:val="00C27CA4"/>
    <w:rsid w:val="00C27CD2"/>
    <w:rsid w:val="00C27CE8"/>
    <w:rsid w:val="00C27E1C"/>
    <w:rsid w:val="00C27ED9"/>
    <w:rsid w:val="00C27F0C"/>
    <w:rsid w:val="00C27F44"/>
    <w:rsid w:val="00C300E0"/>
    <w:rsid w:val="00C301C8"/>
    <w:rsid w:val="00C3020E"/>
    <w:rsid w:val="00C304C3"/>
    <w:rsid w:val="00C30544"/>
    <w:rsid w:val="00C30574"/>
    <w:rsid w:val="00C30594"/>
    <w:rsid w:val="00C30680"/>
    <w:rsid w:val="00C306AD"/>
    <w:rsid w:val="00C30714"/>
    <w:rsid w:val="00C307A7"/>
    <w:rsid w:val="00C3086B"/>
    <w:rsid w:val="00C3096E"/>
    <w:rsid w:val="00C30991"/>
    <w:rsid w:val="00C30A97"/>
    <w:rsid w:val="00C30C1E"/>
    <w:rsid w:val="00C30DFA"/>
    <w:rsid w:val="00C30EAD"/>
    <w:rsid w:val="00C310AA"/>
    <w:rsid w:val="00C311E5"/>
    <w:rsid w:val="00C312E5"/>
    <w:rsid w:val="00C312F7"/>
    <w:rsid w:val="00C313D5"/>
    <w:rsid w:val="00C31446"/>
    <w:rsid w:val="00C31498"/>
    <w:rsid w:val="00C3151C"/>
    <w:rsid w:val="00C315E1"/>
    <w:rsid w:val="00C317A1"/>
    <w:rsid w:val="00C31A25"/>
    <w:rsid w:val="00C31A54"/>
    <w:rsid w:val="00C31A9E"/>
    <w:rsid w:val="00C31DBB"/>
    <w:rsid w:val="00C31E63"/>
    <w:rsid w:val="00C31E9F"/>
    <w:rsid w:val="00C320A0"/>
    <w:rsid w:val="00C320F8"/>
    <w:rsid w:val="00C3220B"/>
    <w:rsid w:val="00C3223D"/>
    <w:rsid w:val="00C323C3"/>
    <w:rsid w:val="00C32506"/>
    <w:rsid w:val="00C326C2"/>
    <w:rsid w:val="00C3274B"/>
    <w:rsid w:val="00C327C3"/>
    <w:rsid w:val="00C327D3"/>
    <w:rsid w:val="00C32A28"/>
    <w:rsid w:val="00C32C99"/>
    <w:rsid w:val="00C32D58"/>
    <w:rsid w:val="00C32F64"/>
    <w:rsid w:val="00C330C3"/>
    <w:rsid w:val="00C33200"/>
    <w:rsid w:val="00C33213"/>
    <w:rsid w:val="00C3354F"/>
    <w:rsid w:val="00C33648"/>
    <w:rsid w:val="00C336B4"/>
    <w:rsid w:val="00C336DE"/>
    <w:rsid w:val="00C33793"/>
    <w:rsid w:val="00C33857"/>
    <w:rsid w:val="00C339C8"/>
    <w:rsid w:val="00C33B5B"/>
    <w:rsid w:val="00C33BCE"/>
    <w:rsid w:val="00C33BE1"/>
    <w:rsid w:val="00C33C3F"/>
    <w:rsid w:val="00C33E5E"/>
    <w:rsid w:val="00C33F5C"/>
    <w:rsid w:val="00C33FAD"/>
    <w:rsid w:val="00C34062"/>
    <w:rsid w:val="00C34112"/>
    <w:rsid w:val="00C34271"/>
    <w:rsid w:val="00C342C4"/>
    <w:rsid w:val="00C34383"/>
    <w:rsid w:val="00C3446A"/>
    <w:rsid w:val="00C3448D"/>
    <w:rsid w:val="00C344A4"/>
    <w:rsid w:val="00C344BE"/>
    <w:rsid w:val="00C347BC"/>
    <w:rsid w:val="00C34AAB"/>
    <w:rsid w:val="00C34ABD"/>
    <w:rsid w:val="00C34AD8"/>
    <w:rsid w:val="00C34B3D"/>
    <w:rsid w:val="00C34C8F"/>
    <w:rsid w:val="00C34CC1"/>
    <w:rsid w:val="00C34D58"/>
    <w:rsid w:val="00C34FEE"/>
    <w:rsid w:val="00C35154"/>
    <w:rsid w:val="00C35218"/>
    <w:rsid w:val="00C35237"/>
    <w:rsid w:val="00C3544D"/>
    <w:rsid w:val="00C354E9"/>
    <w:rsid w:val="00C35698"/>
    <w:rsid w:val="00C35792"/>
    <w:rsid w:val="00C3590B"/>
    <w:rsid w:val="00C359BC"/>
    <w:rsid w:val="00C359D6"/>
    <w:rsid w:val="00C35B17"/>
    <w:rsid w:val="00C35B47"/>
    <w:rsid w:val="00C35BC2"/>
    <w:rsid w:val="00C35CBE"/>
    <w:rsid w:val="00C35FFB"/>
    <w:rsid w:val="00C36016"/>
    <w:rsid w:val="00C361B2"/>
    <w:rsid w:val="00C361BB"/>
    <w:rsid w:val="00C36336"/>
    <w:rsid w:val="00C3637F"/>
    <w:rsid w:val="00C363CE"/>
    <w:rsid w:val="00C3649F"/>
    <w:rsid w:val="00C36511"/>
    <w:rsid w:val="00C3659B"/>
    <w:rsid w:val="00C365F4"/>
    <w:rsid w:val="00C36638"/>
    <w:rsid w:val="00C36668"/>
    <w:rsid w:val="00C3668D"/>
    <w:rsid w:val="00C366FB"/>
    <w:rsid w:val="00C3683A"/>
    <w:rsid w:val="00C369AF"/>
    <w:rsid w:val="00C36BFB"/>
    <w:rsid w:val="00C36CA9"/>
    <w:rsid w:val="00C36E50"/>
    <w:rsid w:val="00C36F83"/>
    <w:rsid w:val="00C37023"/>
    <w:rsid w:val="00C37082"/>
    <w:rsid w:val="00C37137"/>
    <w:rsid w:val="00C371E2"/>
    <w:rsid w:val="00C371FE"/>
    <w:rsid w:val="00C372DC"/>
    <w:rsid w:val="00C373C1"/>
    <w:rsid w:val="00C3756B"/>
    <w:rsid w:val="00C37651"/>
    <w:rsid w:val="00C376B2"/>
    <w:rsid w:val="00C3792A"/>
    <w:rsid w:val="00C37AD1"/>
    <w:rsid w:val="00C37BBF"/>
    <w:rsid w:val="00C37D52"/>
    <w:rsid w:val="00C37E18"/>
    <w:rsid w:val="00C37EEE"/>
    <w:rsid w:val="00C37F88"/>
    <w:rsid w:val="00C37FCB"/>
    <w:rsid w:val="00C4005D"/>
    <w:rsid w:val="00C400EA"/>
    <w:rsid w:val="00C40102"/>
    <w:rsid w:val="00C40168"/>
    <w:rsid w:val="00C4028D"/>
    <w:rsid w:val="00C4042A"/>
    <w:rsid w:val="00C40432"/>
    <w:rsid w:val="00C405F5"/>
    <w:rsid w:val="00C40610"/>
    <w:rsid w:val="00C40611"/>
    <w:rsid w:val="00C40741"/>
    <w:rsid w:val="00C40871"/>
    <w:rsid w:val="00C40A65"/>
    <w:rsid w:val="00C40AF3"/>
    <w:rsid w:val="00C40BFA"/>
    <w:rsid w:val="00C40C59"/>
    <w:rsid w:val="00C40CE9"/>
    <w:rsid w:val="00C40CF2"/>
    <w:rsid w:val="00C40F84"/>
    <w:rsid w:val="00C4117B"/>
    <w:rsid w:val="00C411C7"/>
    <w:rsid w:val="00C41274"/>
    <w:rsid w:val="00C41333"/>
    <w:rsid w:val="00C41468"/>
    <w:rsid w:val="00C41612"/>
    <w:rsid w:val="00C41796"/>
    <w:rsid w:val="00C41863"/>
    <w:rsid w:val="00C41B35"/>
    <w:rsid w:val="00C41BE7"/>
    <w:rsid w:val="00C41D5E"/>
    <w:rsid w:val="00C41E05"/>
    <w:rsid w:val="00C41E2E"/>
    <w:rsid w:val="00C41EA8"/>
    <w:rsid w:val="00C4203E"/>
    <w:rsid w:val="00C421DE"/>
    <w:rsid w:val="00C42317"/>
    <w:rsid w:val="00C423DD"/>
    <w:rsid w:val="00C42633"/>
    <w:rsid w:val="00C42825"/>
    <w:rsid w:val="00C42AB1"/>
    <w:rsid w:val="00C42AC7"/>
    <w:rsid w:val="00C42B2A"/>
    <w:rsid w:val="00C42B75"/>
    <w:rsid w:val="00C42CFC"/>
    <w:rsid w:val="00C42DE4"/>
    <w:rsid w:val="00C42E31"/>
    <w:rsid w:val="00C42E50"/>
    <w:rsid w:val="00C42F24"/>
    <w:rsid w:val="00C43246"/>
    <w:rsid w:val="00C43269"/>
    <w:rsid w:val="00C43291"/>
    <w:rsid w:val="00C4349C"/>
    <w:rsid w:val="00C43523"/>
    <w:rsid w:val="00C435D7"/>
    <w:rsid w:val="00C435D8"/>
    <w:rsid w:val="00C4363C"/>
    <w:rsid w:val="00C4364E"/>
    <w:rsid w:val="00C436D9"/>
    <w:rsid w:val="00C43866"/>
    <w:rsid w:val="00C43914"/>
    <w:rsid w:val="00C43A16"/>
    <w:rsid w:val="00C43A7A"/>
    <w:rsid w:val="00C43AA3"/>
    <w:rsid w:val="00C43ACF"/>
    <w:rsid w:val="00C43AE5"/>
    <w:rsid w:val="00C43BAE"/>
    <w:rsid w:val="00C43C2F"/>
    <w:rsid w:val="00C43F82"/>
    <w:rsid w:val="00C440AF"/>
    <w:rsid w:val="00C442B8"/>
    <w:rsid w:val="00C44312"/>
    <w:rsid w:val="00C443B3"/>
    <w:rsid w:val="00C44431"/>
    <w:rsid w:val="00C4447F"/>
    <w:rsid w:val="00C4452D"/>
    <w:rsid w:val="00C44591"/>
    <w:rsid w:val="00C44634"/>
    <w:rsid w:val="00C44701"/>
    <w:rsid w:val="00C449A4"/>
    <w:rsid w:val="00C44ACC"/>
    <w:rsid w:val="00C44B97"/>
    <w:rsid w:val="00C44DB7"/>
    <w:rsid w:val="00C44E36"/>
    <w:rsid w:val="00C44E59"/>
    <w:rsid w:val="00C44E83"/>
    <w:rsid w:val="00C44F04"/>
    <w:rsid w:val="00C44F07"/>
    <w:rsid w:val="00C4504C"/>
    <w:rsid w:val="00C45113"/>
    <w:rsid w:val="00C451CA"/>
    <w:rsid w:val="00C45309"/>
    <w:rsid w:val="00C4539A"/>
    <w:rsid w:val="00C454EB"/>
    <w:rsid w:val="00C4567E"/>
    <w:rsid w:val="00C456C4"/>
    <w:rsid w:val="00C4583C"/>
    <w:rsid w:val="00C45848"/>
    <w:rsid w:val="00C4594D"/>
    <w:rsid w:val="00C45986"/>
    <w:rsid w:val="00C45AD0"/>
    <w:rsid w:val="00C45AED"/>
    <w:rsid w:val="00C45D26"/>
    <w:rsid w:val="00C45DE8"/>
    <w:rsid w:val="00C45E0F"/>
    <w:rsid w:val="00C45FCF"/>
    <w:rsid w:val="00C460E4"/>
    <w:rsid w:val="00C461C8"/>
    <w:rsid w:val="00C461E0"/>
    <w:rsid w:val="00C46219"/>
    <w:rsid w:val="00C462BF"/>
    <w:rsid w:val="00C462C3"/>
    <w:rsid w:val="00C464C2"/>
    <w:rsid w:val="00C465FE"/>
    <w:rsid w:val="00C46674"/>
    <w:rsid w:val="00C46761"/>
    <w:rsid w:val="00C4680E"/>
    <w:rsid w:val="00C4681B"/>
    <w:rsid w:val="00C46830"/>
    <w:rsid w:val="00C4686C"/>
    <w:rsid w:val="00C4688F"/>
    <w:rsid w:val="00C468A6"/>
    <w:rsid w:val="00C46995"/>
    <w:rsid w:val="00C46AFE"/>
    <w:rsid w:val="00C46B14"/>
    <w:rsid w:val="00C46B17"/>
    <w:rsid w:val="00C46B29"/>
    <w:rsid w:val="00C46B8E"/>
    <w:rsid w:val="00C46C75"/>
    <w:rsid w:val="00C46D15"/>
    <w:rsid w:val="00C46D4D"/>
    <w:rsid w:val="00C46D5C"/>
    <w:rsid w:val="00C46D67"/>
    <w:rsid w:val="00C46DFB"/>
    <w:rsid w:val="00C46F17"/>
    <w:rsid w:val="00C46F28"/>
    <w:rsid w:val="00C46F32"/>
    <w:rsid w:val="00C46F91"/>
    <w:rsid w:val="00C47016"/>
    <w:rsid w:val="00C473D8"/>
    <w:rsid w:val="00C47437"/>
    <w:rsid w:val="00C4751D"/>
    <w:rsid w:val="00C475D7"/>
    <w:rsid w:val="00C4766D"/>
    <w:rsid w:val="00C4768C"/>
    <w:rsid w:val="00C4778D"/>
    <w:rsid w:val="00C478DD"/>
    <w:rsid w:val="00C47A51"/>
    <w:rsid w:val="00C47BF2"/>
    <w:rsid w:val="00C47C5E"/>
    <w:rsid w:val="00C47C98"/>
    <w:rsid w:val="00C47D4E"/>
    <w:rsid w:val="00C47DB8"/>
    <w:rsid w:val="00C47DC1"/>
    <w:rsid w:val="00C47E86"/>
    <w:rsid w:val="00C47F54"/>
    <w:rsid w:val="00C47FA3"/>
    <w:rsid w:val="00C50164"/>
    <w:rsid w:val="00C5018B"/>
    <w:rsid w:val="00C5018E"/>
    <w:rsid w:val="00C502BD"/>
    <w:rsid w:val="00C502C2"/>
    <w:rsid w:val="00C502C8"/>
    <w:rsid w:val="00C50450"/>
    <w:rsid w:val="00C50466"/>
    <w:rsid w:val="00C50521"/>
    <w:rsid w:val="00C506BD"/>
    <w:rsid w:val="00C507B1"/>
    <w:rsid w:val="00C50924"/>
    <w:rsid w:val="00C509E2"/>
    <w:rsid w:val="00C50A39"/>
    <w:rsid w:val="00C50AD6"/>
    <w:rsid w:val="00C50B19"/>
    <w:rsid w:val="00C50B47"/>
    <w:rsid w:val="00C50F17"/>
    <w:rsid w:val="00C50F3D"/>
    <w:rsid w:val="00C50FFA"/>
    <w:rsid w:val="00C51040"/>
    <w:rsid w:val="00C510DE"/>
    <w:rsid w:val="00C5117A"/>
    <w:rsid w:val="00C512D5"/>
    <w:rsid w:val="00C51307"/>
    <w:rsid w:val="00C51393"/>
    <w:rsid w:val="00C513D2"/>
    <w:rsid w:val="00C5158B"/>
    <w:rsid w:val="00C517F0"/>
    <w:rsid w:val="00C518FC"/>
    <w:rsid w:val="00C51949"/>
    <w:rsid w:val="00C519CF"/>
    <w:rsid w:val="00C51A7B"/>
    <w:rsid w:val="00C51B45"/>
    <w:rsid w:val="00C51BD2"/>
    <w:rsid w:val="00C51C07"/>
    <w:rsid w:val="00C51C2A"/>
    <w:rsid w:val="00C51C87"/>
    <w:rsid w:val="00C51D90"/>
    <w:rsid w:val="00C51E2E"/>
    <w:rsid w:val="00C51E42"/>
    <w:rsid w:val="00C51E82"/>
    <w:rsid w:val="00C51F9B"/>
    <w:rsid w:val="00C521D8"/>
    <w:rsid w:val="00C52213"/>
    <w:rsid w:val="00C522F0"/>
    <w:rsid w:val="00C52463"/>
    <w:rsid w:val="00C52491"/>
    <w:rsid w:val="00C5253F"/>
    <w:rsid w:val="00C52630"/>
    <w:rsid w:val="00C526AA"/>
    <w:rsid w:val="00C52714"/>
    <w:rsid w:val="00C52728"/>
    <w:rsid w:val="00C528EF"/>
    <w:rsid w:val="00C52908"/>
    <w:rsid w:val="00C52ACA"/>
    <w:rsid w:val="00C52BA8"/>
    <w:rsid w:val="00C52E51"/>
    <w:rsid w:val="00C52EEC"/>
    <w:rsid w:val="00C52FA8"/>
    <w:rsid w:val="00C52FF5"/>
    <w:rsid w:val="00C53181"/>
    <w:rsid w:val="00C5347F"/>
    <w:rsid w:val="00C5358A"/>
    <w:rsid w:val="00C536E0"/>
    <w:rsid w:val="00C5378F"/>
    <w:rsid w:val="00C53810"/>
    <w:rsid w:val="00C53859"/>
    <w:rsid w:val="00C538C1"/>
    <w:rsid w:val="00C539F9"/>
    <w:rsid w:val="00C539FC"/>
    <w:rsid w:val="00C53A3D"/>
    <w:rsid w:val="00C53A41"/>
    <w:rsid w:val="00C53AE3"/>
    <w:rsid w:val="00C53B43"/>
    <w:rsid w:val="00C53C4B"/>
    <w:rsid w:val="00C53CBA"/>
    <w:rsid w:val="00C53D2A"/>
    <w:rsid w:val="00C53D67"/>
    <w:rsid w:val="00C53DD4"/>
    <w:rsid w:val="00C53E00"/>
    <w:rsid w:val="00C53E97"/>
    <w:rsid w:val="00C53EB1"/>
    <w:rsid w:val="00C54018"/>
    <w:rsid w:val="00C5409C"/>
    <w:rsid w:val="00C5409D"/>
    <w:rsid w:val="00C54191"/>
    <w:rsid w:val="00C541D1"/>
    <w:rsid w:val="00C54341"/>
    <w:rsid w:val="00C5445F"/>
    <w:rsid w:val="00C54485"/>
    <w:rsid w:val="00C54610"/>
    <w:rsid w:val="00C547FD"/>
    <w:rsid w:val="00C5490D"/>
    <w:rsid w:val="00C549DB"/>
    <w:rsid w:val="00C54A80"/>
    <w:rsid w:val="00C54A87"/>
    <w:rsid w:val="00C54ADE"/>
    <w:rsid w:val="00C54B03"/>
    <w:rsid w:val="00C54B5A"/>
    <w:rsid w:val="00C54B6B"/>
    <w:rsid w:val="00C54B6E"/>
    <w:rsid w:val="00C54BBB"/>
    <w:rsid w:val="00C54D4F"/>
    <w:rsid w:val="00C54FAF"/>
    <w:rsid w:val="00C550CC"/>
    <w:rsid w:val="00C551E9"/>
    <w:rsid w:val="00C5541A"/>
    <w:rsid w:val="00C554DC"/>
    <w:rsid w:val="00C55623"/>
    <w:rsid w:val="00C55849"/>
    <w:rsid w:val="00C5589D"/>
    <w:rsid w:val="00C55A95"/>
    <w:rsid w:val="00C55DCB"/>
    <w:rsid w:val="00C55DF4"/>
    <w:rsid w:val="00C55EBB"/>
    <w:rsid w:val="00C55F1D"/>
    <w:rsid w:val="00C55FE2"/>
    <w:rsid w:val="00C56146"/>
    <w:rsid w:val="00C5625F"/>
    <w:rsid w:val="00C562A4"/>
    <w:rsid w:val="00C56335"/>
    <w:rsid w:val="00C563C3"/>
    <w:rsid w:val="00C5644F"/>
    <w:rsid w:val="00C5648C"/>
    <w:rsid w:val="00C56492"/>
    <w:rsid w:val="00C565A8"/>
    <w:rsid w:val="00C565BA"/>
    <w:rsid w:val="00C565FA"/>
    <w:rsid w:val="00C56604"/>
    <w:rsid w:val="00C5669A"/>
    <w:rsid w:val="00C5678C"/>
    <w:rsid w:val="00C567BA"/>
    <w:rsid w:val="00C5687C"/>
    <w:rsid w:val="00C568CA"/>
    <w:rsid w:val="00C568D0"/>
    <w:rsid w:val="00C56986"/>
    <w:rsid w:val="00C56C56"/>
    <w:rsid w:val="00C56E13"/>
    <w:rsid w:val="00C56EEB"/>
    <w:rsid w:val="00C57087"/>
    <w:rsid w:val="00C5708E"/>
    <w:rsid w:val="00C571E9"/>
    <w:rsid w:val="00C57260"/>
    <w:rsid w:val="00C5727C"/>
    <w:rsid w:val="00C57419"/>
    <w:rsid w:val="00C57427"/>
    <w:rsid w:val="00C57447"/>
    <w:rsid w:val="00C57504"/>
    <w:rsid w:val="00C5757F"/>
    <w:rsid w:val="00C575E6"/>
    <w:rsid w:val="00C575E7"/>
    <w:rsid w:val="00C57897"/>
    <w:rsid w:val="00C57940"/>
    <w:rsid w:val="00C57AF0"/>
    <w:rsid w:val="00C57BBD"/>
    <w:rsid w:val="00C57C33"/>
    <w:rsid w:val="00C57C5A"/>
    <w:rsid w:val="00C57CC9"/>
    <w:rsid w:val="00C57E16"/>
    <w:rsid w:val="00C57E3B"/>
    <w:rsid w:val="00C57E44"/>
    <w:rsid w:val="00C57E7C"/>
    <w:rsid w:val="00C57E9A"/>
    <w:rsid w:val="00C57EC7"/>
    <w:rsid w:val="00C57F53"/>
    <w:rsid w:val="00C57FAF"/>
    <w:rsid w:val="00C6005D"/>
    <w:rsid w:val="00C6007D"/>
    <w:rsid w:val="00C6015B"/>
    <w:rsid w:val="00C6015D"/>
    <w:rsid w:val="00C6019F"/>
    <w:rsid w:val="00C601DA"/>
    <w:rsid w:val="00C60503"/>
    <w:rsid w:val="00C605BF"/>
    <w:rsid w:val="00C60630"/>
    <w:rsid w:val="00C60820"/>
    <w:rsid w:val="00C608B6"/>
    <w:rsid w:val="00C608DB"/>
    <w:rsid w:val="00C608FD"/>
    <w:rsid w:val="00C60A3E"/>
    <w:rsid w:val="00C60A45"/>
    <w:rsid w:val="00C60B86"/>
    <w:rsid w:val="00C60E01"/>
    <w:rsid w:val="00C60F22"/>
    <w:rsid w:val="00C60FA8"/>
    <w:rsid w:val="00C61047"/>
    <w:rsid w:val="00C61093"/>
    <w:rsid w:val="00C610A9"/>
    <w:rsid w:val="00C6111D"/>
    <w:rsid w:val="00C611B2"/>
    <w:rsid w:val="00C6122D"/>
    <w:rsid w:val="00C612B9"/>
    <w:rsid w:val="00C6130B"/>
    <w:rsid w:val="00C613C2"/>
    <w:rsid w:val="00C614C6"/>
    <w:rsid w:val="00C61500"/>
    <w:rsid w:val="00C61983"/>
    <w:rsid w:val="00C61B04"/>
    <w:rsid w:val="00C61C76"/>
    <w:rsid w:val="00C61E1C"/>
    <w:rsid w:val="00C61E2D"/>
    <w:rsid w:val="00C61E54"/>
    <w:rsid w:val="00C61F33"/>
    <w:rsid w:val="00C621F0"/>
    <w:rsid w:val="00C62394"/>
    <w:rsid w:val="00C623EB"/>
    <w:rsid w:val="00C62413"/>
    <w:rsid w:val="00C624DC"/>
    <w:rsid w:val="00C62645"/>
    <w:rsid w:val="00C6264E"/>
    <w:rsid w:val="00C626D6"/>
    <w:rsid w:val="00C6294D"/>
    <w:rsid w:val="00C62A0B"/>
    <w:rsid w:val="00C62C28"/>
    <w:rsid w:val="00C62C3F"/>
    <w:rsid w:val="00C62DA7"/>
    <w:rsid w:val="00C62EA2"/>
    <w:rsid w:val="00C62F1F"/>
    <w:rsid w:val="00C6307A"/>
    <w:rsid w:val="00C63258"/>
    <w:rsid w:val="00C63396"/>
    <w:rsid w:val="00C633A2"/>
    <w:rsid w:val="00C633E8"/>
    <w:rsid w:val="00C63459"/>
    <w:rsid w:val="00C6363A"/>
    <w:rsid w:val="00C636C7"/>
    <w:rsid w:val="00C637A7"/>
    <w:rsid w:val="00C63B72"/>
    <w:rsid w:val="00C63C02"/>
    <w:rsid w:val="00C63E19"/>
    <w:rsid w:val="00C63E91"/>
    <w:rsid w:val="00C63EDD"/>
    <w:rsid w:val="00C63FF8"/>
    <w:rsid w:val="00C64050"/>
    <w:rsid w:val="00C6411E"/>
    <w:rsid w:val="00C641C0"/>
    <w:rsid w:val="00C6437F"/>
    <w:rsid w:val="00C643AD"/>
    <w:rsid w:val="00C643FC"/>
    <w:rsid w:val="00C64415"/>
    <w:rsid w:val="00C645B1"/>
    <w:rsid w:val="00C64888"/>
    <w:rsid w:val="00C64936"/>
    <w:rsid w:val="00C64A9C"/>
    <w:rsid w:val="00C64AE9"/>
    <w:rsid w:val="00C64DEC"/>
    <w:rsid w:val="00C64F4A"/>
    <w:rsid w:val="00C64FD5"/>
    <w:rsid w:val="00C651C2"/>
    <w:rsid w:val="00C65239"/>
    <w:rsid w:val="00C65276"/>
    <w:rsid w:val="00C65312"/>
    <w:rsid w:val="00C6539D"/>
    <w:rsid w:val="00C653D7"/>
    <w:rsid w:val="00C654A6"/>
    <w:rsid w:val="00C654BB"/>
    <w:rsid w:val="00C65513"/>
    <w:rsid w:val="00C65515"/>
    <w:rsid w:val="00C65530"/>
    <w:rsid w:val="00C65533"/>
    <w:rsid w:val="00C656A3"/>
    <w:rsid w:val="00C6586B"/>
    <w:rsid w:val="00C6588B"/>
    <w:rsid w:val="00C658F5"/>
    <w:rsid w:val="00C659F2"/>
    <w:rsid w:val="00C65A17"/>
    <w:rsid w:val="00C65BB5"/>
    <w:rsid w:val="00C65C04"/>
    <w:rsid w:val="00C65D9C"/>
    <w:rsid w:val="00C65F63"/>
    <w:rsid w:val="00C66049"/>
    <w:rsid w:val="00C66136"/>
    <w:rsid w:val="00C661AF"/>
    <w:rsid w:val="00C661CA"/>
    <w:rsid w:val="00C66242"/>
    <w:rsid w:val="00C662CD"/>
    <w:rsid w:val="00C665AB"/>
    <w:rsid w:val="00C66741"/>
    <w:rsid w:val="00C66839"/>
    <w:rsid w:val="00C66C94"/>
    <w:rsid w:val="00C66D58"/>
    <w:rsid w:val="00C66D88"/>
    <w:rsid w:val="00C66DC2"/>
    <w:rsid w:val="00C66F28"/>
    <w:rsid w:val="00C66FF0"/>
    <w:rsid w:val="00C670DA"/>
    <w:rsid w:val="00C671E0"/>
    <w:rsid w:val="00C67201"/>
    <w:rsid w:val="00C6742C"/>
    <w:rsid w:val="00C6756B"/>
    <w:rsid w:val="00C675A5"/>
    <w:rsid w:val="00C67602"/>
    <w:rsid w:val="00C67626"/>
    <w:rsid w:val="00C676E2"/>
    <w:rsid w:val="00C677C5"/>
    <w:rsid w:val="00C677D8"/>
    <w:rsid w:val="00C677F8"/>
    <w:rsid w:val="00C67876"/>
    <w:rsid w:val="00C67877"/>
    <w:rsid w:val="00C678EF"/>
    <w:rsid w:val="00C67938"/>
    <w:rsid w:val="00C6793C"/>
    <w:rsid w:val="00C679D9"/>
    <w:rsid w:val="00C67B4B"/>
    <w:rsid w:val="00C67C00"/>
    <w:rsid w:val="00C67CC7"/>
    <w:rsid w:val="00C67CF5"/>
    <w:rsid w:val="00C67DDE"/>
    <w:rsid w:val="00C67DE5"/>
    <w:rsid w:val="00C67DF2"/>
    <w:rsid w:val="00C67EA4"/>
    <w:rsid w:val="00C67EC6"/>
    <w:rsid w:val="00C67F51"/>
    <w:rsid w:val="00C67F87"/>
    <w:rsid w:val="00C7001F"/>
    <w:rsid w:val="00C7037D"/>
    <w:rsid w:val="00C703DB"/>
    <w:rsid w:val="00C70740"/>
    <w:rsid w:val="00C7078E"/>
    <w:rsid w:val="00C707DA"/>
    <w:rsid w:val="00C70869"/>
    <w:rsid w:val="00C70AFD"/>
    <w:rsid w:val="00C70C9A"/>
    <w:rsid w:val="00C70E57"/>
    <w:rsid w:val="00C71001"/>
    <w:rsid w:val="00C710F4"/>
    <w:rsid w:val="00C71126"/>
    <w:rsid w:val="00C71129"/>
    <w:rsid w:val="00C713E5"/>
    <w:rsid w:val="00C714E7"/>
    <w:rsid w:val="00C717BF"/>
    <w:rsid w:val="00C71974"/>
    <w:rsid w:val="00C71BC0"/>
    <w:rsid w:val="00C71C0A"/>
    <w:rsid w:val="00C71C54"/>
    <w:rsid w:val="00C71C59"/>
    <w:rsid w:val="00C71C6C"/>
    <w:rsid w:val="00C71C93"/>
    <w:rsid w:val="00C71DAB"/>
    <w:rsid w:val="00C721E8"/>
    <w:rsid w:val="00C72230"/>
    <w:rsid w:val="00C72330"/>
    <w:rsid w:val="00C72721"/>
    <w:rsid w:val="00C728B7"/>
    <w:rsid w:val="00C729BC"/>
    <w:rsid w:val="00C72A89"/>
    <w:rsid w:val="00C72ADD"/>
    <w:rsid w:val="00C72AE7"/>
    <w:rsid w:val="00C72B4B"/>
    <w:rsid w:val="00C72B5B"/>
    <w:rsid w:val="00C72D91"/>
    <w:rsid w:val="00C72DE4"/>
    <w:rsid w:val="00C72DFA"/>
    <w:rsid w:val="00C72E0C"/>
    <w:rsid w:val="00C72F4B"/>
    <w:rsid w:val="00C72F86"/>
    <w:rsid w:val="00C730C6"/>
    <w:rsid w:val="00C730C9"/>
    <w:rsid w:val="00C731B1"/>
    <w:rsid w:val="00C73381"/>
    <w:rsid w:val="00C7344F"/>
    <w:rsid w:val="00C7351C"/>
    <w:rsid w:val="00C73783"/>
    <w:rsid w:val="00C737B3"/>
    <w:rsid w:val="00C73A5B"/>
    <w:rsid w:val="00C73B01"/>
    <w:rsid w:val="00C73BCA"/>
    <w:rsid w:val="00C73BF4"/>
    <w:rsid w:val="00C73CAC"/>
    <w:rsid w:val="00C73DF2"/>
    <w:rsid w:val="00C73E9C"/>
    <w:rsid w:val="00C73EE1"/>
    <w:rsid w:val="00C740BC"/>
    <w:rsid w:val="00C741BD"/>
    <w:rsid w:val="00C742E4"/>
    <w:rsid w:val="00C743B5"/>
    <w:rsid w:val="00C747AA"/>
    <w:rsid w:val="00C748B4"/>
    <w:rsid w:val="00C74953"/>
    <w:rsid w:val="00C7499B"/>
    <w:rsid w:val="00C74A1B"/>
    <w:rsid w:val="00C74B08"/>
    <w:rsid w:val="00C74BF1"/>
    <w:rsid w:val="00C74CA1"/>
    <w:rsid w:val="00C74CD4"/>
    <w:rsid w:val="00C74CD7"/>
    <w:rsid w:val="00C74DFF"/>
    <w:rsid w:val="00C74E13"/>
    <w:rsid w:val="00C74F1E"/>
    <w:rsid w:val="00C75002"/>
    <w:rsid w:val="00C7509C"/>
    <w:rsid w:val="00C750A2"/>
    <w:rsid w:val="00C751D2"/>
    <w:rsid w:val="00C751E8"/>
    <w:rsid w:val="00C7522D"/>
    <w:rsid w:val="00C752C4"/>
    <w:rsid w:val="00C7536F"/>
    <w:rsid w:val="00C75384"/>
    <w:rsid w:val="00C753AC"/>
    <w:rsid w:val="00C753D8"/>
    <w:rsid w:val="00C75456"/>
    <w:rsid w:val="00C7552C"/>
    <w:rsid w:val="00C7555B"/>
    <w:rsid w:val="00C75697"/>
    <w:rsid w:val="00C756FA"/>
    <w:rsid w:val="00C757E8"/>
    <w:rsid w:val="00C75A2A"/>
    <w:rsid w:val="00C75A34"/>
    <w:rsid w:val="00C75A3C"/>
    <w:rsid w:val="00C75AFB"/>
    <w:rsid w:val="00C75BE5"/>
    <w:rsid w:val="00C75C7B"/>
    <w:rsid w:val="00C75CC1"/>
    <w:rsid w:val="00C75D23"/>
    <w:rsid w:val="00C75D3F"/>
    <w:rsid w:val="00C75D82"/>
    <w:rsid w:val="00C75DF7"/>
    <w:rsid w:val="00C76130"/>
    <w:rsid w:val="00C76364"/>
    <w:rsid w:val="00C7678E"/>
    <w:rsid w:val="00C76A4B"/>
    <w:rsid w:val="00C76F1D"/>
    <w:rsid w:val="00C77083"/>
    <w:rsid w:val="00C770B6"/>
    <w:rsid w:val="00C77234"/>
    <w:rsid w:val="00C7728B"/>
    <w:rsid w:val="00C772F6"/>
    <w:rsid w:val="00C77496"/>
    <w:rsid w:val="00C775A5"/>
    <w:rsid w:val="00C775E6"/>
    <w:rsid w:val="00C778EB"/>
    <w:rsid w:val="00C77984"/>
    <w:rsid w:val="00C77A32"/>
    <w:rsid w:val="00C77A51"/>
    <w:rsid w:val="00C77A81"/>
    <w:rsid w:val="00C77A9E"/>
    <w:rsid w:val="00C77AE8"/>
    <w:rsid w:val="00C77AF4"/>
    <w:rsid w:val="00C77DCA"/>
    <w:rsid w:val="00C77E05"/>
    <w:rsid w:val="00C77E3D"/>
    <w:rsid w:val="00C77F31"/>
    <w:rsid w:val="00C80058"/>
    <w:rsid w:val="00C80382"/>
    <w:rsid w:val="00C805AD"/>
    <w:rsid w:val="00C806B1"/>
    <w:rsid w:val="00C8076C"/>
    <w:rsid w:val="00C8086B"/>
    <w:rsid w:val="00C8086C"/>
    <w:rsid w:val="00C80889"/>
    <w:rsid w:val="00C80913"/>
    <w:rsid w:val="00C80930"/>
    <w:rsid w:val="00C80AF4"/>
    <w:rsid w:val="00C80C0C"/>
    <w:rsid w:val="00C80C4A"/>
    <w:rsid w:val="00C80C50"/>
    <w:rsid w:val="00C80C51"/>
    <w:rsid w:val="00C80D6D"/>
    <w:rsid w:val="00C80DF4"/>
    <w:rsid w:val="00C80EB1"/>
    <w:rsid w:val="00C80EC4"/>
    <w:rsid w:val="00C80F8C"/>
    <w:rsid w:val="00C81240"/>
    <w:rsid w:val="00C8129B"/>
    <w:rsid w:val="00C812FE"/>
    <w:rsid w:val="00C81309"/>
    <w:rsid w:val="00C813AE"/>
    <w:rsid w:val="00C813C6"/>
    <w:rsid w:val="00C813C9"/>
    <w:rsid w:val="00C81512"/>
    <w:rsid w:val="00C8154B"/>
    <w:rsid w:val="00C8158C"/>
    <w:rsid w:val="00C815DF"/>
    <w:rsid w:val="00C81699"/>
    <w:rsid w:val="00C816B9"/>
    <w:rsid w:val="00C81813"/>
    <w:rsid w:val="00C8183A"/>
    <w:rsid w:val="00C818BF"/>
    <w:rsid w:val="00C8197C"/>
    <w:rsid w:val="00C8197D"/>
    <w:rsid w:val="00C81A79"/>
    <w:rsid w:val="00C81AA2"/>
    <w:rsid w:val="00C81BCF"/>
    <w:rsid w:val="00C81CEF"/>
    <w:rsid w:val="00C81D9A"/>
    <w:rsid w:val="00C81E4F"/>
    <w:rsid w:val="00C81EE1"/>
    <w:rsid w:val="00C81F68"/>
    <w:rsid w:val="00C82001"/>
    <w:rsid w:val="00C82075"/>
    <w:rsid w:val="00C820B5"/>
    <w:rsid w:val="00C82123"/>
    <w:rsid w:val="00C821BA"/>
    <w:rsid w:val="00C8222B"/>
    <w:rsid w:val="00C822A7"/>
    <w:rsid w:val="00C822D9"/>
    <w:rsid w:val="00C82334"/>
    <w:rsid w:val="00C82415"/>
    <w:rsid w:val="00C824B2"/>
    <w:rsid w:val="00C825CE"/>
    <w:rsid w:val="00C82755"/>
    <w:rsid w:val="00C82756"/>
    <w:rsid w:val="00C8284E"/>
    <w:rsid w:val="00C82A54"/>
    <w:rsid w:val="00C82D5B"/>
    <w:rsid w:val="00C82D80"/>
    <w:rsid w:val="00C82DBE"/>
    <w:rsid w:val="00C82E13"/>
    <w:rsid w:val="00C82EB2"/>
    <w:rsid w:val="00C82F26"/>
    <w:rsid w:val="00C83077"/>
    <w:rsid w:val="00C831C6"/>
    <w:rsid w:val="00C8324F"/>
    <w:rsid w:val="00C83294"/>
    <w:rsid w:val="00C83351"/>
    <w:rsid w:val="00C834D3"/>
    <w:rsid w:val="00C83532"/>
    <w:rsid w:val="00C835C1"/>
    <w:rsid w:val="00C83612"/>
    <w:rsid w:val="00C83A37"/>
    <w:rsid w:val="00C83AA0"/>
    <w:rsid w:val="00C83AC8"/>
    <w:rsid w:val="00C83C9D"/>
    <w:rsid w:val="00C83CB0"/>
    <w:rsid w:val="00C83E0B"/>
    <w:rsid w:val="00C83E5C"/>
    <w:rsid w:val="00C83E62"/>
    <w:rsid w:val="00C83EB5"/>
    <w:rsid w:val="00C83F41"/>
    <w:rsid w:val="00C84320"/>
    <w:rsid w:val="00C84424"/>
    <w:rsid w:val="00C845B8"/>
    <w:rsid w:val="00C845F5"/>
    <w:rsid w:val="00C846F4"/>
    <w:rsid w:val="00C8477D"/>
    <w:rsid w:val="00C84823"/>
    <w:rsid w:val="00C84CAE"/>
    <w:rsid w:val="00C84D4F"/>
    <w:rsid w:val="00C84E0C"/>
    <w:rsid w:val="00C85219"/>
    <w:rsid w:val="00C852CF"/>
    <w:rsid w:val="00C853D7"/>
    <w:rsid w:val="00C8549E"/>
    <w:rsid w:val="00C854FB"/>
    <w:rsid w:val="00C8556A"/>
    <w:rsid w:val="00C855F3"/>
    <w:rsid w:val="00C85643"/>
    <w:rsid w:val="00C856CE"/>
    <w:rsid w:val="00C85837"/>
    <w:rsid w:val="00C8583E"/>
    <w:rsid w:val="00C85877"/>
    <w:rsid w:val="00C85949"/>
    <w:rsid w:val="00C85A21"/>
    <w:rsid w:val="00C85AEA"/>
    <w:rsid w:val="00C85AF9"/>
    <w:rsid w:val="00C85D3B"/>
    <w:rsid w:val="00C85E56"/>
    <w:rsid w:val="00C8608E"/>
    <w:rsid w:val="00C86147"/>
    <w:rsid w:val="00C8622D"/>
    <w:rsid w:val="00C8627B"/>
    <w:rsid w:val="00C86360"/>
    <w:rsid w:val="00C863E9"/>
    <w:rsid w:val="00C8646E"/>
    <w:rsid w:val="00C864F5"/>
    <w:rsid w:val="00C86525"/>
    <w:rsid w:val="00C8652B"/>
    <w:rsid w:val="00C86644"/>
    <w:rsid w:val="00C867B5"/>
    <w:rsid w:val="00C8686F"/>
    <w:rsid w:val="00C868AE"/>
    <w:rsid w:val="00C8694E"/>
    <w:rsid w:val="00C86994"/>
    <w:rsid w:val="00C86B7A"/>
    <w:rsid w:val="00C86E34"/>
    <w:rsid w:val="00C86FF5"/>
    <w:rsid w:val="00C87195"/>
    <w:rsid w:val="00C87210"/>
    <w:rsid w:val="00C87271"/>
    <w:rsid w:val="00C872FF"/>
    <w:rsid w:val="00C87347"/>
    <w:rsid w:val="00C87435"/>
    <w:rsid w:val="00C8743B"/>
    <w:rsid w:val="00C874DD"/>
    <w:rsid w:val="00C875CD"/>
    <w:rsid w:val="00C8773E"/>
    <w:rsid w:val="00C877CB"/>
    <w:rsid w:val="00C877D4"/>
    <w:rsid w:val="00C87827"/>
    <w:rsid w:val="00C8783B"/>
    <w:rsid w:val="00C8785A"/>
    <w:rsid w:val="00C879D8"/>
    <w:rsid w:val="00C87A3E"/>
    <w:rsid w:val="00C87B23"/>
    <w:rsid w:val="00C87B8A"/>
    <w:rsid w:val="00C87C16"/>
    <w:rsid w:val="00C87DD2"/>
    <w:rsid w:val="00C87EAE"/>
    <w:rsid w:val="00C87EFB"/>
    <w:rsid w:val="00C8BC74"/>
    <w:rsid w:val="00C900ED"/>
    <w:rsid w:val="00C900FE"/>
    <w:rsid w:val="00C90240"/>
    <w:rsid w:val="00C902BD"/>
    <w:rsid w:val="00C902F5"/>
    <w:rsid w:val="00C9035D"/>
    <w:rsid w:val="00C903A0"/>
    <w:rsid w:val="00C9053E"/>
    <w:rsid w:val="00C90596"/>
    <w:rsid w:val="00C905E3"/>
    <w:rsid w:val="00C90622"/>
    <w:rsid w:val="00C90763"/>
    <w:rsid w:val="00C907CC"/>
    <w:rsid w:val="00C90890"/>
    <w:rsid w:val="00C90991"/>
    <w:rsid w:val="00C90A4B"/>
    <w:rsid w:val="00C90A63"/>
    <w:rsid w:val="00C90B66"/>
    <w:rsid w:val="00C90BAB"/>
    <w:rsid w:val="00C90BEE"/>
    <w:rsid w:val="00C90D62"/>
    <w:rsid w:val="00C90E2E"/>
    <w:rsid w:val="00C90F90"/>
    <w:rsid w:val="00C90FC5"/>
    <w:rsid w:val="00C90FF6"/>
    <w:rsid w:val="00C9107D"/>
    <w:rsid w:val="00C91184"/>
    <w:rsid w:val="00C911F5"/>
    <w:rsid w:val="00C9126D"/>
    <w:rsid w:val="00C91381"/>
    <w:rsid w:val="00C91606"/>
    <w:rsid w:val="00C91617"/>
    <w:rsid w:val="00C917F2"/>
    <w:rsid w:val="00C91817"/>
    <w:rsid w:val="00C91AA1"/>
    <w:rsid w:val="00C91C61"/>
    <w:rsid w:val="00C91CFE"/>
    <w:rsid w:val="00C91D09"/>
    <w:rsid w:val="00C91F2B"/>
    <w:rsid w:val="00C9201D"/>
    <w:rsid w:val="00C9205A"/>
    <w:rsid w:val="00C922FF"/>
    <w:rsid w:val="00C9240E"/>
    <w:rsid w:val="00C925BC"/>
    <w:rsid w:val="00C926BB"/>
    <w:rsid w:val="00C926D1"/>
    <w:rsid w:val="00C926EC"/>
    <w:rsid w:val="00C92768"/>
    <w:rsid w:val="00C927C3"/>
    <w:rsid w:val="00C92853"/>
    <w:rsid w:val="00C9289B"/>
    <w:rsid w:val="00C9296D"/>
    <w:rsid w:val="00C929EC"/>
    <w:rsid w:val="00C92B09"/>
    <w:rsid w:val="00C92C47"/>
    <w:rsid w:val="00C92C98"/>
    <w:rsid w:val="00C92CCF"/>
    <w:rsid w:val="00C92D22"/>
    <w:rsid w:val="00C92E43"/>
    <w:rsid w:val="00C92ECF"/>
    <w:rsid w:val="00C93156"/>
    <w:rsid w:val="00C9318A"/>
    <w:rsid w:val="00C93240"/>
    <w:rsid w:val="00C93257"/>
    <w:rsid w:val="00C93391"/>
    <w:rsid w:val="00C93546"/>
    <w:rsid w:val="00C93586"/>
    <w:rsid w:val="00C937B0"/>
    <w:rsid w:val="00C937D4"/>
    <w:rsid w:val="00C937D6"/>
    <w:rsid w:val="00C9380D"/>
    <w:rsid w:val="00C93831"/>
    <w:rsid w:val="00C93973"/>
    <w:rsid w:val="00C939F4"/>
    <w:rsid w:val="00C93A0D"/>
    <w:rsid w:val="00C93A4C"/>
    <w:rsid w:val="00C93B94"/>
    <w:rsid w:val="00C93C14"/>
    <w:rsid w:val="00C93CDF"/>
    <w:rsid w:val="00C93D02"/>
    <w:rsid w:val="00C93D6D"/>
    <w:rsid w:val="00C93E55"/>
    <w:rsid w:val="00C93F5E"/>
    <w:rsid w:val="00C93FF0"/>
    <w:rsid w:val="00C94003"/>
    <w:rsid w:val="00C9413B"/>
    <w:rsid w:val="00C9416A"/>
    <w:rsid w:val="00C9425F"/>
    <w:rsid w:val="00C942EA"/>
    <w:rsid w:val="00C94318"/>
    <w:rsid w:val="00C94513"/>
    <w:rsid w:val="00C945AF"/>
    <w:rsid w:val="00C94613"/>
    <w:rsid w:val="00C9462B"/>
    <w:rsid w:val="00C9462F"/>
    <w:rsid w:val="00C9466D"/>
    <w:rsid w:val="00C94689"/>
    <w:rsid w:val="00C9470C"/>
    <w:rsid w:val="00C947CC"/>
    <w:rsid w:val="00C9481B"/>
    <w:rsid w:val="00C94899"/>
    <w:rsid w:val="00C94926"/>
    <w:rsid w:val="00C94A6B"/>
    <w:rsid w:val="00C94AF1"/>
    <w:rsid w:val="00C94CE0"/>
    <w:rsid w:val="00C94D58"/>
    <w:rsid w:val="00C94E5F"/>
    <w:rsid w:val="00C94EBA"/>
    <w:rsid w:val="00C9524C"/>
    <w:rsid w:val="00C95257"/>
    <w:rsid w:val="00C952DB"/>
    <w:rsid w:val="00C953C1"/>
    <w:rsid w:val="00C953F6"/>
    <w:rsid w:val="00C95439"/>
    <w:rsid w:val="00C955AA"/>
    <w:rsid w:val="00C955C0"/>
    <w:rsid w:val="00C955D4"/>
    <w:rsid w:val="00C9565A"/>
    <w:rsid w:val="00C957AE"/>
    <w:rsid w:val="00C957C1"/>
    <w:rsid w:val="00C957C7"/>
    <w:rsid w:val="00C95818"/>
    <w:rsid w:val="00C9581D"/>
    <w:rsid w:val="00C95880"/>
    <w:rsid w:val="00C959A0"/>
    <w:rsid w:val="00C959DF"/>
    <w:rsid w:val="00C95A01"/>
    <w:rsid w:val="00C95A75"/>
    <w:rsid w:val="00C95B1B"/>
    <w:rsid w:val="00C95B2F"/>
    <w:rsid w:val="00C95CC7"/>
    <w:rsid w:val="00C95D98"/>
    <w:rsid w:val="00C95E32"/>
    <w:rsid w:val="00C96091"/>
    <w:rsid w:val="00C960D7"/>
    <w:rsid w:val="00C96128"/>
    <w:rsid w:val="00C96130"/>
    <w:rsid w:val="00C9618D"/>
    <w:rsid w:val="00C962EA"/>
    <w:rsid w:val="00C9638C"/>
    <w:rsid w:val="00C96398"/>
    <w:rsid w:val="00C963BB"/>
    <w:rsid w:val="00C96487"/>
    <w:rsid w:val="00C964CB"/>
    <w:rsid w:val="00C96549"/>
    <w:rsid w:val="00C965B3"/>
    <w:rsid w:val="00C9662E"/>
    <w:rsid w:val="00C966FA"/>
    <w:rsid w:val="00C9676D"/>
    <w:rsid w:val="00C96857"/>
    <w:rsid w:val="00C9685B"/>
    <w:rsid w:val="00C968F0"/>
    <w:rsid w:val="00C9691D"/>
    <w:rsid w:val="00C96A25"/>
    <w:rsid w:val="00C96BB9"/>
    <w:rsid w:val="00C96C99"/>
    <w:rsid w:val="00C96E6F"/>
    <w:rsid w:val="00C9701B"/>
    <w:rsid w:val="00C97192"/>
    <w:rsid w:val="00C971BE"/>
    <w:rsid w:val="00C971F4"/>
    <w:rsid w:val="00C97325"/>
    <w:rsid w:val="00C9733E"/>
    <w:rsid w:val="00C974B7"/>
    <w:rsid w:val="00C97581"/>
    <w:rsid w:val="00C97610"/>
    <w:rsid w:val="00C9775D"/>
    <w:rsid w:val="00C978E8"/>
    <w:rsid w:val="00C978E9"/>
    <w:rsid w:val="00C97BD1"/>
    <w:rsid w:val="00C97CB4"/>
    <w:rsid w:val="00C97CD1"/>
    <w:rsid w:val="00C97D29"/>
    <w:rsid w:val="00C97E19"/>
    <w:rsid w:val="00C97E3E"/>
    <w:rsid w:val="00C97F3A"/>
    <w:rsid w:val="00C97F47"/>
    <w:rsid w:val="00CA003A"/>
    <w:rsid w:val="00CA0168"/>
    <w:rsid w:val="00CA017D"/>
    <w:rsid w:val="00CA01A7"/>
    <w:rsid w:val="00CA0209"/>
    <w:rsid w:val="00CA024F"/>
    <w:rsid w:val="00CA03C4"/>
    <w:rsid w:val="00CA04A7"/>
    <w:rsid w:val="00CA0523"/>
    <w:rsid w:val="00CA0524"/>
    <w:rsid w:val="00CA0583"/>
    <w:rsid w:val="00CA0599"/>
    <w:rsid w:val="00CA0678"/>
    <w:rsid w:val="00CA069A"/>
    <w:rsid w:val="00CA0761"/>
    <w:rsid w:val="00CA0877"/>
    <w:rsid w:val="00CA08AC"/>
    <w:rsid w:val="00CA08C0"/>
    <w:rsid w:val="00CA0949"/>
    <w:rsid w:val="00CA0A08"/>
    <w:rsid w:val="00CA0A24"/>
    <w:rsid w:val="00CA0A31"/>
    <w:rsid w:val="00CA0AD6"/>
    <w:rsid w:val="00CA0C1F"/>
    <w:rsid w:val="00CA0C25"/>
    <w:rsid w:val="00CA0C85"/>
    <w:rsid w:val="00CA0D16"/>
    <w:rsid w:val="00CA0E97"/>
    <w:rsid w:val="00CA0EC8"/>
    <w:rsid w:val="00CA0F5F"/>
    <w:rsid w:val="00CA0F85"/>
    <w:rsid w:val="00CA112E"/>
    <w:rsid w:val="00CA11D7"/>
    <w:rsid w:val="00CA11E9"/>
    <w:rsid w:val="00CA131A"/>
    <w:rsid w:val="00CA1354"/>
    <w:rsid w:val="00CA145A"/>
    <w:rsid w:val="00CA1545"/>
    <w:rsid w:val="00CA15EF"/>
    <w:rsid w:val="00CA15FE"/>
    <w:rsid w:val="00CA170A"/>
    <w:rsid w:val="00CA1754"/>
    <w:rsid w:val="00CA176E"/>
    <w:rsid w:val="00CA1825"/>
    <w:rsid w:val="00CA1B98"/>
    <w:rsid w:val="00CA1BEE"/>
    <w:rsid w:val="00CA1D08"/>
    <w:rsid w:val="00CA1D1E"/>
    <w:rsid w:val="00CA1D20"/>
    <w:rsid w:val="00CA1D70"/>
    <w:rsid w:val="00CA1E0B"/>
    <w:rsid w:val="00CA2010"/>
    <w:rsid w:val="00CA21F9"/>
    <w:rsid w:val="00CA233D"/>
    <w:rsid w:val="00CA2486"/>
    <w:rsid w:val="00CA2513"/>
    <w:rsid w:val="00CA2682"/>
    <w:rsid w:val="00CA26EF"/>
    <w:rsid w:val="00CA272F"/>
    <w:rsid w:val="00CA2773"/>
    <w:rsid w:val="00CA27F5"/>
    <w:rsid w:val="00CA2813"/>
    <w:rsid w:val="00CA2918"/>
    <w:rsid w:val="00CA29E7"/>
    <w:rsid w:val="00CA2A12"/>
    <w:rsid w:val="00CA2A68"/>
    <w:rsid w:val="00CA2B0B"/>
    <w:rsid w:val="00CA2B18"/>
    <w:rsid w:val="00CA2CFB"/>
    <w:rsid w:val="00CA2D02"/>
    <w:rsid w:val="00CA2D90"/>
    <w:rsid w:val="00CA2DDE"/>
    <w:rsid w:val="00CA2FDC"/>
    <w:rsid w:val="00CA3000"/>
    <w:rsid w:val="00CA3036"/>
    <w:rsid w:val="00CA31AF"/>
    <w:rsid w:val="00CA3221"/>
    <w:rsid w:val="00CA33C8"/>
    <w:rsid w:val="00CA342D"/>
    <w:rsid w:val="00CA362B"/>
    <w:rsid w:val="00CA368D"/>
    <w:rsid w:val="00CA36F2"/>
    <w:rsid w:val="00CA36F6"/>
    <w:rsid w:val="00CA3788"/>
    <w:rsid w:val="00CA37AA"/>
    <w:rsid w:val="00CA38D3"/>
    <w:rsid w:val="00CA38E6"/>
    <w:rsid w:val="00CA39FB"/>
    <w:rsid w:val="00CA3AEA"/>
    <w:rsid w:val="00CA3D82"/>
    <w:rsid w:val="00CA3FCE"/>
    <w:rsid w:val="00CA3FF3"/>
    <w:rsid w:val="00CA4018"/>
    <w:rsid w:val="00CA40B2"/>
    <w:rsid w:val="00CA4172"/>
    <w:rsid w:val="00CA419E"/>
    <w:rsid w:val="00CA44D5"/>
    <w:rsid w:val="00CA4605"/>
    <w:rsid w:val="00CA4638"/>
    <w:rsid w:val="00CA4669"/>
    <w:rsid w:val="00CA487D"/>
    <w:rsid w:val="00CA495B"/>
    <w:rsid w:val="00CA4B51"/>
    <w:rsid w:val="00CA4C9A"/>
    <w:rsid w:val="00CA4CBE"/>
    <w:rsid w:val="00CA4E35"/>
    <w:rsid w:val="00CA50FE"/>
    <w:rsid w:val="00CA5140"/>
    <w:rsid w:val="00CA534E"/>
    <w:rsid w:val="00CA5418"/>
    <w:rsid w:val="00CA54A3"/>
    <w:rsid w:val="00CA55AC"/>
    <w:rsid w:val="00CA5802"/>
    <w:rsid w:val="00CA5A62"/>
    <w:rsid w:val="00CA5AF3"/>
    <w:rsid w:val="00CA5B51"/>
    <w:rsid w:val="00CA5B86"/>
    <w:rsid w:val="00CA5FDB"/>
    <w:rsid w:val="00CA6068"/>
    <w:rsid w:val="00CA6154"/>
    <w:rsid w:val="00CA62EA"/>
    <w:rsid w:val="00CA6320"/>
    <w:rsid w:val="00CA65F1"/>
    <w:rsid w:val="00CA6A9F"/>
    <w:rsid w:val="00CA6B5F"/>
    <w:rsid w:val="00CA6C05"/>
    <w:rsid w:val="00CA6C86"/>
    <w:rsid w:val="00CA6D1F"/>
    <w:rsid w:val="00CA6D23"/>
    <w:rsid w:val="00CA6D62"/>
    <w:rsid w:val="00CA6EE0"/>
    <w:rsid w:val="00CA6EF8"/>
    <w:rsid w:val="00CA6FA2"/>
    <w:rsid w:val="00CA7026"/>
    <w:rsid w:val="00CA7130"/>
    <w:rsid w:val="00CA74D5"/>
    <w:rsid w:val="00CA7816"/>
    <w:rsid w:val="00CA7948"/>
    <w:rsid w:val="00CA79F7"/>
    <w:rsid w:val="00CA7A30"/>
    <w:rsid w:val="00CA7A62"/>
    <w:rsid w:val="00CA7CCE"/>
    <w:rsid w:val="00CA7E9D"/>
    <w:rsid w:val="00CA7EC3"/>
    <w:rsid w:val="00CA7F2D"/>
    <w:rsid w:val="00CA7F8A"/>
    <w:rsid w:val="00CB021A"/>
    <w:rsid w:val="00CB025D"/>
    <w:rsid w:val="00CB0291"/>
    <w:rsid w:val="00CB03FC"/>
    <w:rsid w:val="00CB048B"/>
    <w:rsid w:val="00CB05D5"/>
    <w:rsid w:val="00CB0735"/>
    <w:rsid w:val="00CB07CC"/>
    <w:rsid w:val="00CB0836"/>
    <w:rsid w:val="00CB0946"/>
    <w:rsid w:val="00CB097C"/>
    <w:rsid w:val="00CB099B"/>
    <w:rsid w:val="00CB09B7"/>
    <w:rsid w:val="00CB0A6D"/>
    <w:rsid w:val="00CB0B64"/>
    <w:rsid w:val="00CB0B8D"/>
    <w:rsid w:val="00CB0BA7"/>
    <w:rsid w:val="00CB0C6E"/>
    <w:rsid w:val="00CB0CA8"/>
    <w:rsid w:val="00CB105C"/>
    <w:rsid w:val="00CB11F3"/>
    <w:rsid w:val="00CB13F2"/>
    <w:rsid w:val="00CB14AF"/>
    <w:rsid w:val="00CB168F"/>
    <w:rsid w:val="00CB16F4"/>
    <w:rsid w:val="00CB1799"/>
    <w:rsid w:val="00CB185F"/>
    <w:rsid w:val="00CB1982"/>
    <w:rsid w:val="00CB1A7B"/>
    <w:rsid w:val="00CB1AB7"/>
    <w:rsid w:val="00CB1AE8"/>
    <w:rsid w:val="00CB1C47"/>
    <w:rsid w:val="00CB1D17"/>
    <w:rsid w:val="00CB1D29"/>
    <w:rsid w:val="00CB1D3A"/>
    <w:rsid w:val="00CB1E59"/>
    <w:rsid w:val="00CB1E8E"/>
    <w:rsid w:val="00CB1EC2"/>
    <w:rsid w:val="00CB1EC8"/>
    <w:rsid w:val="00CB1F75"/>
    <w:rsid w:val="00CB21F4"/>
    <w:rsid w:val="00CB2205"/>
    <w:rsid w:val="00CB2209"/>
    <w:rsid w:val="00CB2501"/>
    <w:rsid w:val="00CB26CB"/>
    <w:rsid w:val="00CB27E4"/>
    <w:rsid w:val="00CB2A11"/>
    <w:rsid w:val="00CB2ACD"/>
    <w:rsid w:val="00CB2CEA"/>
    <w:rsid w:val="00CB2CF4"/>
    <w:rsid w:val="00CB2D19"/>
    <w:rsid w:val="00CB2F58"/>
    <w:rsid w:val="00CB2F96"/>
    <w:rsid w:val="00CB3140"/>
    <w:rsid w:val="00CB3191"/>
    <w:rsid w:val="00CB3193"/>
    <w:rsid w:val="00CB3484"/>
    <w:rsid w:val="00CB3525"/>
    <w:rsid w:val="00CB352B"/>
    <w:rsid w:val="00CB35FC"/>
    <w:rsid w:val="00CB3663"/>
    <w:rsid w:val="00CB3884"/>
    <w:rsid w:val="00CB39D7"/>
    <w:rsid w:val="00CB3B6D"/>
    <w:rsid w:val="00CB3BE1"/>
    <w:rsid w:val="00CB3CE7"/>
    <w:rsid w:val="00CB3D22"/>
    <w:rsid w:val="00CB3D5A"/>
    <w:rsid w:val="00CB3DC5"/>
    <w:rsid w:val="00CB3DD1"/>
    <w:rsid w:val="00CB3EB8"/>
    <w:rsid w:val="00CB3ECF"/>
    <w:rsid w:val="00CB3FB6"/>
    <w:rsid w:val="00CB4191"/>
    <w:rsid w:val="00CB4379"/>
    <w:rsid w:val="00CB43C8"/>
    <w:rsid w:val="00CB4424"/>
    <w:rsid w:val="00CB450D"/>
    <w:rsid w:val="00CB45A5"/>
    <w:rsid w:val="00CB4707"/>
    <w:rsid w:val="00CB4B4E"/>
    <w:rsid w:val="00CB4BE1"/>
    <w:rsid w:val="00CB4C77"/>
    <w:rsid w:val="00CB4DA8"/>
    <w:rsid w:val="00CB4F27"/>
    <w:rsid w:val="00CB4F61"/>
    <w:rsid w:val="00CB50A6"/>
    <w:rsid w:val="00CB5136"/>
    <w:rsid w:val="00CB528E"/>
    <w:rsid w:val="00CB540F"/>
    <w:rsid w:val="00CB5468"/>
    <w:rsid w:val="00CB546D"/>
    <w:rsid w:val="00CB5482"/>
    <w:rsid w:val="00CB56AF"/>
    <w:rsid w:val="00CB56BC"/>
    <w:rsid w:val="00CB5842"/>
    <w:rsid w:val="00CB58C8"/>
    <w:rsid w:val="00CB5A7F"/>
    <w:rsid w:val="00CB5AE2"/>
    <w:rsid w:val="00CB5AF9"/>
    <w:rsid w:val="00CB5B17"/>
    <w:rsid w:val="00CB5B47"/>
    <w:rsid w:val="00CB5E3A"/>
    <w:rsid w:val="00CB600D"/>
    <w:rsid w:val="00CB6138"/>
    <w:rsid w:val="00CB624A"/>
    <w:rsid w:val="00CB6287"/>
    <w:rsid w:val="00CB63F2"/>
    <w:rsid w:val="00CB6464"/>
    <w:rsid w:val="00CB64C1"/>
    <w:rsid w:val="00CB69C9"/>
    <w:rsid w:val="00CB69F8"/>
    <w:rsid w:val="00CB6AA6"/>
    <w:rsid w:val="00CB6B7A"/>
    <w:rsid w:val="00CB6E9F"/>
    <w:rsid w:val="00CB6F60"/>
    <w:rsid w:val="00CB7249"/>
    <w:rsid w:val="00CB73FA"/>
    <w:rsid w:val="00CB7767"/>
    <w:rsid w:val="00CB7A92"/>
    <w:rsid w:val="00CB7B7B"/>
    <w:rsid w:val="00CB7C17"/>
    <w:rsid w:val="00CB7C76"/>
    <w:rsid w:val="00CB7D2F"/>
    <w:rsid w:val="00CB7D6A"/>
    <w:rsid w:val="00CB7F8B"/>
    <w:rsid w:val="00CB7FFA"/>
    <w:rsid w:val="00CBD40A"/>
    <w:rsid w:val="00CC0079"/>
    <w:rsid w:val="00CC009F"/>
    <w:rsid w:val="00CC0160"/>
    <w:rsid w:val="00CC01F5"/>
    <w:rsid w:val="00CC0378"/>
    <w:rsid w:val="00CC0691"/>
    <w:rsid w:val="00CC06F6"/>
    <w:rsid w:val="00CC070A"/>
    <w:rsid w:val="00CC078D"/>
    <w:rsid w:val="00CC07A3"/>
    <w:rsid w:val="00CC0C76"/>
    <w:rsid w:val="00CC0EAB"/>
    <w:rsid w:val="00CC0FB6"/>
    <w:rsid w:val="00CC103B"/>
    <w:rsid w:val="00CC104C"/>
    <w:rsid w:val="00CC108B"/>
    <w:rsid w:val="00CC1135"/>
    <w:rsid w:val="00CC11C6"/>
    <w:rsid w:val="00CC12F4"/>
    <w:rsid w:val="00CC12F7"/>
    <w:rsid w:val="00CC1362"/>
    <w:rsid w:val="00CC13E1"/>
    <w:rsid w:val="00CC1494"/>
    <w:rsid w:val="00CC14E7"/>
    <w:rsid w:val="00CC153D"/>
    <w:rsid w:val="00CC154A"/>
    <w:rsid w:val="00CC170B"/>
    <w:rsid w:val="00CC17DB"/>
    <w:rsid w:val="00CC184A"/>
    <w:rsid w:val="00CC1948"/>
    <w:rsid w:val="00CC19E2"/>
    <w:rsid w:val="00CC1A9E"/>
    <w:rsid w:val="00CC1B7A"/>
    <w:rsid w:val="00CC1BF5"/>
    <w:rsid w:val="00CC1D5C"/>
    <w:rsid w:val="00CC1E7B"/>
    <w:rsid w:val="00CC1E82"/>
    <w:rsid w:val="00CC1F5D"/>
    <w:rsid w:val="00CC1F92"/>
    <w:rsid w:val="00CC1FC0"/>
    <w:rsid w:val="00CC200C"/>
    <w:rsid w:val="00CC2018"/>
    <w:rsid w:val="00CC20CC"/>
    <w:rsid w:val="00CC2230"/>
    <w:rsid w:val="00CC24E2"/>
    <w:rsid w:val="00CC2578"/>
    <w:rsid w:val="00CC2741"/>
    <w:rsid w:val="00CC2782"/>
    <w:rsid w:val="00CC2B51"/>
    <w:rsid w:val="00CC2B67"/>
    <w:rsid w:val="00CC2B8C"/>
    <w:rsid w:val="00CC2BF3"/>
    <w:rsid w:val="00CC2BFE"/>
    <w:rsid w:val="00CC2CE8"/>
    <w:rsid w:val="00CC2D0A"/>
    <w:rsid w:val="00CC2D0D"/>
    <w:rsid w:val="00CC2D67"/>
    <w:rsid w:val="00CC2E20"/>
    <w:rsid w:val="00CC315E"/>
    <w:rsid w:val="00CC3258"/>
    <w:rsid w:val="00CC3294"/>
    <w:rsid w:val="00CC3356"/>
    <w:rsid w:val="00CC341A"/>
    <w:rsid w:val="00CC3442"/>
    <w:rsid w:val="00CC3474"/>
    <w:rsid w:val="00CC349C"/>
    <w:rsid w:val="00CC34EB"/>
    <w:rsid w:val="00CC34EC"/>
    <w:rsid w:val="00CC381D"/>
    <w:rsid w:val="00CC39C4"/>
    <w:rsid w:val="00CC3D0F"/>
    <w:rsid w:val="00CC3D5B"/>
    <w:rsid w:val="00CC3EFA"/>
    <w:rsid w:val="00CC3F7C"/>
    <w:rsid w:val="00CC3FFE"/>
    <w:rsid w:val="00CC410C"/>
    <w:rsid w:val="00CC4125"/>
    <w:rsid w:val="00CC414C"/>
    <w:rsid w:val="00CC4315"/>
    <w:rsid w:val="00CC4326"/>
    <w:rsid w:val="00CC4392"/>
    <w:rsid w:val="00CC43A4"/>
    <w:rsid w:val="00CC4470"/>
    <w:rsid w:val="00CC45B4"/>
    <w:rsid w:val="00CC46DA"/>
    <w:rsid w:val="00CC4756"/>
    <w:rsid w:val="00CC4823"/>
    <w:rsid w:val="00CC483B"/>
    <w:rsid w:val="00CC4A8E"/>
    <w:rsid w:val="00CC4BD8"/>
    <w:rsid w:val="00CC4D00"/>
    <w:rsid w:val="00CC502D"/>
    <w:rsid w:val="00CC5090"/>
    <w:rsid w:val="00CC51D1"/>
    <w:rsid w:val="00CC524D"/>
    <w:rsid w:val="00CC562E"/>
    <w:rsid w:val="00CC57AE"/>
    <w:rsid w:val="00CC57FA"/>
    <w:rsid w:val="00CC5813"/>
    <w:rsid w:val="00CC592B"/>
    <w:rsid w:val="00CC599E"/>
    <w:rsid w:val="00CC59D5"/>
    <w:rsid w:val="00CC5A1C"/>
    <w:rsid w:val="00CC5B4C"/>
    <w:rsid w:val="00CC5B9B"/>
    <w:rsid w:val="00CC5C62"/>
    <w:rsid w:val="00CC5D10"/>
    <w:rsid w:val="00CC5E6C"/>
    <w:rsid w:val="00CC5EDB"/>
    <w:rsid w:val="00CC5EED"/>
    <w:rsid w:val="00CC60A2"/>
    <w:rsid w:val="00CC610E"/>
    <w:rsid w:val="00CC6160"/>
    <w:rsid w:val="00CC62CC"/>
    <w:rsid w:val="00CC6624"/>
    <w:rsid w:val="00CC6667"/>
    <w:rsid w:val="00CC668B"/>
    <w:rsid w:val="00CC6759"/>
    <w:rsid w:val="00CC67BD"/>
    <w:rsid w:val="00CC6841"/>
    <w:rsid w:val="00CC684E"/>
    <w:rsid w:val="00CC6937"/>
    <w:rsid w:val="00CC695B"/>
    <w:rsid w:val="00CC696F"/>
    <w:rsid w:val="00CC6AFB"/>
    <w:rsid w:val="00CC6B8E"/>
    <w:rsid w:val="00CC6BB4"/>
    <w:rsid w:val="00CC6C32"/>
    <w:rsid w:val="00CC6C34"/>
    <w:rsid w:val="00CC6D8B"/>
    <w:rsid w:val="00CC6D8D"/>
    <w:rsid w:val="00CC6E6C"/>
    <w:rsid w:val="00CC6F67"/>
    <w:rsid w:val="00CC6FA6"/>
    <w:rsid w:val="00CC7087"/>
    <w:rsid w:val="00CC70E0"/>
    <w:rsid w:val="00CC7291"/>
    <w:rsid w:val="00CC72F5"/>
    <w:rsid w:val="00CC738B"/>
    <w:rsid w:val="00CC75CC"/>
    <w:rsid w:val="00CC7683"/>
    <w:rsid w:val="00CC769D"/>
    <w:rsid w:val="00CC76B5"/>
    <w:rsid w:val="00CC780D"/>
    <w:rsid w:val="00CC789E"/>
    <w:rsid w:val="00CC78C8"/>
    <w:rsid w:val="00CC79AF"/>
    <w:rsid w:val="00CC7A79"/>
    <w:rsid w:val="00CC7AE6"/>
    <w:rsid w:val="00CC7B58"/>
    <w:rsid w:val="00CC7CAE"/>
    <w:rsid w:val="00CC7D42"/>
    <w:rsid w:val="00CC7D4D"/>
    <w:rsid w:val="00CC7DCD"/>
    <w:rsid w:val="00CC7F2D"/>
    <w:rsid w:val="00CD0187"/>
    <w:rsid w:val="00CD01FF"/>
    <w:rsid w:val="00CD03AA"/>
    <w:rsid w:val="00CD0521"/>
    <w:rsid w:val="00CD05C1"/>
    <w:rsid w:val="00CD08B2"/>
    <w:rsid w:val="00CD08EA"/>
    <w:rsid w:val="00CD090E"/>
    <w:rsid w:val="00CD0916"/>
    <w:rsid w:val="00CD0959"/>
    <w:rsid w:val="00CD0A3B"/>
    <w:rsid w:val="00CD0B7F"/>
    <w:rsid w:val="00CD0BF0"/>
    <w:rsid w:val="00CD0BFE"/>
    <w:rsid w:val="00CD0C1A"/>
    <w:rsid w:val="00CD0C95"/>
    <w:rsid w:val="00CD0CE4"/>
    <w:rsid w:val="00CD0D5B"/>
    <w:rsid w:val="00CD0D95"/>
    <w:rsid w:val="00CD0E0C"/>
    <w:rsid w:val="00CD0EBC"/>
    <w:rsid w:val="00CD0F72"/>
    <w:rsid w:val="00CD10DC"/>
    <w:rsid w:val="00CD1135"/>
    <w:rsid w:val="00CD119F"/>
    <w:rsid w:val="00CD1254"/>
    <w:rsid w:val="00CD12B4"/>
    <w:rsid w:val="00CD12BE"/>
    <w:rsid w:val="00CD130D"/>
    <w:rsid w:val="00CD13E2"/>
    <w:rsid w:val="00CD1615"/>
    <w:rsid w:val="00CD161B"/>
    <w:rsid w:val="00CD1717"/>
    <w:rsid w:val="00CD17DE"/>
    <w:rsid w:val="00CD1804"/>
    <w:rsid w:val="00CD1819"/>
    <w:rsid w:val="00CD18EB"/>
    <w:rsid w:val="00CD19B0"/>
    <w:rsid w:val="00CD1A73"/>
    <w:rsid w:val="00CD1ADC"/>
    <w:rsid w:val="00CD1B84"/>
    <w:rsid w:val="00CD1BD1"/>
    <w:rsid w:val="00CD1BFA"/>
    <w:rsid w:val="00CD1C72"/>
    <w:rsid w:val="00CD1CDD"/>
    <w:rsid w:val="00CD1D4C"/>
    <w:rsid w:val="00CD1F1A"/>
    <w:rsid w:val="00CD2204"/>
    <w:rsid w:val="00CD224F"/>
    <w:rsid w:val="00CD22A2"/>
    <w:rsid w:val="00CD234F"/>
    <w:rsid w:val="00CD2482"/>
    <w:rsid w:val="00CD2740"/>
    <w:rsid w:val="00CD277B"/>
    <w:rsid w:val="00CD2793"/>
    <w:rsid w:val="00CD2799"/>
    <w:rsid w:val="00CD27AD"/>
    <w:rsid w:val="00CD2922"/>
    <w:rsid w:val="00CD2959"/>
    <w:rsid w:val="00CD298D"/>
    <w:rsid w:val="00CD29AB"/>
    <w:rsid w:val="00CD2E98"/>
    <w:rsid w:val="00CD2F48"/>
    <w:rsid w:val="00CD3096"/>
    <w:rsid w:val="00CD328B"/>
    <w:rsid w:val="00CD3411"/>
    <w:rsid w:val="00CD3415"/>
    <w:rsid w:val="00CD35D5"/>
    <w:rsid w:val="00CD3603"/>
    <w:rsid w:val="00CD3644"/>
    <w:rsid w:val="00CD36F0"/>
    <w:rsid w:val="00CD376F"/>
    <w:rsid w:val="00CD39ED"/>
    <w:rsid w:val="00CD3ABB"/>
    <w:rsid w:val="00CD3B15"/>
    <w:rsid w:val="00CD3B38"/>
    <w:rsid w:val="00CD3B92"/>
    <w:rsid w:val="00CD3BA1"/>
    <w:rsid w:val="00CD3BAC"/>
    <w:rsid w:val="00CD3D42"/>
    <w:rsid w:val="00CD3D71"/>
    <w:rsid w:val="00CD3DD4"/>
    <w:rsid w:val="00CD40D4"/>
    <w:rsid w:val="00CD4186"/>
    <w:rsid w:val="00CD4203"/>
    <w:rsid w:val="00CD4253"/>
    <w:rsid w:val="00CD42A0"/>
    <w:rsid w:val="00CD42CC"/>
    <w:rsid w:val="00CD4319"/>
    <w:rsid w:val="00CD4365"/>
    <w:rsid w:val="00CD43FC"/>
    <w:rsid w:val="00CD441D"/>
    <w:rsid w:val="00CD4440"/>
    <w:rsid w:val="00CD44B8"/>
    <w:rsid w:val="00CD45B5"/>
    <w:rsid w:val="00CD4709"/>
    <w:rsid w:val="00CD4717"/>
    <w:rsid w:val="00CD486D"/>
    <w:rsid w:val="00CD4960"/>
    <w:rsid w:val="00CD499A"/>
    <w:rsid w:val="00CD4A63"/>
    <w:rsid w:val="00CD4B28"/>
    <w:rsid w:val="00CD4BBD"/>
    <w:rsid w:val="00CD4CA2"/>
    <w:rsid w:val="00CD4CBC"/>
    <w:rsid w:val="00CD4D06"/>
    <w:rsid w:val="00CD4D38"/>
    <w:rsid w:val="00CD4DAE"/>
    <w:rsid w:val="00CD4E58"/>
    <w:rsid w:val="00CD4EB2"/>
    <w:rsid w:val="00CD4F86"/>
    <w:rsid w:val="00CD4FDE"/>
    <w:rsid w:val="00CD5009"/>
    <w:rsid w:val="00CD5018"/>
    <w:rsid w:val="00CD52D5"/>
    <w:rsid w:val="00CD5376"/>
    <w:rsid w:val="00CD53BC"/>
    <w:rsid w:val="00CD53E5"/>
    <w:rsid w:val="00CD5487"/>
    <w:rsid w:val="00CD5592"/>
    <w:rsid w:val="00CD563F"/>
    <w:rsid w:val="00CD564B"/>
    <w:rsid w:val="00CD569B"/>
    <w:rsid w:val="00CD5767"/>
    <w:rsid w:val="00CD5806"/>
    <w:rsid w:val="00CD58AE"/>
    <w:rsid w:val="00CD58B1"/>
    <w:rsid w:val="00CD5A65"/>
    <w:rsid w:val="00CD5B56"/>
    <w:rsid w:val="00CD5B98"/>
    <w:rsid w:val="00CD5BF9"/>
    <w:rsid w:val="00CD5C20"/>
    <w:rsid w:val="00CD5CCD"/>
    <w:rsid w:val="00CD5D2E"/>
    <w:rsid w:val="00CD5DAF"/>
    <w:rsid w:val="00CD5ED8"/>
    <w:rsid w:val="00CD5F28"/>
    <w:rsid w:val="00CD5FB1"/>
    <w:rsid w:val="00CD6166"/>
    <w:rsid w:val="00CD617A"/>
    <w:rsid w:val="00CD61B4"/>
    <w:rsid w:val="00CD6200"/>
    <w:rsid w:val="00CD6221"/>
    <w:rsid w:val="00CD6269"/>
    <w:rsid w:val="00CD631E"/>
    <w:rsid w:val="00CD661F"/>
    <w:rsid w:val="00CD67CB"/>
    <w:rsid w:val="00CD6A25"/>
    <w:rsid w:val="00CD6B00"/>
    <w:rsid w:val="00CD6BA6"/>
    <w:rsid w:val="00CD6D56"/>
    <w:rsid w:val="00CD6DBB"/>
    <w:rsid w:val="00CD6F74"/>
    <w:rsid w:val="00CD72F0"/>
    <w:rsid w:val="00CD7507"/>
    <w:rsid w:val="00CD75D4"/>
    <w:rsid w:val="00CD75D9"/>
    <w:rsid w:val="00CD772B"/>
    <w:rsid w:val="00CD78AA"/>
    <w:rsid w:val="00CD79F1"/>
    <w:rsid w:val="00CD7AB0"/>
    <w:rsid w:val="00CD7ABD"/>
    <w:rsid w:val="00CD7BBF"/>
    <w:rsid w:val="00CD7D10"/>
    <w:rsid w:val="00CD7D8A"/>
    <w:rsid w:val="00CD7DF2"/>
    <w:rsid w:val="00CD7E8B"/>
    <w:rsid w:val="00CD7F48"/>
    <w:rsid w:val="00CD7FA6"/>
    <w:rsid w:val="00CD7FD1"/>
    <w:rsid w:val="00CE0034"/>
    <w:rsid w:val="00CE0069"/>
    <w:rsid w:val="00CE00BD"/>
    <w:rsid w:val="00CE00C6"/>
    <w:rsid w:val="00CE0145"/>
    <w:rsid w:val="00CE0151"/>
    <w:rsid w:val="00CE015A"/>
    <w:rsid w:val="00CE03BE"/>
    <w:rsid w:val="00CE0531"/>
    <w:rsid w:val="00CE053B"/>
    <w:rsid w:val="00CE05EC"/>
    <w:rsid w:val="00CE071B"/>
    <w:rsid w:val="00CE07A0"/>
    <w:rsid w:val="00CE0B9C"/>
    <w:rsid w:val="00CE0BAB"/>
    <w:rsid w:val="00CE0BC0"/>
    <w:rsid w:val="00CE0D55"/>
    <w:rsid w:val="00CE0E00"/>
    <w:rsid w:val="00CE0E54"/>
    <w:rsid w:val="00CE0E8E"/>
    <w:rsid w:val="00CE0F4B"/>
    <w:rsid w:val="00CE10FD"/>
    <w:rsid w:val="00CE1136"/>
    <w:rsid w:val="00CE1179"/>
    <w:rsid w:val="00CE11A5"/>
    <w:rsid w:val="00CE12BA"/>
    <w:rsid w:val="00CE140C"/>
    <w:rsid w:val="00CE14FA"/>
    <w:rsid w:val="00CE15BE"/>
    <w:rsid w:val="00CE161E"/>
    <w:rsid w:val="00CE1665"/>
    <w:rsid w:val="00CE17ED"/>
    <w:rsid w:val="00CE188D"/>
    <w:rsid w:val="00CE1898"/>
    <w:rsid w:val="00CE1A23"/>
    <w:rsid w:val="00CE1A6B"/>
    <w:rsid w:val="00CE1AF8"/>
    <w:rsid w:val="00CE1BA2"/>
    <w:rsid w:val="00CE1D12"/>
    <w:rsid w:val="00CE1D21"/>
    <w:rsid w:val="00CE1DD9"/>
    <w:rsid w:val="00CE1E93"/>
    <w:rsid w:val="00CE2154"/>
    <w:rsid w:val="00CE216A"/>
    <w:rsid w:val="00CE21C0"/>
    <w:rsid w:val="00CE21D0"/>
    <w:rsid w:val="00CE21EB"/>
    <w:rsid w:val="00CE2416"/>
    <w:rsid w:val="00CE2582"/>
    <w:rsid w:val="00CE261E"/>
    <w:rsid w:val="00CE26D4"/>
    <w:rsid w:val="00CE2A8A"/>
    <w:rsid w:val="00CE2D3E"/>
    <w:rsid w:val="00CE2D47"/>
    <w:rsid w:val="00CE2DFE"/>
    <w:rsid w:val="00CE2E28"/>
    <w:rsid w:val="00CE2F5B"/>
    <w:rsid w:val="00CE2F62"/>
    <w:rsid w:val="00CE3015"/>
    <w:rsid w:val="00CE301D"/>
    <w:rsid w:val="00CE3047"/>
    <w:rsid w:val="00CE319D"/>
    <w:rsid w:val="00CE3615"/>
    <w:rsid w:val="00CE37CC"/>
    <w:rsid w:val="00CE3939"/>
    <w:rsid w:val="00CE3AC1"/>
    <w:rsid w:val="00CE3B91"/>
    <w:rsid w:val="00CE3BF1"/>
    <w:rsid w:val="00CE3BF3"/>
    <w:rsid w:val="00CE3C8D"/>
    <w:rsid w:val="00CE4025"/>
    <w:rsid w:val="00CE4165"/>
    <w:rsid w:val="00CE44EC"/>
    <w:rsid w:val="00CE462F"/>
    <w:rsid w:val="00CE47EE"/>
    <w:rsid w:val="00CE49A2"/>
    <w:rsid w:val="00CE4A9C"/>
    <w:rsid w:val="00CE4B90"/>
    <w:rsid w:val="00CE4BFE"/>
    <w:rsid w:val="00CE4C2E"/>
    <w:rsid w:val="00CE4D27"/>
    <w:rsid w:val="00CE4D65"/>
    <w:rsid w:val="00CE4D80"/>
    <w:rsid w:val="00CE4DE8"/>
    <w:rsid w:val="00CE4E70"/>
    <w:rsid w:val="00CE4EE4"/>
    <w:rsid w:val="00CE502C"/>
    <w:rsid w:val="00CE532D"/>
    <w:rsid w:val="00CE5371"/>
    <w:rsid w:val="00CE542C"/>
    <w:rsid w:val="00CE54CB"/>
    <w:rsid w:val="00CE5554"/>
    <w:rsid w:val="00CE568E"/>
    <w:rsid w:val="00CE572A"/>
    <w:rsid w:val="00CE5737"/>
    <w:rsid w:val="00CE57D1"/>
    <w:rsid w:val="00CE5964"/>
    <w:rsid w:val="00CE5A36"/>
    <w:rsid w:val="00CE5A7B"/>
    <w:rsid w:val="00CE5B09"/>
    <w:rsid w:val="00CE5B95"/>
    <w:rsid w:val="00CE5DE4"/>
    <w:rsid w:val="00CE5F81"/>
    <w:rsid w:val="00CE61D1"/>
    <w:rsid w:val="00CE621B"/>
    <w:rsid w:val="00CE63B6"/>
    <w:rsid w:val="00CE64BD"/>
    <w:rsid w:val="00CE6714"/>
    <w:rsid w:val="00CE6747"/>
    <w:rsid w:val="00CE693E"/>
    <w:rsid w:val="00CE697C"/>
    <w:rsid w:val="00CE6B37"/>
    <w:rsid w:val="00CE6B75"/>
    <w:rsid w:val="00CE6C8C"/>
    <w:rsid w:val="00CE6CBE"/>
    <w:rsid w:val="00CE6DBF"/>
    <w:rsid w:val="00CE6F32"/>
    <w:rsid w:val="00CE6F89"/>
    <w:rsid w:val="00CE70C1"/>
    <w:rsid w:val="00CE716B"/>
    <w:rsid w:val="00CE733A"/>
    <w:rsid w:val="00CE746E"/>
    <w:rsid w:val="00CE74E7"/>
    <w:rsid w:val="00CE7572"/>
    <w:rsid w:val="00CE77A0"/>
    <w:rsid w:val="00CE798C"/>
    <w:rsid w:val="00CE799D"/>
    <w:rsid w:val="00CE7A20"/>
    <w:rsid w:val="00CE7A5A"/>
    <w:rsid w:val="00CE7A95"/>
    <w:rsid w:val="00CE7BFA"/>
    <w:rsid w:val="00CE7CC3"/>
    <w:rsid w:val="00CE7D2E"/>
    <w:rsid w:val="00CE7DA6"/>
    <w:rsid w:val="00CF0025"/>
    <w:rsid w:val="00CF00C9"/>
    <w:rsid w:val="00CF0274"/>
    <w:rsid w:val="00CF05FB"/>
    <w:rsid w:val="00CF0640"/>
    <w:rsid w:val="00CF081F"/>
    <w:rsid w:val="00CF0851"/>
    <w:rsid w:val="00CF088E"/>
    <w:rsid w:val="00CF0A05"/>
    <w:rsid w:val="00CF0A38"/>
    <w:rsid w:val="00CF0A99"/>
    <w:rsid w:val="00CF0BB8"/>
    <w:rsid w:val="00CF0C5C"/>
    <w:rsid w:val="00CF0D49"/>
    <w:rsid w:val="00CF0D66"/>
    <w:rsid w:val="00CF0E81"/>
    <w:rsid w:val="00CF0EEB"/>
    <w:rsid w:val="00CF0F02"/>
    <w:rsid w:val="00CF0F55"/>
    <w:rsid w:val="00CF117D"/>
    <w:rsid w:val="00CF1270"/>
    <w:rsid w:val="00CF128E"/>
    <w:rsid w:val="00CF12E4"/>
    <w:rsid w:val="00CF14C3"/>
    <w:rsid w:val="00CF14FC"/>
    <w:rsid w:val="00CF1604"/>
    <w:rsid w:val="00CF160E"/>
    <w:rsid w:val="00CF167C"/>
    <w:rsid w:val="00CF16A5"/>
    <w:rsid w:val="00CF173C"/>
    <w:rsid w:val="00CF1A78"/>
    <w:rsid w:val="00CF1AAA"/>
    <w:rsid w:val="00CF1D9D"/>
    <w:rsid w:val="00CF1E48"/>
    <w:rsid w:val="00CF1EC7"/>
    <w:rsid w:val="00CF201E"/>
    <w:rsid w:val="00CF2021"/>
    <w:rsid w:val="00CF20F1"/>
    <w:rsid w:val="00CF21A6"/>
    <w:rsid w:val="00CF21B5"/>
    <w:rsid w:val="00CF2582"/>
    <w:rsid w:val="00CF261C"/>
    <w:rsid w:val="00CF2648"/>
    <w:rsid w:val="00CF2794"/>
    <w:rsid w:val="00CF2971"/>
    <w:rsid w:val="00CF2B45"/>
    <w:rsid w:val="00CF2C68"/>
    <w:rsid w:val="00CF2C95"/>
    <w:rsid w:val="00CF2CF5"/>
    <w:rsid w:val="00CF30AD"/>
    <w:rsid w:val="00CF31F7"/>
    <w:rsid w:val="00CF3203"/>
    <w:rsid w:val="00CF3278"/>
    <w:rsid w:val="00CF3335"/>
    <w:rsid w:val="00CF33FB"/>
    <w:rsid w:val="00CF3488"/>
    <w:rsid w:val="00CF3594"/>
    <w:rsid w:val="00CF3687"/>
    <w:rsid w:val="00CF375A"/>
    <w:rsid w:val="00CF3806"/>
    <w:rsid w:val="00CF39E9"/>
    <w:rsid w:val="00CF3A65"/>
    <w:rsid w:val="00CF3B40"/>
    <w:rsid w:val="00CF3DAB"/>
    <w:rsid w:val="00CF3DF4"/>
    <w:rsid w:val="00CF3E97"/>
    <w:rsid w:val="00CF4025"/>
    <w:rsid w:val="00CF4110"/>
    <w:rsid w:val="00CF4118"/>
    <w:rsid w:val="00CF4134"/>
    <w:rsid w:val="00CF4162"/>
    <w:rsid w:val="00CF42A6"/>
    <w:rsid w:val="00CF4357"/>
    <w:rsid w:val="00CF43C3"/>
    <w:rsid w:val="00CF44C7"/>
    <w:rsid w:val="00CF4641"/>
    <w:rsid w:val="00CF4643"/>
    <w:rsid w:val="00CF4721"/>
    <w:rsid w:val="00CF476E"/>
    <w:rsid w:val="00CF47F4"/>
    <w:rsid w:val="00CF48AD"/>
    <w:rsid w:val="00CF496B"/>
    <w:rsid w:val="00CF4994"/>
    <w:rsid w:val="00CF4A9B"/>
    <w:rsid w:val="00CF4B4B"/>
    <w:rsid w:val="00CF4BFE"/>
    <w:rsid w:val="00CF4C35"/>
    <w:rsid w:val="00CF4C91"/>
    <w:rsid w:val="00CF4CC6"/>
    <w:rsid w:val="00CF4D9A"/>
    <w:rsid w:val="00CF4DA8"/>
    <w:rsid w:val="00CF4DF4"/>
    <w:rsid w:val="00CF4E03"/>
    <w:rsid w:val="00CF4E2C"/>
    <w:rsid w:val="00CF502D"/>
    <w:rsid w:val="00CF5120"/>
    <w:rsid w:val="00CF5156"/>
    <w:rsid w:val="00CF5391"/>
    <w:rsid w:val="00CF547B"/>
    <w:rsid w:val="00CF548E"/>
    <w:rsid w:val="00CF558D"/>
    <w:rsid w:val="00CF55BC"/>
    <w:rsid w:val="00CF55D0"/>
    <w:rsid w:val="00CF563A"/>
    <w:rsid w:val="00CF56BD"/>
    <w:rsid w:val="00CF56C8"/>
    <w:rsid w:val="00CF5709"/>
    <w:rsid w:val="00CF5733"/>
    <w:rsid w:val="00CF576D"/>
    <w:rsid w:val="00CF585D"/>
    <w:rsid w:val="00CF59BB"/>
    <w:rsid w:val="00CF59FE"/>
    <w:rsid w:val="00CF5A31"/>
    <w:rsid w:val="00CF5A6A"/>
    <w:rsid w:val="00CF5CDA"/>
    <w:rsid w:val="00CF5D14"/>
    <w:rsid w:val="00CF5D1A"/>
    <w:rsid w:val="00CF5DAC"/>
    <w:rsid w:val="00CF5DCF"/>
    <w:rsid w:val="00CF5DE6"/>
    <w:rsid w:val="00CF5EB6"/>
    <w:rsid w:val="00CF5FCB"/>
    <w:rsid w:val="00CF6068"/>
    <w:rsid w:val="00CF60E7"/>
    <w:rsid w:val="00CF67C2"/>
    <w:rsid w:val="00CF68B7"/>
    <w:rsid w:val="00CF6942"/>
    <w:rsid w:val="00CF69DC"/>
    <w:rsid w:val="00CF69FF"/>
    <w:rsid w:val="00CF6B7F"/>
    <w:rsid w:val="00CF6D21"/>
    <w:rsid w:val="00CF6D38"/>
    <w:rsid w:val="00CF6DC4"/>
    <w:rsid w:val="00CF6E8B"/>
    <w:rsid w:val="00CF70CA"/>
    <w:rsid w:val="00CF725A"/>
    <w:rsid w:val="00CF738D"/>
    <w:rsid w:val="00CF75D5"/>
    <w:rsid w:val="00CF76BC"/>
    <w:rsid w:val="00CF7751"/>
    <w:rsid w:val="00CF7911"/>
    <w:rsid w:val="00CF7A59"/>
    <w:rsid w:val="00CF7AC8"/>
    <w:rsid w:val="00CF7AD3"/>
    <w:rsid w:val="00CF7BAA"/>
    <w:rsid w:val="00CF7BFE"/>
    <w:rsid w:val="00CF7C0A"/>
    <w:rsid w:val="00CF7C65"/>
    <w:rsid w:val="00CF7CE5"/>
    <w:rsid w:val="00CF7DA6"/>
    <w:rsid w:val="00CF7DC0"/>
    <w:rsid w:val="00CF7F25"/>
    <w:rsid w:val="00CF7F3D"/>
    <w:rsid w:val="00CF7FC2"/>
    <w:rsid w:val="00CF7FC8"/>
    <w:rsid w:val="00D0017F"/>
    <w:rsid w:val="00D0021A"/>
    <w:rsid w:val="00D002A9"/>
    <w:rsid w:val="00D002BA"/>
    <w:rsid w:val="00D00385"/>
    <w:rsid w:val="00D00398"/>
    <w:rsid w:val="00D004CF"/>
    <w:rsid w:val="00D004EE"/>
    <w:rsid w:val="00D004F7"/>
    <w:rsid w:val="00D005A3"/>
    <w:rsid w:val="00D005CA"/>
    <w:rsid w:val="00D0060F"/>
    <w:rsid w:val="00D00634"/>
    <w:rsid w:val="00D00A07"/>
    <w:rsid w:val="00D00BAE"/>
    <w:rsid w:val="00D00CAD"/>
    <w:rsid w:val="00D00CDD"/>
    <w:rsid w:val="00D00D6F"/>
    <w:rsid w:val="00D00DF9"/>
    <w:rsid w:val="00D00E7D"/>
    <w:rsid w:val="00D01003"/>
    <w:rsid w:val="00D010E7"/>
    <w:rsid w:val="00D01121"/>
    <w:rsid w:val="00D011CC"/>
    <w:rsid w:val="00D01332"/>
    <w:rsid w:val="00D01396"/>
    <w:rsid w:val="00D01457"/>
    <w:rsid w:val="00D01738"/>
    <w:rsid w:val="00D01867"/>
    <w:rsid w:val="00D01920"/>
    <w:rsid w:val="00D01930"/>
    <w:rsid w:val="00D0196D"/>
    <w:rsid w:val="00D01973"/>
    <w:rsid w:val="00D01AC7"/>
    <w:rsid w:val="00D01C0E"/>
    <w:rsid w:val="00D01DC3"/>
    <w:rsid w:val="00D01E3E"/>
    <w:rsid w:val="00D01E73"/>
    <w:rsid w:val="00D01EED"/>
    <w:rsid w:val="00D01FDD"/>
    <w:rsid w:val="00D02001"/>
    <w:rsid w:val="00D0203A"/>
    <w:rsid w:val="00D0217B"/>
    <w:rsid w:val="00D02319"/>
    <w:rsid w:val="00D0237A"/>
    <w:rsid w:val="00D024AB"/>
    <w:rsid w:val="00D025F8"/>
    <w:rsid w:val="00D02696"/>
    <w:rsid w:val="00D026AA"/>
    <w:rsid w:val="00D0271F"/>
    <w:rsid w:val="00D0298C"/>
    <w:rsid w:val="00D0299E"/>
    <w:rsid w:val="00D029B5"/>
    <w:rsid w:val="00D02A0B"/>
    <w:rsid w:val="00D02AF7"/>
    <w:rsid w:val="00D02B7F"/>
    <w:rsid w:val="00D02BB7"/>
    <w:rsid w:val="00D02BBC"/>
    <w:rsid w:val="00D02CC2"/>
    <w:rsid w:val="00D02E02"/>
    <w:rsid w:val="00D02F60"/>
    <w:rsid w:val="00D02FE8"/>
    <w:rsid w:val="00D03088"/>
    <w:rsid w:val="00D030EE"/>
    <w:rsid w:val="00D03106"/>
    <w:rsid w:val="00D031BC"/>
    <w:rsid w:val="00D032C6"/>
    <w:rsid w:val="00D0337E"/>
    <w:rsid w:val="00D033D4"/>
    <w:rsid w:val="00D03468"/>
    <w:rsid w:val="00D034D2"/>
    <w:rsid w:val="00D034E8"/>
    <w:rsid w:val="00D0360D"/>
    <w:rsid w:val="00D03718"/>
    <w:rsid w:val="00D039F5"/>
    <w:rsid w:val="00D03BC1"/>
    <w:rsid w:val="00D03E89"/>
    <w:rsid w:val="00D03EAE"/>
    <w:rsid w:val="00D03F38"/>
    <w:rsid w:val="00D04072"/>
    <w:rsid w:val="00D0422B"/>
    <w:rsid w:val="00D0422C"/>
    <w:rsid w:val="00D042AE"/>
    <w:rsid w:val="00D042F0"/>
    <w:rsid w:val="00D04309"/>
    <w:rsid w:val="00D0430D"/>
    <w:rsid w:val="00D04409"/>
    <w:rsid w:val="00D046D1"/>
    <w:rsid w:val="00D0486E"/>
    <w:rsid w:val="00D04871"/>
    <w:rsid w:val="00D04991"/>
    <w:rsid w:val="00D04A41"/>
    <w:rsid w:val="00D04A72"/>
    <w:rsid w:val="00D04AA4"/>
    <w:rsid w:val="00D04AF7"/>
    <w:rsid w:val="00D04B1B"/>
    <w:rsid w:val="00D04B3A"/>
    <w:rsid w:val="00D04B4D"/>
    <w:rsid w:val="00D04BD9"/>
    <w:rsid w:val="00D04F27"/>
    <w:rsid w:val="00D04FD9"/>
    <w:rsid w:val="00D05014"/>
    <w:rsid w:val="00D0505A"/>
    <w:rsid w:val="00D050C7"/>
    <w:rsid w:val="00D05132"/>
    <w:rsid w:val="00D05296"/>
    <w:rsid w:val="00D052A6"/>
    <w:rsid w:val="00D05306"/>
    <w:rsid w:val="00D054BC"/>
    <w:rsid w:val="00D054E6"/>
    <w:rsid w:val="00D05549"/>
    <w:rsid w:val="00D05663"/>
    <w:rsid w:val="00D056ED"/>
    <w:rsid w:val="00D05854"/>
    <w:rsid w:val="00D05873"/>
    <w:rsid w:val="00D05A08"/>
    <w:rsid w:val="00D05A30"/>
    <w:rsid w:val="00D05C40"/>
    <w:rsid w:val="00D05CB9"/>
    <w:rsid w:val="00D05CD2"/>
    <w:rsid w:val="00D05D89"/>
    <w:rsid w:val="00D05DC5"/>
    <w:rsid w:val="00D05E14"/>
    <w:rsid w:val="00D05E4D"/>
    <w:rsid w:val="00D05F19"/>
    <w:rsid w:val="00D05F70"/>
    <w:rsid w:val="00D05FBA"/>
    <w:rsid w:val="00D05FC6"/>
    <w:rsid w:val="00D0601C"/>
    <w:rsid w:val="00D06064"/>
    <w:rsid w:val="00D06263"/>
    <w:rsid w:val="00D0629F"/>
    <w:rsid w:val="00D062FC"/>
    <w:rsid w:val="00D06561"/>
    <w:rsid w:val="00D06769"/>
    <w:rsid w:val="00D06889"/>
    <w:rsid w:val="00D06901"/>
    <w:rsid w:val="00D06A79"/>
    <w:rsid w:val="00D06AB9"/>
    <w:rsid w:val="00D06AD3"/>
    <w:rsid w:val="00D06B34"/>
    <w:rsid w:val="00D06D2C"/>
    <w:rsid w:val="00D06D77"/>
    <w:rsid w:val="00D06D7B"/>
    <w:rsid w:val="00D06DE4"/>
    <w:rsid w:val="00D06E23"/>
    <w:rsid w:val="00D06EE8"/>
    <w:rsid w:val="00D06F15"/>
    <w:rsid w:val="00D07051"/>
    <w:rsid w:val="00D0746B"/>
    <w:rsid w:val="00D074F6"/>
    <w:rsid w:val="00D07620"/>
    <w:rsid w:val="00D07639"/>
    <w:rsid w:val="00D07643"/>
    <w:rsid w:val="00D07805"/>
    <w:rsid w:val="00D0784D"/>
    <w:rsid w:val="00D078BE"/>
    <w:rsid w:val="00D07AC4"/>
    <w:rsid w:val="00D07AE3"/>
    <w:rsid w:val="00D07B86"/>
    <w:rsid w:val="00D07C22"/>
    <w:rsid w:val="00D10125"/>
    <w:rsid w:val="00D10133"/>
    <w:rsid w:val="00D102A8"/>
    <w:rsid w:val="00D1034A"/>
    <w:rsid w:val="00D10352"/>
    <w:rsid w:val="00D10519"/>
    <w:rsid w:val="00D1057C"/>
    <w:rsid w:val="00D105A9"/>
    <w:rsid w:val="00D1074F"/>
    <w:rsid w:val="00D1077F"/>
    <w:rsid w:val="00D107DD"/>
    <w:rsid w:val="00D10926"/>
    <w:rsid w:val="00D109A4"/>
    <w:rsid w:val="00D10A8F"/>
    <w:rsid w:val="00D10AD4"/>
    <w:rsid w:val="00D10C13"/>
    <w:rsid w:val="00D10CFF"/>
    <w:rsid w:val="00D10D4B"/>
    <w:rsid w:val="00D10D51"/>
    <w:rsid w:val="00D10E34"/>
    <w:rsid w:val="00D10F09"/>
    <w:rsid w:val="00D10F91"/>
    <w:rsid w:val="00D10FD7"/>
    <w:rsid w:val="00D112E9"/>
    <w:rsid w:val="00D113BF"/>
    <w:rsid w:val="00D113D7"/>
    <w:rsid w:val="00D114D7"/>
    <w:rsid w:val="00D115A0"/>
    <w:rsid w:val="00D115EE"/>
    <w:rsid w:val="00D11614"/>
    <w:rsid w:val="00D1161C"/>
    <w:rsid w:val="00D1183A"/>
    <w:rsid w:val="00D11871"/>
    <w:rsid w:val="00D11B53"/>
    <w:rsid w:val="00D11EF4"/>
    <w:rsid w:val="00D11F64"/>
    <w:rsid w:val="00D11FDE"/>
    <w:rsid w:val="00D12187"/>
    <w:rsid w:val="00D121FB"/>
    <w:rsid w:val="00D122A0"/>
    <w:rsid w:val="00D122EE"/>
    <w:rsid w:val="00D12386"/>
    <w:rsid w:val="00D123EA"/>
    <w:rsid w:val="00D12456"/>
    <w:rsid w:val="00D1267C"/>
    <w:rsid w:val="00D12780"/>
    <w:rsid w:val="00D1284E"/>
    <w:rsid w:val="00D12997"/>
    <w:rsid w:val="00D12AFB"/>
    <w:rsid w:val="00D12E54"/>
    <w:rsid w:val="00D1303F"/>
    <w:rsid w:val="00D130B0"/>
    <w:rsid w:val="00D13128"/>
    <w:rsid w:val="00D13141"/>
    <w:rsid w:val="00D131EC"/>
    <w:rsid w:val="00D1328A"/>
    <w:rsid w:val="00D13350"/>
    <w:rsid w:val="00D13397"/>
    <w:rsid w:val="00D1383E"/>
    <w:rsid w:val="00D1399C"/>
    <w:rsid w:val="00D13A35"/>
    <w:rsid w:val="00D13A8C"/>
    <w:rsid w:val="00D13AAF"/>
    <w:rsid w:val="00D13ABA"/>
    <w:rsid w:val="00D13C2A"/>
    <w:rsid w:val="00D13D2C"/>
    <w:rsid w:val="00D13E76"/>
    <w:rsid w:val="00D13ED9"/>
    <w:rsid w:val="00D14134"/>
    <w:rsid w:val="00D141C3"/>
    <w:rsid w:val="00D142DC"/>
    <w:rsid w:val="00D14325"/>
    <w:rsid w:val="00D1445E"/>
    <w:rsid w:val="00D1446C"/>
    <w:rsid w:val="00D14474"/>
    <w:rsid w:val="00D145EC"/>
    <w:rsid w:val="00D14685"/>
    <w:rsid w:val="00D1476D"/>
    <w:rsid w:val="00D147F8"/>
    <w:rsid w:val="00D149BF"/>
    <w:rsid w:val="00D149ED"/>
    <w:rsid w:val="00D14BD6"/>
    <w:rsid w:val="00D14C66"/>
    <w:rsid w:val="00D14C91"/>
    <w:rsid w:val="00D14CAC"/>
    <w:rsid w:val="00D14D2C"/>
    <w:rsid w:val="00D14D58"/>
    <w:rsid w:val="00D1500F"/>
    <w:rsid w:val="00D1503B"/>
    <w:rsid w:val="00D150B6"/>
    <w:rsid w:val="00D153D2"/>
    <w:rsid w:val="00D1567A"/>
    <w:rsid w:val="00D15A05"/>
    <w:rsid w:val="00D15A32"/>
    <w:rsid w:val="00D15A52"/>
    <w:rsid w:val="00D15AD2"/>
    <w:rsid w:val="00D15C27"/>
    <w:rsid w:val="00D15C7E"/>
    <w:rsid w:val="00D15D3C"/>
    <w:rsid w:val="00D15E01"/>
    <w:rsid w:val="00D15F4A"/>
    <w:rsid w:val="00D15FBF"/>
    <w:rsid w:val="00D1601F"/>
    <w:rsid w:val="00D16099"/>
    <w:rsid w:val="00D161C4"/>
    <w:rsid w:val="00D161FA"/>
    <w:rsid w:val="00D16204"/>
    <w:rsid w:val="00D16407"/>
    <w:rsid w:val="00D16478"/>
    <w:rsid w:val="00D164B9"/>
    <w:rsid w:val="00D166CA"/>
    <w:rsid w:val="00D168E3"/>
    <w:rsid w:val="00D1695E"/>
    <w:rsid w:val="00D169A6"/>
    <w:rsid w:val="00D16A62"/>
    <w:rsid w:val="00D16D28"/>
    <w:rsid w:val="00D16EBE"/>
    <w:rsid w:val="00D16F07"/>
    <w:rsid w:val="00D16F2E"/>
    <w:rsid w:val="00D17104"/>
    <w:rsid w:val="00D1711D"/>
    <w:rsid w:val="00D1722C"/>
    <w:rsid w:val="00D172D6"/>
    <w:rsid w:val="00D172FF"/>
    <w:rsid w:val="00D173E0"/>
    <w:rsid w:val="00D173EB"/>
    <w:rsid w:val="00D178E7"/>
    <w:rsid w:val="00D17939"/>
    <w:rsid w:val="00D17982"/>
    <w:rsid w:val="00D17B69"/>
    <w:rsid w:val="00D17B71"/>
    <w:rsid w:val="00D17D2B"/>
    <w:rsid w:val="00D17D8A"/>
    <w:rsid w:val="00D17DD2"/>
    <w:rsid w:val="00D20096"/>
    <w:rsid w:val="00D2021B"/>
    <w:rsid w:val="00D2025C"/>
    <w:rsid w:val="00D202AB"/>
    <w:rsid w:val="00D20336"/>
    <w:rsid w:val="00D20383"/>
    <w:rsid w:val="00D20508"/>
    <w:rsid w:val="00D2061D"/>
    <w:rsid w:val="00D20658"/>
    <w:rsid w:val="00D2084B"/>
    <w:rsid w:val="00D2095C"/>
    <w:rsid w:val="00D209FA"/>
    <w:rsid w:val="00D20A3B"/>
    <w:rsid w:val="00D20A68"/>
    <w:rsid w:val="00D20B18"/>
    <w:rsid w:val="00D20B20"/>
    <w:rsid w:val="00D20B39"/>
    <w:rsid w:val="00D20D19"/>
    <w:rsid w:val="00D20D1D"/>
    <w:rsid w:val="00D20D90"/>
    <w:rsid w:val="00D20DB1"/>
    <w:rsid w:val="00D20E05"/>
    <w:rsid w:val="00D20E2B"/>
    <w:rsid w:val="00D20E95"/>
    <w:rsid w:val="00D20EE2"/>
    <w:rsid w:val="00D20EE4"/>
    <w:rsid w:val="00D20F8F"/>
    <w:rsid w:val="00D20FFD"/>
    <w:rsid w:val="00D2126E"/>
    <w:rsid w:val="00D212DF"/>
    <w:rsid w:val="00D212F1"/>
    <w:rsid w:val="00D21303"/>
    <w:rsid w:val="00D21735"/>
    <w:rsid w:val="00D217AF"/>
    <w:rsid w:val="00D218F8"/>
    <w:rsid w:val="00D21970"/>
    <w:rsid w:val="00D2199D"/>
    <w:rsid w:val="00D21A11"/>
    <w:rsid w:val="00D21AE7"/>
    <w:rsid w:val="00D21E55"/>
    <w:rsid w:val="00D21F22"/>
    <w:rsid w:val="00D22047"/>
    <w:rsid w:val="00D22069"/>
    <w:rsid w:val="00D220B3"/>
    <w:rsid w:val="00D223AA"/>
    <w:rsid w:val="00D223B1"/>
    <w:rsid w:val="00D22477"/>
    <w:rsid w:val="00D2247B"/>
    <w:rsid w:val="00D22540"/>
    <w:rsid w:val="00D22636"/>
    <w:rsid w:val="00D2268B"/>
    <w:rsid w:val="00D2270C"/>
    <w:rsid w:val="00D22818"/>
    <w:rsid w:val="00D22886"/>
    <w:rsid w:val="00D228AA"/>
    <w:rsid w:val="00D22B51"/>
    <w:rsid w:val="00D22D1F"/>
    <w:rsid w:val="00D22D94"/>
    <w:rsid w:val="00D22E53"/>
    <w:rsid w:val="00D22E9D"/>
    <w:rsid w:val="00D23097"/>
    <w:rsid w:val="00D230FA"/>
    <w:rsid w:val="00D231A4"/>
    <w:rsid w:val="00D233D9"/>
    <w:rsid w:val="00D23470"/>
    <w:rsid w:val="00D23563"/>
    <w:rsid w:val="00D235C5"/>
    <w:rsid w:val="00D2364C"/>
    <w:rsid w:val="00D236B1"/>
    <w:rsid w:val="00D2379F"/>
    <w:rsid w:val="00D2380E"/>
    <w:rsid w:val="00D23827"/>
    <w:rsid w:val="00D238F8"/>
    <w:rsid w:val="00D23A49"/>
    <w:rsid w:val="00D23AA6"/>
    <w:rsid w:val="00D23ABD"/>
    <w:rsid w:val="00D23BCC"/>
    <w:rsid w:val="00D23CC2"/>
    <w:rsid w:val="00D23D88"/>
    <w:rsid w:val="00D23D90"/>
    <w:rsid w:val="00D23D9C"/>
    <w:rsid w:val="00D23EB4"/>
    <w:rsid w:val="00D23F70"/>
    <w:rsid w:val="00D23F73"/>
    <w:rsid w:val="00D24072"/>
    <w:rsid w:val="00D24097"/>
    <w:rsid w:val="00D240BA"/>
    <w:rsid w:val="00D2419E"/>
    <w:rsid w:val="00D241E1"/>
    <w:rsid w:val="00D242DA"/>
    <w:rsid w:val="00D2432D"/>
    <w:rsid w:val="00D243AE"/>
    <w:rsid w:val="00D244D1"/>
    <w:rsid w:val="00D2452C"/>
    <w:rsid w:val="00D24614"/>
    <w:rsid w:val="00D246F0"/>
    <w:rsid w:val="00D24767"/>
    <w:rsid w:val="00D249C2"/>
    <w:rsid w:val="00D24A4E"/>
    <w:rsid w:val="00D24C1B"/>
    <w:rsid w:val="00D24D1A"/>
    <w:rsid w:val="00D24D5B"/>
    <w:rsid w:val="00D24E22"/>
    <w:rsid w:val="00D24E6F"/>
    <w:rsid w:val="00D24ECE"/>
    <w:rsid w:val="00D24EF5"/>
    <w:rsid w:val="00D24F0D"/>
    <w:rsid w:val="00D24FED"/>
    <w:rsid w:val="00D25000"/>
    <w:rsid w:val="00D2509B"/>
    <w:rsid w:val="00D25228"/>
    <w:rsid w:val="00D25267"/>
    <w:rsid w:val="00D25307"/>
    <w:rsid w:val="00D25388"/>
    <w:rsid w:val="00D253B6"/>
    <w:rsid w:val="00D2544A"/>
    <w:rsid w:val="00D25454"/>
    <w:rsid w:val="00D256E4"/>
    <w:rsid w:val="00D25755"/>
    <w:rsid w:val="00D2577F"/>
    <w:rsid w:val="00D2584A"/>
    <w:rsid w:val="00D258CC"/>
    <w:rsid w:val="00D258F1"/>
    <w:rsid w:val="00D25977"/>
    <w:rsid w:val="00D259C6"/>
    <w:rsid w:val="00D25A12"/>
    <w:rsid w:val="00D25A44"/>
    <w:rsid w:val="00D25AC0"/>
    <w:rsid w:val="00D25B5F"/>
    <w:rsid w:val="00D25CE1"/>
    <w:rsid w:val="00D25EB9"/>
    <w:rsid w:val="00D25F08"/>
    <w:rsid w:val="00D260CA"/>
    <w:rsid w:val="00D2612C"/>
    <w:rsid w:val="00D262D3"/>
    <w:rsid w:val="00D264A0"/>
    <w:rsid w:val="00D265D8"/>
    <w:rsid w:val="00D26606"/>
    <w:rsid w:val="00D26787"/>
    <w:rsid w:val="00D26801"/>
    <w:rsid w:val="00D2684A"/>
    <w:rsid w:val="00D268B5"/>
    <w:rsid w:val="00D269B6"/>
    <w:rsid w:val="00D269F4"/>
    <w:rsid w:val="00D26ADC"/>
    <w:rsid w:val="00D26B3D"/>
    <w:rsid w:val="00D26C02"/>
    <w:rsid w:val="00D26C09"/>
    <w:rsid w:val="00D26CE1"/>
    <w:rsid w:val="00D26CE6"/>
    <w:rsid w:val="00D26EED"/>
    <w:rsid w:val="00D26F16"/>
    <w:rsid w:val="00D26F44"/>
    <w:rsid w:val="00D27018"/>
    <w:rsid w:val="00D27090"/>
    <w:rsid w:val="00D273B4"/>
    <w:rsid w:val="00D273F5"/>
    <w:rsid w:val="00D2749E"/>
    <w:rsid w:val="00D2765D"/>
    <w:rsid w:val="00D276A3"/>
    <w:rsid w:val="00D27738"/>
    <w:rsid w:val="00D277CB"/>
    <w:rsid w:val="00D2787B"/>
    <w:rsid w:val="00D27944"/>
    <w:rsid w:val="00D279C0"/>
    <w:rsid w:val="00D27B0E"/>
    <w:rsid w:val="00D27B34"/>
    <w:rsid w:val="00D27B6B"/>
    <w:rsid w:val="00D27CDD"/>
    <w:rsid w:val="00D27CE0"/>
    <w:rsid w:val="00D27D94"/>
    <w:rsid w:val="00D27E62"/>
    <w:rsid w:val="00D27E65"/>
    <w:rsid w:val="00D27E69"/>
    <w:rsid w:val="00D27E7B"/>
    <w:rsid w:val="00D27E9C"/>
    <w:rsid w:val="00D27FAE"/>
    <w:rsid w:val="00D30117"/>
    <w:rsid w:val="00D301C0"/>
    <w:rsid w:val="00D3029B"/>
    <w:rsid w:val="00D30324"/>
    <w:rsid w:val="00D30433"/>
    <w:rsid w:val="00D3043A"/>
    <w:rsid w:val="00D30542"/>
    <w:rsid w:val="00D3061B"/>
    <w:rsid w:val="00D30725"/>
    <w:rsid w:val="00D3073D"/>
    <w:rsid w:val="00D30755"/>
    <w:rsid w:val="00D30814"/>
    <w:rsid w:val="00D3089F"/>
    <w:rsid w:val="00D30A4C"/>
    <w:rsid w:val="00D30AAF"/>
    <w:rsid w:val="00D30AE0"/>
    <w:rsid w:val="00D30C2A"/>
    <w:rsid w:val="00D30C77"/>
    <w:rsid w:val="00D30CB6"/>
    <w:rsid w:val="00D30DA2"/>
    <w:rsid w:val="00D30FAB"/>
    <w:rsid w:val="00D31180"/>
    <w:rsid w:val="00D3127C"/>
    <w:rsid w:val="00D31280"/>
    <w:rsid w:val="00D313CB"/>
    <w:rsid w:val="00D31498"/>
    <w:rsid w:val="00D31675"/>
    <w:rsid w:val="00D317BD"/>
    <w:rsid w:val="00D31811"/>
    <w:rsid w:val="00D3185F"/>
    <w:rsid w:val="00D3192F"/>
    <w:rsid w:val="00D31995"/>
    <w:rsid w:val="00D31AD9"/>
    <w:rsid w:val="00D31B79"/>
    <w:rsid w:val="00D31C32"/>
    <w:rsid w:val="00D31C7C"/>
    <w:rsid w:val="00D31CB2"/>
    <w:rsid w:val="00D31D03"/>
    <w:rsid w:val="00D31D09"/>
    <w:rsid w:val="00D31D49"/>
    <w:rsid w:val="00D31EC3"/>
    <w:rsid w:val="00D32058"/>
    <w:rsid w:val="00D3209C"/>
    <w:rsid w:val="00D32185"/>
    <w:rsid w:val="00D32258"/>
    <w:rsid w:val="00D32276"/>
    <w:rsid w:val="00D3247A"/>
    <w:rsid w:val="00D324F2"/>
    <w:rsid w:val="00D325E1"/>
    <w:rsid w:val="00D32641"/>
    <w:rsid w:val="00D326D0"/>
    <w:rsid w:val="00D329C9"/>
    <w:rsid w:val="00D32A4A"/>
    <w:rsid w:val="00D32A8F"/>
    <w:rsid w:val="00D32B74"/>
    <w:rsid w:val="00D32C09"/>
    <w:rsid w:val="00D32C33"/>
    <w:rsid w:val="00D330FD"/>
    <w:rsid w:val="00D331C1"/>
    <w:rsid w:val="00D33228"/>
    <w:rsid w:val="00D33240"/>
    <w:rsid w:val="00D3326B"/>
    <w:rsid w:val="00D3329F"/>
    <w:rsid w:val="00D332EC"/>
    <w:rsid w:val="00D3333A"/>
    <w:rsid w:val="00D333CE"/>
    <w:rsid w:val="00D3348D"/>
    <w:rsid w:val="00D334D7"/>
    <w:rsid w:val="00D33573"/>
    <w:rsid w:val="00D33598"/>
    <w:rsid w:val="00D33606"/>
    <w:rsid w:val="00D336A6"/>
    <w:rsid w:val="00D33748"/>
    <w:rsid w:val="00D33920"/>
    <w:rsid w:val="00D33991"/>
    <w:rsid w:val="00D33A02"/>
    <w:rsid w:val="00D33AC2"/>
    <w:rsid w:val="00D33B32"/>
    <w:rsid w:val="00D33BC3"/>
    <w:rsid w:val="00D33C32"/>
    <w:rsid w:val="00D33CD5"/>
    <w:rsid w:val="00D33D20"/>
    <w:rsid w:val="00D33D7A"/>
    <w:rsid w:val="00D33DE9"/>
    <w:rsid w:val="00D33E09"/>
    <w:rsid w:val="00D33E2C"/>
    <w:rsid w:val="00D33EA7"/>
    <w:rsid w:val="00D33EC2"/>
    <w:rsid w:val="00D33ED4"/>
    <w:rsid w:val="00D33F25"/>
    <w:rsid w:val="00D3420A"/>
    <w:rsid w:val="00D3429B"/>
    <w:rsid w:val="00D34410"/>
    <w:rsid w:val="00D347D1"/>
    <w:rsid w:val="00D348B9"/>
    <w:rsid w:val="00D34933"/>
    <w:rsid w:val="00D34A33"/>
    <w:rsid w:val="00D34A75"/>
    <w:rsid w:val="00D34B88"/>
    <w:rsid w:val="00D34BAE"/>
    <w:rsid w:val="00D34BAF"/>
    <w:rsid w:val="00D34BC0"/>
    <w:rsid w:val="00D34C25"/>
    <w:rsid w:val="00D34EF2"/>
    <w:rsid w:val="00D35020"/>
    <w:rsid w:val="00D35179"/>
    <w:rsid w:val="00D35228"/>
    <w:rsid w:val="00D3532F"/>
    <w:rsid w:val="00D35514"/>
    <w:rsid w:val="00D35686"/>
    <w:rsid w:val="00D35850"/>
    <w:rsid w:val="00D358E3"/>
    <w:rsid w:val="00D35953"/>
    <w:rsid w:val="00D35A12"/>
    <w:rsid w:val="00D35A5C"/>
    <w:rsid w:val="00D35AF0"/>
    <w:rsid w:val="00D35B04"/>
    <w:rsid w:val="00D35B34"/>
    <w:rsid w:val="00D35B93"/>
    <w:rsid w:val="00D35C1B"/>
    <w:rsid w:val="00D35C23"/>
    <w:rsid w:val="00D35C2C"/>
    <w:rsid w:val="00D35CDC"/>
    <w:rsid w:val="00D35DD7"/>
    <w:rsid w:val="00D35E4B"/>
    <w:rsid w:val="00D35E7E"/>
    <w:rsid w:val="00D35F50"/>
    <w:rsid w:val="00D36092"/>
    <w:rsid w:val="00D36100"/>
    <w:rsid w:val="00D36197"/>
    <w:rsid w:val="00D361D7"/>
    <w:rsid w:val="00D3622A"/>
    <w:rsid w:val="00D3631A"/>
    <w:rsid w:val="00D36405"/>
    <w:rsid w:val="00D364A1"/>
    <w:rsid w:val="00D364A3"/>
    <w:rsid w:val="00D36580"/>
    <w:rsid w:val="00D36632"/>
    <w:rsid w:val="00D36683"/>
    <w:rsid w:val="00D36988"/>
    <w:rsid w:val="00D36AF2"/>
    <w:rsid w:val="00D36B56"/>
    <w:rsid w:val="00D36C1F"/>
    <w:rsid w:val="00D36C21"/>
    <w:rsid w:val="00D36E7C"/>
    <w:rsid w:val="00D36F2A"/>
    <w:rsid w:val="00D36FD5"/>
    <w:rsid w:val="00D36FEA"/>
    <w:rsid w:val="00D3700B"/>
    <w:rsid w:val="00D3701C"/>
    <w:rsid w:val="00D37031"/>
    <w:rsid w:val="00D37054"/>
    <w:rsid w:val="00D37085"/>
    <w:rsid w:val="00D37482"/>
    <w:rsid w:val="00D374FC"/>
    <w:rsid w:val="00D375C9"/>
    <w:rsid w:val="00D37737"/>
    <w:rsid w:val="00D37752"/>
    <w:rsid w:val="00D377A7"/>
    <w:rsid w:val="00D37828"/>
    <w:rsid w:val="00D37862"/>
    <w:rsid w:val="00D37B15"/>
    <w:rsid w:val="00D37D10"/>
    <w:rsid w:val="00D37D33"/>
    <w:rsid w:val="00D37D35"/>
    <w:rsid w:val="00D37D54"/>
    <w:rsid w:val="00D37DEF"/>
    <w:rsid w:val="00D37E13"/>
    <w:rsid w:val="00D37E15"/>
    <w:rsid w:val="00D40025"/>
    <w:rsid w:val="00D40151"/>
    <w:rsid w:val="00D4026C"/>
    <w:rsid w:val="00D403CD"/>
    <w:rsid w:val="00D4046C"/>
    <w:rsid w:val="00D40590"/>
    <w:rsid w:val="00D40655"/>
    <w:rsid w:val="00D407EF"/>
    <w:rsid w:val="00D408A0"/>
    <w:rsid w:val="00D408EE"/>
    <w:rsid w:val="00D40969"/>
    <w:rsid w:val="00D40C6B"/>
    <w:rsid w:val="00D40CED"/>
    <w:rsid w:val="00D40D1C"/>
    <w:rsid w:val="00D40DCA"/>
    <w:rsid w:val="00D40DDC"/>
    <w:rsid w:val="00D40E2A"/>
    <w:rsid w:val="00D40F55"/>
    <w:rsid w:val="00D4104C"/>
    <w:rsid w:val="00D41063"/>
    <w:rsid w:val="00D411B2"/>
    <w:rsid w:val="00D411C5"/>
    <w:rsid w:val="00D4128E"/>
    <w:rsid w:val="00D413C9"/>
    <w:rsid w:val="00D41690"/>
    <w:rsid w:val="00D4169B"/>
    <w:rsid w:val="00D417AC"/>
    <w:rsid w:val="00D418F5"/>
    <w:rsid w:val="00D41936"/>
    <w:rsid w:val="00D41A80"/>
    <w:rsid w:val="00D41C92"/>
    <w:rsid w:val="00D41DE4"/>
    <w:rsid w:val="00D41DFA"/>
    <w:rsid w:val="00D41ECC"/>
    <w:rsid w:val="00D421CF"/>
    <w:rsid w:val="00D4227A"/>
    <w:rsid w:val="00D4245C"/>
    <w:rsid w:val="00D42534"/>
    <w:rsid w:val="00D425A2"/>
    <w:rsid w:val="00D425E7"/>
    <w:rsid w:val="00D42616"/>
    <w:rsid w:val="00D4273D"/>
    <w:rsid w:val="00D42889"/>
    <w:rsid w:val="00D428F3"/>
    <w:rsid w:val="00D42A67"/>
    <w:rsid w:val="00D42C90"/>
    <w:rsid w:val="00D42DC9"/>
    <w:rsid w:val="00D42DD7"/>
    <w:rsid w:val="00D42E8B"/>
    <w:rsid w:val="00D42E99"/>
    <w:rsid w:val="00D42EDA"/>
    <w:rsid w:val="00D42F0E"/>
    <w:rsid w:val="00D42F9A"/>
    <w:rsid w:val="00D43123"/>
    <w:rsid w:val="00D431B9"/>
    <w:rsid w:val="00D4329F"/>
    <w:rsid w:val="00D433C5"/>
    <w:rsid w:val="00D433EE"/>
    <w:rsid w:val="00D4343D"/>
    <w:rsid w:val="00D43460"/>
    <w:rsid w:val="00D43518"/>
    <w:rsid w:val="00D435F6"/>
    <w:rsid w:val="00D4364D"/>
    <w:rsid w:val="00D4366B"/>
    <w:rsid w:val="00D43863"/>
    <w:rsid w:val="00D43B4C"/>
    <w:rsid w:val="00D43B86"/>
    <w:rsid w:val="00D43BDF"/>
    <w:rsid w:val="00D43D04"/>
    <w:rsid w:val="00D43D0B"/>
    <w:rsid w:val="00D43E5D"/>
    <w:rsid w:val="00D44023"/>
    <w:rsid w:val="00D44085"/>
    <w:rsid w:val="00D44100"/>
    <w:rsid w:val="00D441A3"/>
    <w:rsid w:val="00D441E5"/>
    <w:rsid w:val="00D443A6"/>
    <w:rsid w:val="00D44417"/>
    <w:rsid w:val="00D444D9"/>
    <w:rsid w:val="00D4466A"/>
    <w:rsid w:val="00D446D0"/>
    <w:rsid w:val="00D4488E"/>
    <w:rsid w:val="00D448AD"/>
    <w:rsid w:val="00D448B1"/>
    <w:rsid w:val="00D44A2A"/>
    <w:rsid w:val="00D44ACA"/>
    <w:rsid w:val="00D44BC7"/>
    <w:rsid w:val="00D44BFD"/>
    <w:rsid w:val="00D44D48"/>
    <w:rsid w:val="00D44EC1"/>
    <w:rsid w:val="00D44F87"/>
    <w:rsid w:val="00D44FB1"/>
    <w:rsid w:val="00D450A3"/>
    <w:rsid w:val="00D450DF"/>
    <w:rsid w:val="00D450E1"/>
    <w:rsid w:val="00D451B7"/>
    <w:rsid w:val="00D45316"/>
    <w:rsid w:val="00D454E1"/>
    <w:rsid w:val="00D4579B"/>
    <w:rsid w:val="00D457BA"/>
    <w:rsid w:val="00D45880"/>
    <w:rsid w:val="00D458AB"/>
    <w:rsid w:val="00D45CDD"/>
    <w:rsid w:val="00D45E4A"/>
    <w:rsid w:val="00D45FF9"/>
    <w:rsid w:val="00D46063"/>
    <w:rsid w:val="00D4625C"/>
    <w:rsid w:val="00D4631C"/>
    <w:rsid w:val="00D4641C"/>
    <w:rsid w:val="00D46753"/>
    <w:rsid w:val="00D46772"/>
    <w:rsid w:val="00D4687B"/>
    <w:rsid w:val="00D469C8"/>
    <w:rsid w:val="00D46A7B"/>
    <w:rsid w:val="00D46B05"/>
    <w:rsid w:val="00D46E12"/>
    <w:rsid w:val="00D46FC3"/>
    <w:rsid w:val="00D47030"/>
    <w:rsid w:val="00D471A5"/>
    <w:rsid w:val="00D471B8"/>
    <w:rsid w:val="00D47354"/>
    <w:rsid w:val="00D4745D"/>
    <w:rsid w:val="00D47614"/>
    <w:rsid w:val="00D47683"/>
    <w:rsid w:val="00D476EA"/>
    <w:rsid w:val="00D47735"/>
    <w:rsid w:val="00D47858"/>
    <w:rsid w:val="00D478B3"/>
    <w:rsid w:val="00D47974"/>
    <w:rsid w:val="00D47A2C"/>
    <w:rsid w:val="00D47A73"/>
    <w:rsid w:val="00D47A84"/>
    <w:rsid w:val="00D47E51"/>
    <w:rsid w:val="00D47FCF"/>
    <w:rsid w:val="00D500B4"/>
    <w:rsid w:val="00D5011A"/>
    <w:rsid w:val="00D50278"/>
    <w:rsid w:val="00D503E4"/>
    <w:rsid w:val="00D50454"/>
    <w:rsid w:val="00D504FE"/>
    <w:rsid w:val="00D50610"/>
    <w:rsid w:val="00D50620"/>
    <w:rsid w:val="00D5065D"/>
    <w:rsid w:val="00D50729"/>
    <w:rsid w:val="00D50739"/>
    <w:rsid w:val="00D507DB"/>
    <w:rsid w:val="00D50842"/>
    <w:rsid w:val="00D5084A"/>
    <w:rsid w:val="00D50875"/>
    <w:rsid w:val="00D5096A"/>
    <w:rsid w:val="00D50AAF"/>
    <w:rsid w:val="00D50C3B"/>
    <w:rsid w:val="00D50D16"/>
    <w:rsid w:val="00D50D57"/>
    <w:rsid w:val="00D50FD5"/>
    <w:rsid w:val="00D50FF9"/>
    <w:rsid w:val="00D51166"/>
    <w:rsid w:val="00D511AF"/>
    <w:rsid w:val="00D511C5"/>
    <w:rsid w:val="00D5124D"/>
    <w:rsid w:val="00D5127A"/>
    <w:rsid w:val="00D5130A"/>
    <w:rsid w:val="00D51368"/>
    <w:rsid w:val="00D51435"/>
    <w:rsid w:val="00D51489"/>
    <w:rsid w:val="00D51522"/>
    <w:rsid w:val="00D515E6"/>
    <w:rsid w:val="00D51754"/>
    <w:rsid w:val="00D5181A"/>
    <w:rsid w:val="00D51873"/>
    <w:rsid w:val="00D51902"/>
    <w:rsid w:val="00D51929"/>
    <w:rsid w:val="00D51BE3"/>
    <w:rsid w:val="00D51BE9"/>
    <w:rsid w:val="00D51C62"/>
    <w:rsid w:val="00D51D41"/>
    <w:rsid w:val="00D51D65"/>
    <w:rsid w:val="00D51DBD"/>
    <w:rsid w:val="00D51E04"/>
    <w:rsid w:val="00D51F14"/>
    <w:rsid w:val="00D51F8E"/>
    <w:rsid w:val="00D52110"/>
    <w:rsid w:val="00D52158"/>
    <w:rsid w:val="00D521AC"/>
    <w:rsid w:val="00D52253"/>
    <w:rsid w:val="00D522D2"/>
    <w:rsid w:val="00D523A1"/>
    <w:rsid w:val="00D5243B"/>
    <w:rsid w:val="00D52861"/>
    <w:rsid w:val="00D528AD"/>
    <w:rsid w:val="00D528B7"/>
    <w:rsid w:val="00D5290B"/>
    <w:rsid w:val="00D529CB"/>
    <w:rsid w:val="00D529CD"/>
    <w:rsid w:val="00D52A66"/>
    <w:rsid w:val="00D52BBE"/>
    <w:rsid w:val="00D52BC3"/>
    <w:rsid w:val="00D52BCD"/>
    <w:rsid w:val="00D52C95"/>
    <w:rsid w:val="00D52E1D"/>
    <w:rsid w:val="00D53028"/>
    <w:rsid w:val="00D530BD"/>
    <w:rsid w:val="00D532F5"/>
    <w:rsid w:val="00D5332A"/>
    <w:rsid w:val="00D533DD"/>
    <w:rsid w:val="00D53505"/>
    <w:rsid w:val="00D53510"/>
    <w:rsid w:val="00D53543"/>
    <w:rsid w:val="00D53936"/>
    <w:rsid w:val="00D5397B"/>
    <w:rsid w:val="00D539BF"/>
    <w:rsid w:val="00D53A20"/>
    <w:rsid w:val="00D53F16"/>
    <w:rsid w:val="00D53F5A"/>
    <w:rsid w:val="00D540D2"/>
    <w:rsid w:val="00D543D6"/>
    <w:rsid w:val="00D54489"/>
    <w:rsid w:val="00D54503"/>
    <w:rsid w:val="00D5453F"/>
    <w:rsid w:val="00D54577"/>
    <w:rsid w:val="00D54710"/>
    <w:rsid w:val="00D5475F"/>
    <w:rsid w:val="00D54774"/>
    <w:rsid w:val="00D549B1"/>
    <w:rsid w:val="00D54B71"/>
    <w:rsid w:val="00D54B92"/>
    <w:rsid w:val="00D54BF8"/>
    <w:rsid w:val="00D54C6E"/>
    <w:rsid w:val="00D54D4C"/>
    <w:rsid w:val="00D54E3C"/>
    <w:rsid w:val="00D54F41"/>
    <w:rsid w:val="00D55023"/>
    <w:rsid w:val="00D55055"/>
    <w:rsid w:val="00D5516C"/>
    <w:rsid w:val="00D5517D"/>
    <w:rsid w:val="00D55278"/>
    <w:rsid w:val="00D552E9"/>
    <w:rsid w:val="00D552F1"/>
    <w:rsid w:val="00D5530A"/>
    <w:rsid w:val="00D55317"/>
    <w:rsid w:val="00D556FC"/>
    <w:rsid w:val="00D55891"/>
    <w:rsid w:val="00D558E8"/>
    <w:rsid w:val="00D559C4"/>
    <w:rsid w:val="00D55AA4"/>
    <w:rsid w:val="00D55AEA"/>
    <w:rsid w:val="00D55B1A"/>
    <w:rsid w:val="00D55C39"/>
    <w:rsid w:val="00D55CC0"/>
    <w:rsid w:val="00D55CDE"/>
    <w:rsid w:val="00D55D19"/>
    <w:rsid w:val="00D55E00"/>
    <w:rsid w:val="00D55E7C"/>
    <w:rsid w:val="00D55F94"/>
    <w:rsid w:val="00D55F9F"/>
    <w:rsid w:val="00D56138"/>
    <w:rsid w:val="00D56199"/>
    <w:rsid w:val="00D561D2"/>
    <w:rsid w:val="00D5620F"/>
    <w:rsid w:val="00D565F2"/>
    <w:rsid w:val="00D56831"/>
    <w:rsid w:val="00D569B1"/>
    <w:rsid w:val="00D56A75"/>
    <w:rsid w:val="00D56AF8"/>
    <w:rsid w:val="00D56B43"/>
    <w:rsid w:val="00D56D19"/>
    <w:rsid w:val="00D56D65"/>
    <w:rsid w:val="00D56DD4"/>
    <w:rsid w:val="00D56EA9"/>
    <w:rsid w:val="00D56EEF"/>
    <w:rsid w:val="00D57014"/>
    <w:rsid w:val="00D57181"/>
    <w:rsid w:val="00D571AA"/>
    <w:rsid w:val="00D571FF"/>
    <w:rsid w:val="00D57256"/>
    <w:rsid w:val="00D57321"/>
    <w:rsid w:val="00D574A8"/>
    <w:rsid w:val="00D5795F"/>
    <w:rsid w:val="00D579AC"/>
    <w:rsid w:val="00D579E1"/>
    <w:rsid w:val="00D57B8D"/>
    <w:rsid w:val="00D57C4A"/>
    <w:rsid w:val="00D57C5B"/>
    <w:rsid w:val="00D57D60"/>
    <w:rsid w:val="00D57DB6"/>
    <w:rsid w:val="00D57E1C"/>
    <w:rsid w:val="00D57E24"/>
    <w:rsid w:val="00D57E40"/>
    <w:rsid w:val="00D57E62"/>
    <w:rsid w:val="00D57EBF"/>
    <w:rsid w:val="00D57FF1"/>
    <w:rsid w:val="00D60167"/>
    <w:rsid w:val="00D601B5"/>
    <w:rsid w:val="00D602B3"/>
    <w:rsid w:val="00D6037A"/>
    <w:rsid w:val="00D6040F"/>
    <w:rsid w:val="00D6050A"/>
    <w:rsid w:val="00D6055D"/>
    <w:rsid w:val="00D6058D"/>
    <w:rsid w:val="00D6076D"/>
    <w:rsid w:val="00D60831"/>
    <w:rsid w:val="00D60890"/>
    <w:rsid w:val="00D60A55"/>
    <w:rsid w:val="00D60A6A"/>
    <w:rsid w:val="00D60ADD"/>
    <w:rsid w:val="00D60C97"/>
    <w:rsid w:val="00D60CBD"/>
    <w:rsid w:val="00D60E14"/>
    <w:rsid w:val="00D60E31"/>
    <w:rsid w:val="00D60E81"/>
    <w:rsid w:val="00D60F3A"/>
    <w:rsid w:val="00D60F44"/>
    <w:rsid w:val="00D60F90"/>
    <w:rsid w:val="00D60F99"/>
    <w:rsid w:val="00D61027"/>
    <w:rsid w:val="00D610DC"/>
    <w:rsid w:val="00D61163"/>
    <w:rsid w:val="00D6120F"/>
    <w:rsid w:val="00D6129B"/>
    <w:rsid w:val="00D613D8"/>
    <w:rsid w:val="00D61468"/>
    <w:rsid w:val="00D61476"/>
    <w:rsid w:val="00D616D9"/>
    <w:rsid w:val="00D61AD8"/>
    <w:rsid w:val="00D61B17"/>
    <w:rsid w:val="00D61B41"/>
    <w:rsid w:val="00D61BC5"/>
    <w:rsid w:val="00D61BE6"/>
    <w:rsid w:val="00D61C21"/>
    <w:rsid w:val="00D61CB7"/>
    <w:rsid w:val="00D61CDD"/>
    <w:rsid w:val="00D61D38"/>
    <w:rsid w:val="00D61D63"/>
    <w:rsid w:val="00D61D99"/>
    <w:rsid w:val="00D61EF7"/>
    <w:rsid w:val="00D6208F"/>
    <w:rsid w:val="00D62783"/>
    <w:rsid w:val="00D6280F"/>
    <w:rsid w:val="00D62831"/>
    <w:rsid w:val="00D6283F"/>
    <w:rsid w:val="00D62948"/>
    <w:rsid w:val="00D629AB"/>
    <w:rsid w:val="00D629F2"/>
    <w:rsid w:val="00D62A81"/>
    <w:rsid w:val="00D62B00"/>
    <w:rsid w:val="00D62C8B"/>
    <w:rsid w:val="00D6339F"/>
    <w:rsid w:val="00D633A6"/>
    <w:rsid w:val="00D633BE"/>
    <w:rsid w:val="00D63490"/>
    <w:rsid w:val="00D63563"/>
    <w:rsid w:val="00D637DD"/>
    <w:rsid w:val="00D6382A"/>
    <w:rsid w:val="00D63839"/>
    <w:rsid w:val="00D639AC"/>
    <w:rsid w:val="00D63A81"/>
    <w:rsid w:val="00D63AEF"/>
    <w:rsid w:val="00D63D16"/>
    <w:rsid w:val="00D63D5E"/>
    <w:rsid w:val="00D63F62"/>
    <w:rsid w:val="00D64059"/>
    <w:rsid w:val="00D64126"/>
    <w:rsid w:val="00D641A9"/>
    <w:rsid w:val="00D64276"/>
    <w:rsid w:val="00D6428B"/>
    <w:rsid w:val="00D64309"/>
    <w:rsid w:val="00D64315"/>
    <w:rsid w:val="00D643D0"/>
    <w:rsid w:val="00D6443E"/>
    <w:rsid w:val="00D6452D"/>
    <w:rsid w:val="00D6456A"/>
    <w:rsid w:val="00D6457B"/>
    <w:rsid w:val="00D645FE"/>
    <w:rsid w:val="00D64638"/>
    <w:rsid w:val="00D646D8"/>
    <w:rsid w:val="00D647EA"/>
    <w:rsid w:val="00D64B41"/>
    <w:rsid w:val="00D64BE4"/>
    <w:rsid w:val="00D64DD6"/>
    <w:rsid w:val="00D64E17"/>
    <w:rsid w:val="00D64E4B"/>
    <w:rsid w:val="00D650CD"/>
    <w:rsid w:val="00D651AB"/>
    <w:rsid w:val="00D65227"/>
    <w:rsid w:val="00D65295"/>
    <w:rsid w:val="00D6536D"/>
    <w:rsid w:val="00D65439"/>
    <w:rsid w:val="00D6553F"/>
    <w:rsid w:val="00D655A6"/>
    <w:rsid w:val="00D657B4"/>
    <w:rsid w:val="00D6580A"/>
    <w:rsid w:val="00D65852"/>
    <w:rsid w:val="00D65922"/>
    <w:rsid w:val="00D6592E"/>
    <w:rsid w:val="00D65CBF"/>
    <w:rsid w:val="00D65CC5"/>
    <w:rsid w:val="00D65D14"/>
    <w:rsid w:val="00D65D9C"/>
    <w:rsid w:val="00D65F4B"/>
    <w:rsid w:val="00D65FB1"/>
    <w:rsid w:val="00D65FB6"/>
    <w:rsid w:val="00D65FD8"/>
    <w:rsid w:val="00D660AA"/>
    <w:rsid w:val="00D66265"/>
    <w:rsid w:val="00D662B0"/>
    <w:rsid w:val="00D662B4"/>
    <w:rsid w:val="00D662F8"/>
    <w:rsid w:val="00D66324"/>
    <w:rsid w:val="00D6632F"/>
    <w:rsid w:val="00D663D9"/>
    <w:rsid w:val="00D664DD"/>
    <w:rsid w:val="00D66506"/>
    <w:rsid w:val="00D66588"/>
    <w:rsid w:val="00D666C3"/>
    <w:rsid w:val="00D66974"/>
    <w:rsid w:val="00D66AC0"/>
    <w:rsid w:val="00D66B31"/>
    <w:rsid w:val="00D66B51"/>
    <w:rsid w:val="00D66C76"/>
    <w:rsid w:val="00D66CC8"/>
    <w:rsid w:val="00D66D89"/>
    <w:rsid w:val="00D66DE2"/>
    <w:rsid w:val="00D66F79"/>
    <w:rsid w:val="00D670A8"/>
    <w:rsid w:val="00D6723D"/>
    <w:rsid w:val="00D6730D"/>
    <w:rsid w:val="00D673D7"/>
    <w:rsid w:val="00D67486"/>
    <w:rsid w:val="00D674FF"/>
    <w:rsid w:val="00D676CB"/>
    <w:rsid w:val="00D6772D"/>
    <w:rsid w:val="00D67730"/>
    <w:rsid w:val="00D67776"/>
    <w:rsid w:val="00D67A41"/>
    <w:rsid w:val="00D67A53"/>
    <w:rsid w:val="00D67A86"/>
    <w:rsid w:val="00D67A9E"/>
    <w:rsid w:val="00D67C6B"/>
    <w:rsid w:val="00D67DC2"/>
    <w:rsid w:val="00D67E3C"/>
    <w:rsid w:val="00D67F52"/>
    <w:rsid w:val="00D7003A"/>
    <w:rsid w:val="00D70114"/>
    <w:rsid w:val="00D70119"/>
    <w:rsid w:val="00D701E1"/>
    <w:rsid w:val="00D701FA"/>
    <w:rsid w:val="00D70281"/>
    <w:rsid w:val="00D702E3"/>
    <w:rsid w:val="00D70359"/>
    <w:rsid w:val="00D7045C"/>
    <w:rsid w:val="00D70530"/>
    <w:rsid w:val="00D70559"/>
    <w:rsid w:val="00D7066F"/>
    <w:rsid w:val="00D7069E"/>
    <w:rsid w:val="00D7070F"/>
    <w:rsid w:val="00D7073B"/>
    <w:rsid w:val="00D70994"/>
    <w:rsid w:val="00D709AD"/>
    <w:rsid w:val="00D70A24"/>
    <w:rsid w:val="00D70B36"/>
    <w:rsid w:val="00D70BAC"/>
    <w:rsid w:val="00D70BE8"/>
    <w:rsid w:val="00D70CBE"/>
    <w:rsid w:val="00D70CD9"/>
    <w:rsid w:val="00D70DCE"/>
    <w:rsid w:val="00D71044"/>
    <w:rsid w:val="00D71056"/>
    <w:rsid w:val="00D712C0"/>
    <w:rsid w:val="00D712C4"/>
    <w:rsid w:val="00D7135F"/>
    <w:rsid w:val="00D714B4"/>
    <w:rsid w:val="00D714C3"/>
    <w:rsid w:val="00D715A6"/>
    <w:rsid w:val="00D716BC"/>
    <w:rsid w:val="00D718B1"/>
    <w:rsid w:val="00D71AA6"/>
    <w:rsid w:val="00D71BBC"/>
    <w:rsid w:val="00D71BFE"/>
    <w:rsid w:val="00D71C89"/>
    <w:rsid w:val="00D71CDE"/>
    <w:rsid w:val="00D71E43"/>
    <w:rsid w:val="00D7236A"/>
    <w:rsid w:val="00D723C9"/>
    <w:rsid w:val="00D7246F"/>
    <w:rsid w:val="00D72494"/>
    <w:rsid w:val="00D72737"/>
    <w:rsid w:val="00D72760"/>
    <w:rsid w:val="00D72790"/>
    <w:rsid w:val="00D72882"/>
    <w:rsid w:val="00D7289D"/>
    <w:rsid w:val="00D72934"/>
    <w:rsid w:val="00D7295C"/>
    <w:rsid w:val="00D7299C"/>
    <w:rsid w:val="00D729F1"/>
    <w:rsid w:val="00D72B49"/>
    <w:rsid w:val="00D72D6D"/>
    <w:rsid w:val="00D72DCA"/>
    <w:rsid w:val="00D73005"/>
    <w:rsid w:val="00D73017"/>
    <w:rsid w:val="00D73048"/>
    <w:rsid w:val="00D73075"/>
    <w:rsid w:val="00D731D1"/>
    <w:rsid w:val="00D732DB"/>
    <w:rsid w:val="00D73359"/>
    <w:rsid w:val="00D7336C"/>
    <w:rsid w:val="00D73412"/>
    <w:rsid w:val="00D7343F"/>
    <w:rsid w:val="00D73453"/>
    <w:rsid w:val="00D73483"/>
    <w:rsid w:val="00D735F2"/>
    <w:rsid w:val="00D73682"/>
    <w:rsid w:val="00D736AB"/>
    <w:rsid w:val="00D7372B"/>
    <w:rsid w:val="00D73912"/>
    <w:rsid w:val="00D739BB"/>
    <w:rsid w:val="00D739CA"/>
    <w:rsid w:val="00D73B81"/>
    <w:rsid w:val="00D73C78"/>
    <w:rsid w:val="00D73CEA"/>
    <w:rsid w:val="00D73D7A"/>
    <w:rsid w:val="00D73D9D"/>
    <w:rsid w:val="00D73F35"/>
    <w:rsid w:val="00D7407F"/>
    <w:rsid w:val="00D74082"/>
    <w:rsid w:val="00D74151"/>
    <w:rsid w:val="00D7415C"/>
    <w:rsid w:val="00D744DB"/>
    <w:rsid w:val="00D745D7"/>
    <w:rsid w:val="00D745E8"/>
    <w:rsid w:val="00D745F6"/>
    <w:rsid w:val="00D7460F"/>
    <w:rsid w:val="00D7462D"/>
    <w:rsid w:val="00D74794"/>
    <w:rsid w:val="00D747A8"/>
    <w:rsid w:val="00D747CA"/>
    <w:rsid w:val="00D748A3"/>
    <w:rsid w:val="00D748BE"/>
    <w:rsid w:val="00D74901"/>
    <w:rsid w:val="00D7491E"/>
    <w:rsid w:val="00D7497F"/>
    <w:rsid w:val="00D74A46"/>
    <w:rsid w:val="00D74ACF"/>
    <w:rsid w:val="00D74BAA"/>
    <w:rsid w:val="00D74C73"/>
    <w:rsid w:val="00D74CE4"/>
    <w:rsid w:val="00D74E17"/>
    <w:rsid w:val="00D750DE"/>
    <w:rsid w:val="00D750DF"/>
    <w:rsid w:val="00D751A2"/>
    <w:rsid w:val="00D751BD"/>
    <w:rsid w:val="00D75221"/>
    <w:rsid w:val="00D75237"/>
    <w:rsid w:val="00D752E3"/>
    <w:rsid w:val="00D753C8"/>
    <w:rsid w:val="00D7541A"/>
    <w:rsid w:val="00D7545B"/>
    <w:rsid w:val="00D75519"/>
    <w:rsid w:val="00D7557D"/>
    <w:rsid w:val="00D755EC"/>
    <w:rsid w:val="00D7562E"/>
    <w:rsid w:val="00D75692"/>
    <w:rsid w:val="00D7590E"/>
    <w:rsid w:val="00D759FD"/>
    <w:rsid w:val="00D75A6E"/>
    <w:rsid w:val="00D75AA3"/>
    <w:rsid w:val="00D75AA9"/>
    <w:rsid w:val="00D75B30"/>
    <w:rsid w:val="00D75C3B"/>
    <w:rsid w:val="00D75C7D"/>
    <w:rsid w:val="00D75DAA"/>
    <w:rsid w:val="00D75E95"/>
    <w:rsid w:val="00D75E9D"/>
    <w:rsid w:val="00D76052"/>
    <w:rsid w:val="00D760D8"/>
    <w:rsid w:val="00D76114"/>
    <w:rsid w:val="00D76189"/>
    <w:rsid w:val="00D76388"/>
    <w:rsid w:val="00D763FF"/>
    <w:rsid w:val="00D764BE"/>
    <w:rsid w:val="00D76504"/>
    <w:rsid w:val="00D76537"/>
    <w:rsid w:val="00D765D7"/>
    <w:rsid w:val="00D76621"/>
    <w:rsid w:val="00D766E7"/>
    <w:rsid w:val="00D767B6"/>
    <w:rsid w:val="00D768B7"/>
    <w:rsid w:val="00D768DB"/>
    <w:rsid w:val="00D76C90"/>
    <w:rsid w:val="00D76D86"/>
    <w:rsid w:val="00D76DF9"/>
    <w:rsid w:val="00D76E52"/>
    <w:rsid w:val="00D76F24"/>
    <w:rsid w:val="00D76F80"/>
    <w:rsid w:val="00D7701C"/>
    <w:rsid w:val="00D7706F"/>
    <w:rsid w:val="00D770CB"/>
    <w:rsid w:val="00D771B0"/>
    <w:rsid w:val="00D771F8"/>
    <w:rsid w:val="00D774A6"/>
    <w:rsid w:val="00D7765A"/>
    <w:rsid w:val="00D7766A"/>
    <w:rsid w:val="00D77782"/>
    <w:rsid w:val="00D77861"/>
    <w:rsid w:val="00D77A0B"/>
    <w:rsid w:val="00D77ABE"/>
    <w:rsid w:val="00D77C97"/>
    <w:rsid w:val="00D77E1D"/>
    <w:rsid w:val="00D77E37"/>
    <w:rsid w:val="00D77E90"/>
    <w:rsid w:val="00D77EBF"/>
    <w:rsid w:val="00D8007F"/>
    <w:rsid w:val="00D80086"/>
    <w:rsid w:val="00D80169"/>
    <w:rsid w:val="00D801CB"/>
    <w:rsid w:val="00D8020E"/>
    <w:rsid w:val="00D80223"/>
    <w:rsid w:val="00D8022C"/>
    <w:rsid w:val="00D80245"/>
    <w:rsid w:val="00D8032D"/>
    <w:rsid w:val="00D80436"/>
    <w:rsid w:val="00D80474"/>
    <w:rsid w:val="00D804D0"/>
    <w:rsid w:val="00D8059D"/>
    <w:rsid w:val="00D805A8"/>
    <w:rsid w:val="00D805AD"/>
    <w:rsid w:val="00D8063C"/>
    <w:rsid w:val="00D806EC"/>
    <w:rsid w:val="00D80784"/>
    <w:rsid w:val="00D8081F"/>
    <w:rsid w:val="00D8087B"/>
    <w:rsid w:val="00D80A19"/>
    <w:rsid w:val="00D80B92"/>
    <w:rsid w:val="00D80BD5"/>
    <w:rsid w:val="00D80C8F"/>
    <w:rsid w:val="00D80D06"/>
    <w:rsid w:val="00D80E23"/>
    <w:rsid w:val="00D80FC6"/>
    <w:rsid w:val="00D80FD6"/>
    <w:rsid w:val="00D8109D"/>
    <w:rsid w:val="00D810AF"/>
    <w:rsid w:val="00D8118F"/>
    <w:rsid w:val="00D811C3"/>
    <w:rsid w:val="00D811C5"/>
    <w:rsid w:val="00D81287"/>
    <w:rsid w:val="00D8130B"/>
    <w:rsid w:val="00D8143E"/>
    <w:rsid w:val="00D81789"/>
    <w:rsid w:val="00D8184F"/>
    <w:rsid w:val="00D818F0"/>
    <w:rsid w:val="00D81B04"/>
    <w:rsid w:val="00D81BDA"/>
    <w:rsid w:val="00D81C03"/>
    <w:rsid w:val="00D81C6E"/>
    <w:rsid w:val="00D81CF2"/>
    <w:rsid w:val="00D81D6A"/>
    <w:rsid w:val="00D81F1F"/>
    <w:rsid w:val="00D81F87"/>
    <w:rsid w:val="00D81FDA"/>
    <w:rsid w:val="00D8204F"/>
    <w:rsid w:val="00D82058"/>
    <w:rsid w:val="00D820CE"/>
    <w:rsid w:val="00D820D2"/>
    <w:rsid w:val="00D820E8"/>
    <w:rsid w:val="00D82275"/>
    <w:rsid w:val="00D8230A"/>
    <w:rsid w:val="00D8254F"/>
    <w:rsid w:val="00D82572"/>
    <w:rsid w:val="00D82583"/>
    <w:rsid w:val="00D825C8"/>
    <w:rsid w:val="00D82600"/>
    <w:rsid w:val="00D8265C"/>
    <w:rsid w:val="00D826F4"/>
    <w:rsid w:val="00D827D5"/>
    <w:rsid w:val="00D829A6"/>
    <w:rsid w:val="00D82A0D"/>
    <w:rsid w:val="00D82C9F"/>
    <w:rsid w:val="00D82E44"/>
    <w:rsid w:val="00D82F46"/>
    <w:rsid w:val="00D8300E"/>
    <w:rsid w:val="00D830A2"/>
    <w:rsid w:val="00D831AE"/>
    <w:rsid w:val="00D831F7"/>
    <w:rsid w:val="00D83297"/>
    <w:rsid w:val="00D832CA"/>
    <w:rsid w:val="00D834E4"/>
    <w:rsid w:val="00D8351B"/>
    <w:rsid w:val="00D83575"/>
    <w:rsid w:val="00D83576"/>
    <w:rsid w:val="00D835AF"/>
    <w:rsid w:val="00D835C5"/>
    <w:rsid w:val="00D8375F"/>
    <w:rsid w:val="00D83784"/>
    <w:rsid w:val="00D837B7"/>
    <w:rsid w:val="00D83917"/>
    <w:rsid w:val="00D83A6E"/>
    <w:rsid w:val="00D83AA2"/>
    <w:rsid w:val="00D83AA8"/>
    <w:rsid w:val="00D83ADF"/>
    <w:rsid w:val="00D83CE7"/>
    <w:rsid w:val="00D83E07"/>
    <w:rsid w:val="00D83F4C"/>
    <w:rsid w:val="00D83F5E"/>
    <w:rsid w:val="00D8403B"/>
    <w:rsid w:val="00D840B8"/>
    <w:rsid w:val="00D84125"/>
    <w:rsid w:val="00D8455C"/>
    <w:rsid w:val="00D8473C"/>
    <w:rsid w:val="00D84AB1"/>
    <w:rsid w:val="00D84C4B"/>
    <w:rsid w:val="00D84D7F"/>
    <w:rsid w:val="00D84DDC"/>
    <w:rsid w:val="00D84E3B"/>
    <w:rsid w:val="00D84EC4"/>
    <w:rsid w:val="00D85086"/>
    <w:rsid w:val="00D852A0"/>
    <w:rsid w:val="00D85301"/>
    <w:rsid w:val="00D85408"/>
    <w:rsid w:val="00D85507"/>
    <w:rsid w:val="00D8564A"/>
    <w:rsid w:val="00D8569F"/>
    <w:rsid w:val="00D85A80"/>
    <w:rsid w:val="00D85ADB"/>
    <w:rsid w:val="00D85B00"/>
    <w:rsid w:val="00D85D1D"/>
    <w:rsid w:val="00D85DA0"/>
    <w:rsid w:val="00D85DB5"/>
    <w:rsid w:val="00D85F36"/>
    <w:rsid w:val="00D85F46"/>
    <w:rsid w:val="00D85F6B"/>
    <w:rsid w:val="00D85F92"/>
    <w:rsid w:val="00D86077"/>
    <w:rsid w:val="00D8618D"/>
    <w:rsid w:val="00D86237"/>
    <w:rsid w:val="00D8629E"/>
    <w:rsid w:val="00D86353"/>
    <w:rsid w:val="00D8651A"/>
    <w:rsid w:val="00D86550"/>
    <w:rsid w:val="00D8659F"/>
    <w:rsid w:val="00D8664A"/>
    <w:rsid w:val="00D8665B"/>
    <w:rsid w:val="00D86674"/>
    <w:rsid w:val="00D86754"/>
    <w:rsid w:val="00D868BB"/>
    <w:rsid w:val="00D86BE0"/>
    <w:rsid w:val="00D86C22"/>
    <w:rsid w:val="00D86D52"/>
    <w:rsid w:val="00D86EEB"/>
    <w:rsid w:val="00D87004"/>
    <w:rsid w:val="00D87099"/>
    <w:rsid w:val="00D8731A"/>
    <w:rsid w:val="00D8744F"/>
    <w:rsid w:val="00D874AB"/>
    <w:rsid w:val="00D875BF"/>
    <w:rsid w:val="00D87706"/>
    <w:rsid w:val="00D87974"/>
    <w:rsid w:val="00D87B3D"/>
    <w:rsid w:val="00D87B4A"/>
    <w:rsid w:val="00D87B5A"/>
    <w:rsid w:val="00D87C1E"/>
    <w:rsid w:val="00D87C53"/>
    <w:rsid w:val="00D87D81"/>
    <w:rsid w:val="00D902C6"/>
    <w:rsid w:val="00D902F3"/>
    <w:rsid w:val="00D9030C"/>
    <w:rsid w:val="00D9053A"/>
    <w:rsid w:val="00D905D0"/>
    <w:rsid w:val="00D90644"/>
    <w:rsid w:val="00D90688"/>
    <w:rsid w:val="00D90778"/>
    <w:rsid w:val="00D9078A"/>
    <w:rsid w:val="00D908AE"/>
    <w:rsid w:val="00D9099B"/>
    <w:rsid w:val="00D90A3D"/>
    <w:rsid w:val="00D90CA4"/>
    <w:rsid w:val="00D90D34"/>
    <w:rsid w:val="00D90D6C"/>
    <w:rsid w:val="00D90F79"/>
    <w:rsid w:val="00D9118E"/>
    <w:rsid w:val="00D911F6"/>
    <w:rsid w:val="00D9128C"/>
    <w:rsid w:val="00D912CB"/>
    <w:rsid w:val="00D91384"/>
    <w:rsid w:val="00D913B7"/>
    <w:rsid w:val="00D913CA"/>
    <w:rsid w:val="00D914CF"/>
    <w:rsid w:val="00D91514"/>
    <w:rsid w:val="00D917A4"/>
    <w:rsid w:val="00D9182F"/>
    <w:rsid w:val="00D91863"/>
    <w:rsid w:val="00D919A2"/>
    <w:rsid w:val="00D919E7"/>
    <w:rsid w:val="00D91AC1"/>
    <w:rsid w:val="00D91B2B"/>
    <w:rsid w:val="00D91B96"/>
    <w:rsid w:val="00D91BA4"/>
    <w:rsid w:val="00D91C67"/>
    <w:rsid w:val="00D91C88"/>
    <w:rsid w:val="00D91C8A"/>
    <w:rsid w:val="00D91DD0"/>
    <w:rsid w:val="00D91F96"/>
    <w:rsid w:val="00D92272"/>
    <w:rsid w:val="00D9237B"/>
    <w:rsid w:val="00D9257B"/>
    <w:rsid w:val="00D92783"/>
    <w:rsid w:val="00D9279F"/>
    <w:rsid w:val="00D927FD"/>
    <w:rsid w:val="00D9283B"/>
    <w:rsid w:val="00D9284E"/>
    <w:rsid w:val="00D928CB"/>
    <w:rsid w:val="00D92C7B"/>
    <w:rsid w:val="00D92D4F"/>
    <w:rsid w:val="00D92E5B"/>
    <w:rsid w:val="00D92F1C"/>
    <w:rsid w:val="00D92FC8"/>
    <w:rsid w:val="00D93026"/>
    <w:rsid w:val="00D93147"/>
    <w:rsid w:val="00D9317C"/>
    <w:rsid w:val="00D9318D"/>
    <w:rsid w:val="00D93258"/>
    <w:rsid w:val="00D93428"/>
    <w:rsid w:val="00D934AC"/>
    <w:rsid w:val="00D93529"/>
    <w:rsid w:val="00D9355D"/>
    <w:rsid w:val="00D93565"/>
    <w:rsid w:val="00D93647"/>
    <w:rsid w:val="00D93694"/>
    <w:rsid w:val="00D936D7"/>
    <w:rsid w:val="00D936F8"/>
    <w:rsid w:val="00D93717"/>
    <w:rsid w:val="00D937A8"/>
    <w:rsid w:val="00D9394C"/>
    <w:rsid w:val="00D93B03"/>
    <w:rsid w:val="00D93B3B"/>
    <w:rsid w:val="00D93B6E"/>
    <w:rsid w:val="00D93F02"/>
    <w:rsid w:val="00D93F4A"/>
    <w:rsid w:val="00D9400F"/>
    <w:rsid w:val="00D94114"/>
    <w:rsid w:val="00D9416B"/>
    <w:rsid w:val="00D94176"/>
    <w:rsid w:val="00D942F9"/>
    <w:rsid w:val="00D94315"/>
    <w:rsid w:val="00D943D0"/>
    <w:rsid w:val="00D94459"/>
    <w:rsid w:val="00D94536"/>
    <w:rsid w:val="00D945ED"/>
    <w:rsid w:val="00D94666"/>
    <w:rsid w:val="00D9477D"/>
    <w:rsid w:val="00D948E6"/>
    <w:rsid w:val="00D9494C"/>
    <w:rsid w:val="00D9497E"/>
    <w:rsid w:val="00D94BFA"/>
    <w:rsid w:val="00D94CB2"/>
    <w:rsid w:val="00D94CBC"/>
    <w:rsid w:val="00D94CC0"/>
    <w:rsid w:val="00D94D43"/>
    <w:rsid w:val="00D94D53"/>
    <w:rsid w:val="00D94DDA"/>
    <w:rsid w:val="00D94E7F"/>
    <w:rsid w:val="00D94F41"/>
    <w:rsid w:val="00D9507D"/>
    <w:rsid w:val="00D9533D"/>
    <w:rsid w:val="00D95393"/>
    <w:rsid w:val="00D953AA"/>
    <w:rsid w:val="00D95579"/>
    <w:rsid w:val="00D95586"/>
    <w:rsid w:val="00D95658"/>
    <w:rsid w:val="00D95A5C"/>
    <w:rsid w:val="00D95A97"/>
    <w:rsid w:val="00D95AEF"/>
    <w:rsid w:val="00D95B16"/>
    <w:rsid w:val="00D95BC3"/>
    <w:rsid w:val="00D95BDC"/>
    <w:rsid w:val="00D95C7C"/>
    <w:rsid w:val="00D95CC0"/>
    <w:rsid w:val="00D95E7B"/>
    <w:rsid w:val="00D95E8F"/>
    <w:rsid w:val="00D95FDA"/>
    <w:rsid w:val="00D96032"/>
    <w:rsid w:val="00D96122"/>
    <w:rsid w:val="00D963A5"/>
    <w:rsid w:val="00D96539"/>
    <w:rsid w:val="00D965F4"/>
    <w:rsid w:val="00D96678"/>
    <w:rsid w:val="00D9674A"/>
    <w:rsid w:val="00D96A52"/>
    <w:rsid w:val="00D96A5B"/>
    <w:rsid w:val="00D96A72"/>
    <w:rsid w:val="00D96A96"/>
    <w:rsid w:val="00D96B23"/>
    <w:rsid w:val="00D96DE0"/>
    <w:rsid w:val="00D96FD1"/>
    <w:rsid w:val="00D9715C"/>
    <w:rsid w:val="00D972F3"/>
    <w:rsid w:val="00D9736C"/>
    <w:rsid w:val="00D973AC"/>
    <w:rsid w:val="00D973EF"/>
    <w:rsid w:val="00D97491"/>
    <w:rsid w:val="00D974B0"/>
    <w:rsid w:val="00D97558"/>
    <w:rsid w:val="00D9758E"/>
    <w:rsid w:val="00D9758F"/>
    <w:rsid w:val="00D975F7"/>
    <w:rsid w:val="00D97623"/>
    <w:rsid w:val="00D97668"/>
    <w:rsid w:val="00D976D6"/>
    <w:rsid w:val="00D97737"/>
    <w:rsid w:val="00D977D7"/>
    <w:rsid w:val="00D977E0"/>
    <w:rsid w:val="00D97848"/>
    <w:rsid w:val="00D97889"/>
    <w:rsid w:val="00D978D9"/>
    <w:rsid w:val="00D97982"/>
    <w:rsid w:val="00D97C11"/>
    <w:rsid w:val="00D97CC4"/>
    <w:rsid w:val="00D97D05"/>
    <w:rsid w:val="00DA003D"/>
    <w:rsid w:val="00DA0108"/>
    <w:rsid w:val="00DA013E"/>
    <w:rsid w:val="00DA0251"/>
    <w:rsid w:val="00DA025B"/>
    <w:rsid w:val="00DA0383"/>
    <w:rsid w:val="00DA0421"/>
    <w:rsid w:val="00DA0450"/>
    <w:rsid w:val="00DA051D"/>
    <w:rsid w:val="00DA070E"/>
    <w:rsid w:val="00DA0715"/>
    <w:rsid w:val="00DA0787"/>
    <w:rsid w:val="00DA081D"/>
    <w:rsid w:val="00DA0B3F"/>
    <w:rsid w:val="00DA0B55"/>
    <w:rsid w:val="00DA0C8E"/>
    <w:rsid w:val="00DA0D3F"/>
    <w:rsid w:val="00DA0D5A"/>
    <w:rsid w:val="00DA0DB8"/>
    <w:rsid w:val="00DA0EB6"/>
    <w:rsid w:val="00DA0EF8"/>
    <w:rsid w:val="00DA0F35"/>
    <w:rsid w:val="00DA1005"/>
    <w:rsid w:val="00DA10E2"/>
    <w:rsid w:val="00DA112E"/>
    <w:rsid w:val="00DA1159"/>
    <w:rsid w:val="00DA11FF"/>
    <w:rsid w:val="00DA126A"/>
    <w:rsid w:val="00DA128A"/>
    <w:rsid w:val="00DA12E0"/>
    <w:rsid w:val="00DA1392"/>
    <w:rsid w:val="00DA15F1"/>
    <w:rsid w:val="00DA16F7"/>
    <w:rsid w:val="00DA17EB"/>
    <w:rsid w:val="00DA184F"/>
    <w:rsid w:val="00DA18A6"/>
    <w:rsid w:val="00DA18F6"/>
    <w:rsid w:val="00DA1970"/>
    <w:rsid w:val="00DA1984"/>
    <w:rsid w:val="00DA19EE"/>
    <w:rsid w:val="00DA1A3B"/>
    <w:rsid w:val="00DA1A6F"/>
    <w:rsid w:val="00DA1BF5"/>
    <w:rsid w:val="00DA1C80"/>
    <w:rsid w:val="00DA1E0B"/>
    <w:rsid w:val="00DA1E93"/>
    <w:rsid w:val="00DA202E"/>
    <w:rsid w:val="00DA208E"/>
    <w:rsid w:val="00DA2221"/>
    <w:rsid w:val="00DA22D4"/>
    <w:rsid w:val="00DA258F"/>
    <w:rsid w:val="00DA2832"/>
    <w:rsid w:val="00DA2857"/>
    <w:rsid w:val="00DA2870"/>
    <w:rsid w:val="00DA28D7"/>
    <w:rsid w:val="00DA294E"/>
    <w:rsid w:val="00DA2A43"/>
    <w:rsid w:val="00DA2BE0"/>
    <w:rsid w:val="00DA2D5E"/>
    <w:rsid w:val="00DA2DFB"/>
    <w:rsid w:val="00DA2E89"/>
    <w:rsid w:val="00DA2EC1"/>
    <w:rsid w:val="00DA2ED6"/>
    <w:rsid w:val="00DA2FF8"/>
    <w:rsid w:val="00DA303F"/>
    <w:rsid w:val="00DA306E"/>
    <w:rsid w:val="00DA3083"/>
    <w:rsid w:val="00DA3095"/>
    <w:rsid w:val="00DA318B"/>
    <w:rsid w:val="00DA320B"/>
    <w:rsid w:val="00DA32DB"/>
    <w:rsid w:val="00DA337B"/>
    <w:rsid w:val="00DA3589"/>
    <w:rsid w:val="00DA3593"/>
    <w:rsid w:val="00DA361E"/>
    <w:rsid w:val="00DA3789"/>
    <w:rsid w:val="00DA37D6"/>
    <w:rsid w:val="00DA391B"/>
    <w:rsid w:val="00DA3980"/>
    <w:rsid w:val="00DA3981"/>
    <w:rsid w:val="00DA3995"/>
    <w:rsid w:val="00DA39A3"/>
    <w:rsid w:val="00DA3B14"/>
    <w:rsid w:val="00DA3BAE"/>
    <w:rsid w:val="00DA3CBF"/>
    <w:rsid w:val="00DA3CD8"/>
    <w:rsid w:val="00DA3DF3"/>
    <w:rsid w:val="00DA3F69"/>
    <w:rsid w:val="00DA3F7D"/>
    <w:rsid w:val="00DA3FC3"/>
    <w:rsid w:val="00DA4112"/>
    <w:rsid w:val="00DA418A"/>
    <w:rsid w:val="00DA41FF"/>
    <w:rsid w:val="00DA4239"/>
    <w:rsid w:val="00DA4257"/>
    <w:rsid w:val="00DA427C"/>
    <w:rsid w:val="00DA42D4"/>
    <w:rsid w:val="00DA4383"/>
    <w:rsid w:val="00DA43E9"/>
    <w:rsid w:val="00DA4427"/>
    <w:rsid w:val="00DA45A6"/>
    <w:rsid w:val="00DA465E"/>
    <w:rsid w:val="00DA4682"/>
    <w:rsid w:val="00DA4ABD"/>
    <w:rsid w:val="00DA4BCD"/>
    <w:rsid w:val="00DA4DB1"/>
    <w:rsid w:val="00DA4F35"/>
    <w:rsid w:val="00DA508B"/>
    <w:rsid w:val="00DA510D"/>
    <w:rsid w:val="00DA51AE"/>
    <w:rsid w:val="00DA520D"/>
    <w:rsid w:val="00DA521C"/>
    <w:rsid w:val="00DA5286"/>
    <w:rsid w:val="00DA52C6"/>
    <w:rsid w:val="00DA53F9"/>
    <w:rsid w:val="00DA5560"/>
    <w:rsid w:val="00DA5605"/>
    <w:rsid w:val="00DA5773"/>
    <w:rsid w:val="00DA58EB"/>
    <w:rsid w:val="00DA590B"/>
    <w:rsid w:val="00DA5A23"/>
    <w:rsid w:val="00DA5BF8"/>
    <w:rsid w:val="00DA5D16"/>
    <w:rsid w:val="00DA5D54"/>
    <w:rsid w:val="00DA5D7F"/>
    <w:rsid w:val="00DA5D8A"/>
    <w:rsid w:val="00DA5E2A"/>
    <w:rsid w:val="00DA5EC5"/>
    <w:rsid w:val="00DA602F"/>
    <w:rsid w:val="00DA60ED"/>
    <w:rsid w:val="00DA6211"/>
    <w:rsid w:val="00DA639E"/>
    <w:rsid w:val="00DA6482"/>
    <w:rsid w:val="00DA6646"/>
    <w:rsid w:val="00DA66FA"/>
    <w:rsid w:val="00DA68EF"/>
    <w:rsid w:val="00DA6950"/>
    <w:rsid w:val="00DA695C"/>
    <w:rsid w:val="00DA6985"/>
    <w:rsid w:val="00DA699C"/>
    <w:rsid w:val="00DA6A23"/>
    <w:rsid w:val="00DA6AAF"/>
    <w:rsid w:val="00DA6AB6"/>
    <w:rsid w:val="00DA6B6E"/>
    <w:rsid w:val="00DA6C21"/>
    <w:rsid w:val="00DA6C3F"/>
    <w:rsid w:val="00DA6CB8"/>
    <w:rsid w:val="00DA6DBB"/>
    <w:rsid w:val="00DA6E93"/>
    <w:rsid w:val="00DA6F50"/>
    <w:rsid w:val="00DA7043"/>
    <w:rsid w:val="00DA71DF"/>
    <w:rsid w:val="00DA7300"/>
    <w:rsid w:val="00DA73B0"/>
    <w:rsid w:val="00DA752B"/>
    <w:rsid w:val="00DA7679"/>
    <w:rsid w:val="00DA77CA"/>
    <w:rsid w:val="00DA7982"/>
    <w:rsid w:val="00DA7A5E"/>
    <w:rsid w:val="00DA7B28"/>
    <w:rsid w:val="00DA7C83"/>
    <w:rsid w:val="00DA7CCB"/>
    <w:rsid w:val="00DA7EFD"/>
    <w:rsid w:val="00DA7FA2"/>
    <w:rsid w:val="00DB013A"/>
    <w:rsid w:val="00DB02B5"/>
    <w:rsid w:val="00DB0334"/>
    <w:rsid w:val="00DB035E"/>
    <w:rsid w:val="00DB03C3"/>
    <w:rsid w:val="00DB0447"/>
    <w:rsid w:val="00DB04B4"/>
    <w:rsid w:val="00DB052A"/>
    <w:rsid w:val="00DB0727"/>
    <w:rsid w:val="00DB075A"/>
    <w:rsid w:val="00DB0788"/>
    <w:rsid w:val="00DB07C0"/>
    <w:rsid w:val="00DB07F8"/>
    <w:rsid w:val="00DB09E0"/>
    <w:rsid w:val="00DB0AB9"/>
    <w:rsid w:val="00DB0B3C"/>
    <w:rsid w:val="00DB0B90"/>
    <w:rsid w:val="00DB0D0D"/>
    <w:rsid w:val="00DB0D16"/>
    <w:rsid w:val="00DB0D74"/>
    <w:rsid w:val="00DB0E18"/>
    <w:rsid w:val="00DB0F1E"/>
    <w:rsid w:val="00DB0F62"/>
    <w:rsid w:val="00DB0FFB"/>
    <w:rsid w:val="00DB1005"/>
    <w:rsid w:val="00DB1026"/>
    <w:rsid w:val="00DB10E9"/>
    <w:rsid w:val="00DB1101"/>
    <w:rsid w:val="00DB1149"/>
    <w:rsid w:val="00DB1263"/>
    <w:rsid w:val="00DB12EE"/>
    <w:rsid w:val="00DB1438"/>
    <w:rsid w:val="00DB1464"/>
    <w:rsid w:val="00DB15AA"/>
    <w:rsid w:val="00DB1634"/>
    <w:rsid w:val="00DB17E1"/>
    <w:rsid w:val="00DB1928"/>
    <w:rsid w:val="00DB1AFA"/>
    <w:rsid w:val="00DB1D37"/>
    <w:rsid w:val="00DB1E62"/>
    <w:rsid w:val="00DB1FE3"/>
    <w:rsid w:val="00DB20CC"/>
    <w:rsid w:val="00DB20F9"/>
    <w:rsid w:val="00DB216A"/>
    <w:rsid w:val="00DB21E0"/>
    <w:rsid w:val="00DB22E4"/>
    <w:rsid w:val="00DB24A1"/>
    <w:rsid w:val="00DB25B0"/>
    <w:rsid w:val="00DB25D0"/>
    <w:rsid w:val="00DB29F2"/>
    <w:rsid w:val="00DB3123"/>
    <w:rsid w:val="00DB3180"/>
    <w:rsid w:val="00DB339A"/>
    <w:rsid w:val="00DB33BA"/>
    <w:rsid w:val="00DB33C7"/>
    <w:rsid w:val="00DB3479"/>
    <w:rsid w:val="00DB3500"/>
    <w:rsid w:val="00DB35AF"/>
    <w:rsid w:val="00DB35B2"/>
    <w:rsid w:val="00DB369B"/>
    <w:rsid w:val="00DB391B"/>
    <w:rsid w:val="00DB394A"/>
    <w:rsid w:val="00DB3A3F"/>
    <w:rsid w:val="00DB3A42"/>
    <w:rsid w:val="00DB3A9E"/>
    <w:rsid w:val="00DB3BC3"/>
    <w:rsid w:val="00DB3CA5"/>
    <w:rsid w:val="00DB3CFA"/>
    <w:rsid w:val="00DB3D3F"/>
    <w:rsid w:val="00DB3D80"/>
    <w:rsid w:val="00DB3D97"/>
    <w:rsid w:val="00DB3FC9"/>
    <w:rsid w:val="00DB4000"/>
    <w:rsid w:val="00DB40A1"/>
    <w:rsid w:val="00DB40A6"/>
    <w:rsid w:val="00DB4344"/>
    <w:rsid w:val="00DB436E"/>
    <w:rsid w:val="00DB44B6"/>
    <w:rsid w:val="00DB46FA"/>
    <w:rsid w:val="00DB4812"/>
    <w:rsid w:val="00DB491A"/>
    <w:rsid w:val="00DB492C"/>
    <w:rsid w:val="00DB499F"/>
    <w:rsid w:val="00DB49C0"/>
    <w:rsid w:val="00DB4AD9"/>
    <w:rsid w:val="00DB4BBC"/>
    <w:rsid w:val="00DB4BC3"/>
    <w:rsid w:val="00DB4C57"/>
    <w:rsid w:val="00DB4DCE"/>
    <w:rsid w:val="00DB4F71"/>
    <w:rsid w:val="00DB4FA2"/>
    <w:rsid w:val="00DB4FB6"/>
    <w:rsid w:val="00DB5119"/>
    <w:rsid w:val="00DB512F"/>
    <w:rsid w:val="00DB5233"/>
    <w:rsid w:val="00DB5257"/>
    <w:rsid w:val="00DB52D6"/>
    <w:rsid w:val="00DB5302"/>
    <w:rsid w:val="00DB546C"/>
    <w:rsid w:val="00DB553E"/>
    <w:rsid w:val="00DB55A0"/>
    <w:rsid w:val="00DB560A"/>
    <w:rsid w:val="00DB562B"/>
    <w:rsid w:val="00DB56FB"/>
    <w:rsid w:val="00DB5723"/>
    <w:rsid w:val="00DB5732"/>
    <w:rsid w:val="00DB5A0B"/>
    <w:rsid w:val="00DB5C87"/>
    <w:rsid w:val="00DB5CBB"/>
    <w:rsid w:val="00DB5D98"/>
    <w:rsid w:val="00DB5F38"/>
    <w:rsid w:val="00DB60B7"/>
    <w:rsid w:val="00DB61F0"/>
    <w:rsid w:val="00DB6386"/>
    <w:rsid w:val="00DB6406"/>
    <w:rsid w:val="00DB6429"/>
    <w:rsid w:val="00DB646F"/>
    <w:rsid w:val="00DB6524"/>
    <w:rsid w:val="00DB65EA"/>
    <w:rsid w:val="00DB6646"/>
    <w:rsid w:val="00DB66CB"/>
    <w:rsid w:val="00DB67EC"/>
    <w:rsid w:val="00DB6871"/>
    <w:rsid w:val="00DB6C1A"/>
    <w:rsid w:val="00DB6CBD"/>
    <w:rsid w:val="00DB6DBC"/>
    <w:rsid w:val="00DB6DCB"/>
    <w:rsid w:val="00DB6E3E"/>
    <w:rsid w:val="00DB6E56"/>
    <w:rsid w:val="00DB6ECE"/>
    <w:rsid w:val="00DB6F90"/>
    <w:rsid w:val="00DB6F9E"/>
    <w:rsid w:val="00DB6FD7"/>
    <w:rsid w:val="00DB704A"/>
    <w:rsid w:val="00DB70C0"/>
    <w:rsid w:val="00DB7382"/>
    <w:rsid w:val="00DB73E4"/>
    <w:rsid w:val="00DB73FB"/>
    <w:rsid w:val="00DB746A"/>
    <w:rsid w:val="00DB74F3"/>
    <w:rsid w:val="00DB75EA"/>
    <w:rsid w:val="00DB7654"/>
    <w:rsid w:val="00DB776F"/>
    <w:rsid w:val="00DB778C"/>
    <w:rsid w:val="00DB7863"/>
    <w:rsid w:val="00DB7918"/>
    <w:rsid w:val="00DB79B4"/>
    <w:rsid w:val="00DB7BA9"/>
    <w:rsid w:val="00DB7BF7"/>
    <w:rsid w:val="00DB7BF9"/>
    <w:rsid w:val="00DB7D02"/>
    <w:rsid w:val="00DB7D08"/>
    <w:rsid w:val="00DB7DDB"/>
    <w:rsid w:val="00DB7F0B"/>
    <w:rsid w:val="00DB7F7A"/>
    <w:rsid w:val="00DC0007"/>
    <w:rsid w:val="00DC004E"/>
    <w:rsid w:val="00DC00CB"/>
    <w:rsid w:val="00DC0174"/>
    <w:rsid w:val="00DC01AF"/>
    <w:rsid w:val="00DC02DA"/>
    <w:rsid w:val="00DC0463"/>
    <w:rsid w:val="00DC048E"/>
    <w:rsid w:val="00DC0675"/>
    <w:rsid w:val="00DC07D0"/>
    <w:rsid w:val="00DC082D"/>
    <w:rsid w:val="00DC08F2"/>
    <w:rsid w:val="00DC09C9"/>
    <w:rsid w:val="00DC0E87"/>
    <w:rsid w:val="00DC0F02"/>
    <w:rsid w:val="00DC0F6D"/>
    <w:rsid w:val="00DC102D"/>
    <w:rsid w:val="00DC1110"/>
    <w:rsid w:val="00DC114A"/>
    <w:rsid w:val="00DC1258"/>
    <w:rsid w:val="00DC12B6"/>
    <w:rsid w:val="00DC1387"/>
    <w:rsid w:val="00DC1458"/>
    <w:rsid w:val="00DC14FF"/>
    <w:rsid w:val="00DC159A"/>
    <w:rsid w:val="00DC163F"/>
    <w:rsid w:val="00DC16EC"/>
    <w:rsid w:val="00DC170E"/>
    <w:rsid w:val="00DC171D"/>
    <w:rsid w:val="00DC17B7"/>
    <w:rsid w:val="00DC17C3"/>
    <w:rsid w:val="00DC1897"/>
    <w:rsid w:val="00DC1A78"/>
    <w:rsid w:val="00DC1B17"/>
    <w:rsid w:val="00DC1B60"/>
    <w:rsid w:val="00DC1DC6"/>
    <w:rsid w:val="00DC1E0F"/>
    <w:rsid w:val="00DC1E3C"/>
    <w:rsid w:val="00DC1ECA"/>
    <w:rsid w:val="00DC1F00"/>
    <w:rsid w:val="00DC20AD"/>
    <w:rsid w:val="00DC217B"/>
    <w:rsid w:val="00DC219A"/>
    <w:rsid w:val="00DC2217"/>
    <w:rsid w:val="00DC22E2"/>
    <w:rsid w:val="00DC230E"/>
    <w:rsid w:val="00DC23DA"/>
    <w:rsid w:val="00DC2496"/>
    <w:rsid w:val="00DC252B"/>
    <w:rsid w:val="00DC2827"/>
    <w:rsid w:val="00DC28E9"/>
    <w:rsid w:val="00DC2A0D"/>
    <w:rsid w:val="00DC2A2F"/>
    <w:rsid w:val="00DC2A3F"/>
    <w:rsid w:val="00DC2AC3"/>
    <w:rsid w:val="00DC2B8B"/>
    <w:rsid w:val="00DC2C3A"/>
    <w:rsid w:val="00DC2C85"/>
    <w:rsid w:val="00DC2CB0"/>
    <w:rsid w:val="00DC2D1E"/>
    <w:rsid w:val="00DC2D4F"/>
    <w:rsid w:val="00DC2D6A"/>
    <w:rsid w:val="00DC2FED"/>
    <w:rsid w:val="00DC3006"/>
    <w:rsid w:val="00DC307E"/>
    <w:rsid w:val="00DC30EB"/>
    <w:rsid w:val="00DC3187"/>
    <w:rsid w:val="00DC3291"/>
    <w:rsid w:val="00DC3295"/>
    <w:rsid w:val="00DC35ED"/>
    <w:rsid w:val="00DC35F8"/>
    <w:rsid w:val="00DC3645"/>
    <w:rsid w:val="00DC36F2"/>
    <w:rsid w:val="00DC3713"/>
    <w:rsid w:val="00DC3A04"/>
    <w:rsid w:val="00DC3BCA"/>
    <w:rsid w:val="00DC3BFC"/>
    <w:rsid w:val="00DC3C40"/>
    <w:rsid w:val="00DC3CD5"/>
    <w:rsid w:val="00DC3CEA"/>
    <w:rsid w:val="00DC3E5F"/>
    <w:rsid w:val="00DC3F74"/>
    <w:rsid w:val="00DC3FDE"/>
    <w:rsid w:val="00DC432F"/>
    <w:rsid w:val="00DC4485"/>
    <w:rsid w:val="00DC454B"/>
    <w:rsid w:val="00DC4565"/>
    <w:rsid w:val="00DC4676"/>
    <w:rsid w:val="00DC4715"/>
    <w:rsid w:val="00DC482A"/>
    <w:rsid w:val="00DC4924"/>
    <w:rsid w:val="00DC4AC6"/>
    <w:rsid w:val="00DC4DB6"/>
    <w:rsid w:val="00DC4FB9"/>
    <w:rsid w:val="00DC52CA"/>
    <w:rsid w:val="00DC5514"/>
    <w:rsid w:val="00DC5566"/>
    <w:rsid w:val="00DC5741"/>
    <w:rsid w:val="00DC58D3"/>
    <w:rsid w:val="00DC598F"/>
    <w:rsid w:val="00DC5991"/>
    <w:rsid w:val="00DC5A13"/>
    <w:rsid w:val="00DC5A5A"/>
    <w:rsid w:val="00DC5D67"/>
    <w:rsid w:val="00DC5D87"/>
    <w:rsid w:val="00DC5F0D"/>
    <w:rsid w:val="00DC5F55"/>
    <w:rsid w:val="00DC618C"/>
    <w:rsid w:val="00DC63EE"/>
    <w:rsid w:val="00DC6546"/>
    <w:rsid w:val="00DC669F"/>
    <w:rsid w:val="00DC676B"/>
    <w:rsid w:val="00DC690E"/>
    <w:rsid w:val="00DC6989"/>
    <w:rsid w:val="00DC6AA8"/>
    <w:rsid w:val="00DC6C8A"/>
    <w:rsid w:val="00DC6CBF"/>
    <w:rsid w:val="00DC6D51"/>
    <w:rsid w:val="00DC6DAA"/>
    <w:rsid w:val="00DC6DC1"/>
    <w:rsid w:val="00DC6DCB"/>
    <w:rsid w:val="00DC6DDB"/>
    <w:rsid w:val="00DC6E01"/>
    <w:rsid w:val="00DC6E21"/>
    <w:rsid w:val="00DC704C"/>
    <w:rsid w:val="00DC70C8"/>
    <w:rsid w:val="00DC70FE"/>
    <w:rsid w:val="00DC71E9"/>
    <w:rsid w:val="00DC72A9"/>
    <w:rsid w:val="00DC7371"/>
    <w:rsid w:val="00DC76D4"/>
    <w:rsid w:val="00DC7798"/>
    <w:rsid w:val="00DC7960"/>
    <w:rsid w:val="00DC7B84"/>
    <w:rsid w:val="00DC7C6D"/>
    <w:rsid w:val="00DC7C77"/>
    <w:rsid w:val="00DC7ED0"/>
    <w:rsid w:val="00DD0080"/>
    <w:rsid w:val="00DD00F0"/>
    <w:rsid w:val="00DD0168"/>
    <w:rsid w:val="00DD0343"/>
    <w:rsid w:val="00DD04E1"/>
    <w:rsid w:val="00DD055D"/>
    <w:rsid w:val="00DD05EC"/>
    <w:rsid w:val="00DD06A4"/>
    <w:rsid w:val="00DD08BD"/>
    <w:rsid w:val="00DD0921"/>
    <w:rsid w:val="00DD099C"/>
    <w:rsid w:val="00DD0A7D"/>
    <w:rsid w:val="00DD0B69"/>
    <w:rsid w:val="00DD0D54"/>
    <w:rsid w:val="00DD0D81"/>
    <w:rsid w:val="00DD0E09"/>
    <w:rsid w:val="00DD0F40"/>
    <w:rsid w:val="00DD10BF"/>
    <w:rsid w:val="00DD1177"/>
    <w:rsid w:val="00DD117F"/>
    <w:rsid w:val="00DD1276"/>
    <w:rsid w:val="00DD1347"/>
    <w:rsid w:val="00DD142B"/>
    <w:rsid w:val="00DD1438"/>
    <w:rsid w:val="00DD1464"/>
    <w:rsid w:val="00DD147F"/>
    <w:rsid w:val="00DD1501"/>
    <w:rsid w:val="00DD15EB"/>
    <w:rsid w:val="00DD16C9"/>
    <w:rsid w:val="00DD171C"/>
    <w:rsid w:val="00DD1728"/>
    <w:rsid w:val="00DD181D"/>
    <w:rsid w:val="00DD1875"/>
    <w:rsid w:val="00DD1999"/>
    <w:rsid w:val="00DD19FB"/>
    <w:rsid w:val="00DD1A4D"/>
    <w:rsid w:val="00DD1B03"/>
    <w:rsid w:val="00DD1BD8"/>
    <w:rsid w:val="00DD1CE7"/>
    <w:rsid w:val="00DD1ECD"/>
    <w:rsid w:val="00DD1EF8"/>
    <w:rsid w:val="00DD217B"/>
    <w:rsid w:val="00DD21C8"/>
    <w:rsid w:val="00DD2321"/>
    <w:rsid w:val="00DD23D0"/>
    <w:rsid w:val="00DD24DC"/>
    <w:rsid w:val="00DD2524"/>
    <w:rsid w:val="00DD26C1"/>
    <w:rsid w:val="00DD2D04"/>
    <w:rsid w:val="00DD2D0A"/>
    <w:rsid w:val="00DD2D7D"/>
    <w:rsid w:val="00DD2DB5"/>
    <w:rsid w:val="00DD2ED4"/>
    <w:rsid w:val="00DD2F96"/>
    <w:rsid w:val="00DD2FC5"/>
    <w:rsid w:val="00DD2FD2"/>
    <w:rsid w:val="00DD30BD"/>
    <w:rsid w:val="00DD3104"/>
    <w:rsid w:val="00DD316F"/>
    <w:rsid w:val="00DD31D6"/>
    <w:rsid w:val="00DD326D"/>
    <w:rsid w:val="00DD33D4"/>
    <w:rsid w:val="00DD33E9"/>
    <w:rsid w:val="00DD3496"/>
    <w:rsid w:val="00DD35C7"/>
    <w:rsid w:val="00DD369D"/>
    <w:rsid w:val="00DD37AA"/>
    <w:rsid w:val="00DD3A8C"/>
    <w:rsid w:val="00DD3AE0"/>
    <w:rsid w:val="00DD3BBF"/>
    <w:rsid w:val="00DD3C46"/>
    <w:rsid w:val="00DD3E7F"/>
    <w:rsid w:val="00DD400E"/>
    <w:rsid w:val="00DD402F"/>
    <w:rsid w:val="00DD407A"/>
    <w:rsid w:val="00DD4115"/>
    <w:rsid w:val="00DD430E"/>
    <w:rsid w:val="00DD4433"/>
    <w:rsid w:val="00DD44A4"/>
    <w:rsid w:val="00DD465A"/>
    <w:rsid w:val="00DD46AE"/>
    <w:rsid w:val="00DD471C"/>
    <w:rsid w:val="00DD4736"/>
    <w:rsid w:val="00DD48C1"/>
    <w:rsid w:val="00DD49D6"/>
    <w:rsid w:val="00DD4A03"/>
    <w:rsid w:val="00DD4A71"/>
    <w:rsid w:val="00DD4BC8"/>
    <w:rsid w:val="00DD4E4F"/>
    <w:rsid w:val="00DD501E"/>
    <w:rsid w:val="00DD5133"/>
    <w:rsid w:val="00DD524B"/>
    <w:rsid w:val="00DD548D"/>
    <w:rsid w:val="00DD5495"/>
    <w:rsid w:val="00DD549E"/>
    <w:rsid w:val="00DD551D"/>
    <w:rsid w:val="00DD564B"/>
    <w:rsid w:val="00DD56B2"/>
    <w:rsid w:val="00DD56F2"/>
    <w:rsid w:val="00DD5852"/>
    <w:rsid w:val="00DD5981"/>
    <w:rsid w:val="00DD5A1E"/>
    <w:rsid w:val="00DD5B5A"/>
    <w:rsid w:val="00DD5B72"/>
    <w:rsid w:val="00DD5B78"/>
    <w:rsid w:val="00DD5BA3"/>
    <w:rsid w:val="00DD5BF3"/>
    <w:rsid w:val="00DD5E4E"/>
    <w:rsid w:val="00DD5F9A"/>
    <w:rsid w:val="00DD60E4"/>
    <w:rsid w:val="00DD632B"/>
    <w:rsid w:val="00DD63CB"/>
    <w:rsid w:val="00DD6426"/>
    <w:rsid w:val="00DD65F7"/>
    <w:rsid w:val="00DD67B1"/>
    <w:rsid w:val="00DD69CC"/>
    <w:rsid w:val="00DD6A07"/>
    <w:rsid w:val="00DD6A43"/>
    <w:rsid w:val="00DD6A6E"/>
    <w:rsid w:val="00DD6B26"/>
    <w:rsid w:val="00DD6B57"/>
    <w:rsid w:val="00DD6BE2"/>
    <w:rsid w:val="00DD6D15"/>
    <w:rsid w:val="00DD6E95"/>
    <w:rsid w:val="00DD6F0F"/>
    <w:rsid w:val="00DD6FC1"/>
    <w:rsid w:val="00DD70AB"/>
    <w:rsid w:val="00DD70C8"/>
    <w:rsid w:val="00DD713F"/>
    <w:rsid w:val="00DD726D"/>
    <w:rsid w:val="00DD7271"/>
    <w:rsid w:val="00DD74A6"/>
    <w:rsid w:val="00DD75B5"/>
    <w:rsid w:val="00DD7778"/>
    <w:rsid w:val="00DD78A5"/>
    <w:rsid w:val="00DD7990"/>
    <w:rsid w:val="00DD7CCF"/>
    <w:rsid w:val="00DE0048"/>
    <w:rsid w:val="00DE007A"/>
    <w:rsid w:val="00DE00BE"/>
    <w:rsid w:val="00DE01E7"/>
    <w:rsid w:val="00DE030D"/>
    <w:rsid w:val="00DE051E"/>
    <w:rsid w:val="00DE05BB"/>
    <w:rsid w:val="00DE070D"/>
    <w:rsid w:val="00DE070E"/>
    <w:rsid w:val="00DE07E4"/>
    <w:rsid w:val="00DE0A98"/>
    <w:rsid w:val="00DE0D69"/>
    <w:rsid w:val="00DE0D8C"/>
    <w:rsid w:val="00DE1055"/>
    <w:rsid w:val="00DE1137"/>
    <w:rsid w:val="00DE114F"/>
    <w:rsid w:val="00DE1277"/>
    <w:rsid w:val="00DE142B"/>
    <w:rsid w:val="00DE144B"/>
    <w:rsid w:val="00DE14DD"/>
    <w:rsid w:val="00DE151C"/>
    <w:rsid w:val="00DE1605"/>
    <w:rsid w:val="00DE1627"/>
    <w:rsid w:val="00DE171B"/>
    <w:rsid w:val="00DE17ED"/>
    <w:rsid w:val="00DE18CA"/>
    <w:rsid w:val="00DE197F"/>
    <w:rsid w:val="00DE19D2"/>
    <w:rsid w:val="00DE1A93"/>
    <w:rsid w:val="00DE1ABE"/>
    <w:rsid w:val="00DE1AFB"/>
    <w:rsid w:val="00DE1B0C"/>
    <w:rsid w:val="00DE1C02"/>
    <w:rsid w:val="00DE1CE5"/>
    <w:rsid w:val="00DE1D1B"/>
    <w:rsid w:val="00DE1E0E"/>
    <w:rsid w:val="00DE1EC7"/>
    <w:rsid w:val="00DE1F9F"/>
    <w:rsid w:val="00DE1FD4"/>
    <w:rsid w:val="00DE20A6"/>
    <w:rsid w:val="00DE22E4"/>
    <w:rsid w:val="00DE2405"/>
    <w:rsid w:val="00DE2467"/>
    <w:rsid w:val="00DE2489"/>
    <w:rsid w:val="00DE24D0"/>
    <w:rsid w:val="00DE24E9"/>
    <w:rsid w:val="00DE255D"/>
    <w:rsid w:val="00DE2711"/>
    <w:rsid w:val="00DE2779"/>
    <w:rsid w:val="00DE27D0"/>
    <w:rsid w:val="00DE2861"/>
    <w:rsid w:val="00DE2993"/>
    <w:rsid w:val="00DE2A65"/>
    <w:rsid w:val="00DE2ACA"/>
    <w:rsid w:val="00DE2B53"/>
    <w:rsid w:val="00DE2BB2"/>
    <w:rsid w:val="00DE3039"/>
    <w:rsid w:val="00DE310A"/>
    <w:rsid w:val="00DE3133"/>
    <w:rsid w:val="00DE3136"/>
    <w:rsid w:val="00DE31F2"/>
    <w:rsid w:val="00DE32D2"/>
    <w:rsid w:val="00DE34A1"/>
    <w:rsid w:val="00DE352D"/>
    <w:rsid w:val="00DE36A0"/>
    <w:rsid w:val="00DE3743"/>
    <w:rsid w:val="00DE379A"/>
    <w:rsid w:val="00DE39C0"/>
    <w:rsid w:val="00DE3BE7"/>
    <w:rsid w:val="00DE3BF5"/>
    <w:rsid w:val="00DE3DB9"/>
    <w:rsid w:val="00DE3F9E"/>
    <w:rsid w:val="00DE407E"/>
    <w:rsid w:val="00DE44B4"/>
    <w:rsid w:val="00DE452D"/>
    <w:rsid w:val="00DE4656"/>
    <w:rsid w:val="00DE469F"/>
    <w:rsid w:val="00DE49D3"/>
    <w:rsid w:val="00DE4AFF"/>
    <w:rsid w:val="00DE4B07"/>
    <w:rsid w:val="00DE4B17"/>
    <w:rsid w:val="00DE4B63"/>
    <w:rsid w:val="00DE4BED"/>
    <w:rsid w:val="00DE4C8E"/>
    <w:rsid w:val="00DE4D8F"/>
    <w:rsid w:val="00DE5048"/>
    <w:rsid w:val="00DE513B"/>
    <w:rsid w:val="00DE51C6"/>
    <w:rsid w:val="00DE51E8"/>
    <w:rsid w:val="00DE5233"/>
    <w:rsid w:val="00DE55A7"/>
    <w:rsid w:val="00DE565A"/>
    <w:rsid w:val="00DE58BC"/>
    <w:rsid w:val="00DE5939"/>
    <w:rsid w:val="00DE5966"/>
    <w:rsid w:val="00DE59E8"/>
    <w:rsid w:val="00DE5B8F"/>
    <w:rsid w:val="00DE5D5F"/>
    <w:rsid w:val="00DE5D6C"/>
    <w:rsid w:val="00DE6052"/>
    <w:rsid w:val="00DE6127"/>
    <w:rsid w:val="00DE617C"/>
    <w:rsid w:val="00DE617F"/>
    <w:rsid w:val="00DE61E0"/>
    <w:rsid w:val="00DE61F6"/>
    <w:rsid w:val="00DE624E"/>
    <w:rsid w:val="00DE63EB"/>
    <w:rsid w:val="00DE6432"/>
    <w:rsid w:val="00DE6573"/>
    <w:rsid w:val="00DE65F8"/>
    <w:rsid w:val="00DE6648"/>
    <w:rsid w:val="00DE677E"/>
    <w:rsid w:val="00DE67DD"/>
    <w:rsid w:val="00DE67E1"/>
    <w:rsid w:val="00DE6B45"/>
    <w:rsid w:val="00DE6C30"/>
    <w:rsid w:val="00DE6D4F"/>
    <w:rsid w:val="00DE6F2F"/>
    <w:rsid w:val="00DE6F86"/>
    <w:rsid w:val="00DE7080"/>
    <w:rsid w:val="00DE70AB"/>
    <w:rsid w:val="00DE73E5"/>
    <w:rsid w:val="00DE754C"/>
    <w:rsid w:val="00DE759B"/>
    <w:rsid w:val="00DE7787"/>
    <w:rsid w:val="00DE77D9"/>
    <w:rsid w:val="00DE7982"/>
    <w:rsid w:val="00DE7B04"/>
    <w:rsid w:val="00DE7B06"/>
    <w:rsid w:val="00DE7B33"/>
    <w:rsid w:val="00DE7EFE"/>
    <w:rsid w:val="00DE7F09"/>
    <w:rsid w:val="00DF00D4"/>
    <w:rsid w:val="00DF00DE"/>
    <w:rsid w:val="00DF0176"/>
    <w:rsid w:val="00DF019A"/>
    <w:rsid w:val="00DF01B1"/>
    <w:rsid w:val="00DF0287"/>
    <w:rsid w:val="00DF028D"/>
    <w:rsid w:val="00DF0548"/>
    <w:rsid w:val="00DF0624"/>
    <w:rsid w:val="00DF079B"/>
    <w:rsid w:val="00DF084B"/>
    <w:rsid w:val="00DF0B84"/>
    <w:rsid w:val="00DF0BC8"/>
    <w:rsid w:val="00DF0C07"/>
    <w:rsid w:val="00DF0C3D"/>
    <w:rsid w:val="00DF0CB9"/>
    <w:rsid w:val="00DF0DE1"/>
    <w:rsid w:val="00DF1054"/>
    <w:rsid w:val="00DF10CD"/>
    <w:rsid w:val="00DF1109"/>
    <w:rsid w:val="00DF11AC"/>
    <w:rsid w:val="00DF1280"/>
    <w:rsid w:val="00DF1364"/>
    <w:rsid w:val="00DF1404"/>
    <w:rsid w:val="00DF1406"/>
    <w:rsid w:val="00DF1428"/>
    <w:rsid w:val="00DF14F8"/>
    <w:rsid w:val="00DF153C"/>
    <w:rsid w:val="00DF1606"/>
    <w:rsid w:val="00DF16AE"/>
    <w:rsid w:val="00DF1828"/>
    <w:rsid w:val="00DF182B"/>
    <w:rsid w:val="00DF1926"/>
    <w:rsid w:val="00DF1C05"/>
    <w:rsid w:val="00DF1CAA"/>
    <w:rsid w:val="00DF1CF2"/>
    <w:rsid w:val="00DF1D52"/>
    <w:rsid w:val="00DF1EB9"/>
    <w:rsid w:val="00DF2262"/>
    <w:rsid w:val="00DF2324"/>
    <w:rsid w:val="00DF23C9"/>
    <w:rsid w:val="00DF2592"/>
    <w:rsid w:val="00DF2633"/>
    <w:rsid w:val="00DF2916"/>
    <w:rsid w:val="00DF2B03"/>
    <w:rsid w:val="00DF2B45"/>
    <w:rsid w:val="00DF2BFA"/>
    <w:rsid w:val="00DF2C36"/>
    <w:rsid w:val="00DF2C50"/>
    <w:rsid w:val="00DF2C57"/>
    <w:rsid w:val="00DF2CD4"/>
    <w:rsid w:val="00DF2D94"/>
    <w:rsid w:val="00DF2EAC"/>
    <w:rsid w:val="00DF322A"/>
    <w:rsid w:val="00DF337D"/>
    <w:rsid w:val="00DF3493"/>
    <w:rsid w:val="00DF34FB"/>
    <w:rsid w:val="00DF3628"/>
    <w:rsid w:val="00DF3966"/>
    <w:rsid w:val="00DF39F3"/>
    <w:rsid w:val="00DF3E48"/>
    <w:rsid w:val="00DF3FCC"/>
    <w:rsid w:val="00DF406E"/>
    <w:rsid w:val="00DF415D"/>
    <w:rsid w:val="00DF41F8"/>
    <w:rsid w:val="00DF42C1"/>
    <w:rsid w:val="00DF43F5"/>
    <w:rsid w:val="00DF4400"/>
    <w:rsid w:val="00DF456B"/>
    <w:rsid w:val="00DF45CA"/>
    <w:rsid w:val="00DF4659"/>
    <w:rsid w:val="00DF46AE"/>
    <w:rsid w:val="00DF46DF"/>
    <w:rsid w:val="00DF470C"/>
    <w:rsid w:val="00DF4784"/>
    <w:rsid w:val="00DF47B9"/>
    <w:rsid w:val="00DF47DF"/>
    <w:rsid w:val="00DF47F4"/>
    <w:rsid w:val="00DF4902"/>
    <w:rsid w:val="00DF4A00"/>
    <w:rsid w:val="00DF4A1C"/>
    <w:rsid w:val="00DF4A36"/>
    <w:rsid w:val="00DF4D76"/>
    <w:rsid w:val="00DF4EB3"/>
    <w:rsid w:val="00DF4F54"/>
    <w:rsid w:val="00DF522D"/>
    <w:rsid w:val="00DF5323"/>
    <w:rsid w:val="00DF53CB"/>
    <w:rsid w:val="00DF5436"/>
    <w:rsid w:val="00DF5471"/>
    <w:rsid w:val="00DF54C7"/>
    <w:rsid w:val="00DF55D4"/>
    <w:rsid w:val="00DF57A2"/>
    <w:rsid w:val="00DF59D9"/>
    <w:rsid w:val="00DF5A39"/>
    <w:rsid w:val="00DF5A42"/>
    <w:rsid w:val="00DF5A59"/>
    <w:rsid w:val="00DF5A67"/>
    <w:rsid w:val="00DF5A70"/>
    <w:rsid w:val="00DF5B37"/>
    <w:rsid w:val="00DF5EE1"/>
    <w:rsid w:val="00DF5EEE"/>
    <w:rsid w:val="00DF6066"/>
    <w:rsid w:val="00DF6094"/>
    <w:rsid w:val="00DF60EC"/>
    <w:rsid w:val="00DF61C4"/>
    <w:rsid w:val="00DF63B0"/>
    <w:rsid w:val="00DF64B8"/>
    <w:rsid w:val="00DF66D6"/>
    <w:rsid w:val="00DF6959"/>
    <w:rsid w:val="00DF6986"/>
    <w:rsid w:val="00DF69EA"/>
    <w:rsid w:val="00DF6A7A"/>
    <w:rsid w:val="00DF6A9E"/>
    <w:rsid w:val="00DF6C90"/>
    <w:rsid w:val="00DF6CD2"/>
    <w:rsid w:val="00DF6DFF"/>
    <w:rsid w:val="00DF6E2D"/>
    <w:rsid w:val="00DF6F0B"/>
    <w:rsid w:val="00DF6F87"/>
    <w:rsid w:val="00DF706E"/>
    <w:rsid w:val="00DF71A9"/>
    <w:rsid w:val="00DF720C"/>
    <w:rsid w:val="00DF72ED"/>
    <w:rsid w:val="00DF72FC"/>
    <w:rsid w:val="00DF7308"/>
    <w:rsid w:val="00DF732A"/>
    <w:rsid w:val="00DF76C4"/>
    <w:rsid w:val="00DF77B0"/>
    <w:rsid w:val="00DF7802"/>
    <w:rsid w:val="00DF7842"/>
    <w:rsid w:val="00DF78B7"/>
    <w:rsid w:val="00DF7A0D"/>
    <w:rsid w:val="00DF7B49"/>
    <w:rsid w:val="00DF7C5E"/>
    <w:rsid w:val="00DF7CA3"/>
    <w:rsid w:val="00DF7D63"/>
    <w:rsid w:val="00DF7DBC"/>
    <w:rsid w:val="00DF7E9F"/>
    <w:rsid w:val="00DF7EC5"/>
    <w:rsid w:val="00E00027"/>
    <w:rsid w:val="00E001FC"/>
    <w:rsid w:val="00E00576"/>
    <w:rsid w:val="00E007A0"/>
    <w:rsid w:val="00E00921"/>
    <w:rsid w:val="00E00948"/>
    <w:rsid w:val="00E009C9"/>
    <w:rsid w:val="00E009FC"/>
    <w:rsid w:val="00E00B02"/>
    <w:rsid w:val="00E00B8A"/>
    <w:rsid w:val="00E00B8B"/>
    <w:rsid w:val="00E00BB2"/>
    <w:rsid w:val="00E00C22"/>
    <w:rsid w:val="00E00EE0"/>
    <w:rsid w:val="00E00F2A"/>
    <w:rsid w:val="00E01012"/>
    <w:rsid w:val="00E01040"/>
    <w:rsid w:val="00E0111E"/>
    <w:rsid w:val="00E0130E"/>
    <w:rsid w:val="00E0133D"/>
    <w:rsid w:val="00E0157A"/>
    <w:rsid w:val="00E015A0"/>
    <w:rsid w:val="00E01667"/>
    <w:rsid w:val="00E01A2F"/>
    <w:rsid w:val="00E01B71"/>
    <w:rsid w:val="00E01DF3"/>
    <w:rsid w:val="00E01E39"/>
    <w:rsid w:val="00E01ECC"/>
    <w:rsid w:val="00E02026"/>
    <w:rsid w:val="00E0209C"/>
    <w:rsid w:val="00E020C7"/>
    <w:rsid w:val="00E02181"/>
    <w:rsid w:val="00E02295"/>
    <w:rsid w:val="00E022D6"/>
    <w:rsid w:val="00E023E9"/>
    <w:rsid w:val="00E02480"/>
    <w:rsid w:val="00E02668"/>
    <w:rsid w:val="00E027C7"/>
    <w:rsid w:val="00E02A25"/>
    <w:rsid w:val="00E02C62"/>
    <w:rsid w:val="00E02E8C"/>
    <w:rsid w:val="00E02EFF"/>
    <w:rsid w:val="00E032AE"/>
    <w:rsid w:val="00E03387"/>
    <w:rsid w:val="00E0351E"/>
    <w:rsid w:val="00E0355A"/>
    <w:rsid w:val="00E036F4"/>
    <w:rsid w:val="00E03710"/>
    <w:rsid w:val="00E03A2A"/>
    <w:rsid w:val="00E03A69"/>
    <w:rsid w:val="00E03BF0"/>
    <w:rsid w:val="00E03CFF"/>
    <w:rsid w:val="00E03D52"/>
    <w:rsid w:val="00E03E73"/>
    <w:rsid w:val="00E040A7"/>
    <w:rsid w:val="00E04130"/>
    <w:rsid w:val="00E04352"/>
    <w:rsid w:val="00E04501"/>
    <w:rsid w:val="00E045AC"/>
    <w:rsid w:val="00E04657"/>
    <w:rsid w:val="00E04774"/>
    <w:rsid w:val="00E0483D"/>
    <w:rsid w:val="00E04844"/>
    <w:rsid w:val="00E0495F"/>
    <w:rsid w:val="00E0499C"/>
    <w:rsid w:val="00E04B94"/>
    <w:rsid w:val="00E04C17"/>
    <w:rsid w:val="00E04F7F"/>
    <w:rsid w:val="00E05021"/>
    <w:rsid w:val="00E050AE"/>
    <w:rsid w:val="00E0518B"/>
    <w:rsid w:val="00E05367"/>
    <w:rsid w:val="00E05389"/>
    <w:rsid w:val="00E05421"/>
    <w:rsid w:val="00E0554E"/>
    <w:rsid w:val="00E05589"/>
    <w:rsid w:val="00E056D9"/>
    <w:rsid w:val="00E05961"/>
    <w:rsid w:val="00E05A43"/>
    <w:rsid w:val="00E05A53"/>
    <w:rsid w:val="00E05AC2"/>
    <w:rsid w:val="00E05C8D"/>
    <w:rsid w:val="00E05E10"/>
    <w:rsid w:val="00E05E74"/>
    <w:rsid w:val="00E05F96"/>
    <w:rsid w:val="00E05FB5"/>
    <w:rsid w:val="00E06048"/>
    <w:rsid w:val="00E0619A"/>
    <w:rsid w:val="00E062DC"/>
    <w:rsid w:val="00E06390"/>
    <w:rsid w:val="00E066E3"/>
    <w:rsid w:val="00E06716"/>
    <w:rsid w:val="00E06885"/>
    <w:rsid w:val="00E068B4"/>
    <w:rsid w:val="00E0691E"/>
    <w:rsid w:val="00E0693A"/>
    <w:rsid w:val="00E0694E"/>
    <w:rsid w:val="00E06BF7"/>
    <w:rsid w:val="00E06CE9"/>
    <w:rsid w:val="00E06D03"/>
    <w:rsid w:val="00E06D7E"/>
    <w:rsid w:val="00E06DDB"/>
    <w:rsid w:val="00E06E9E"/>
    <w:rsid w:val="00E06F38"/>
    <w:rsid w:val="00E07110"/>
    <w:rsid w:val="00E072B6"/>
    <w:rsid w:val="00E0741C"/>
    <w:rsid w:val="00E077A2"/>
    <w:rsid w:val="00E07970"/>
    <w:rsid w:val="00E07A40"/>
    <w:rsid w:val="00E07A65"/>
    <w:rsid w:val="00E07C3E"/>
    <w:rsid w:val="00E07C4F"/>
    <w:rsid w:val="00E07CAC"/>
    <w:rsid w:val="00E07CF8"/>
    <w:rsid w:val="00E07FD4"/>
    <w:rsid w:val="00E100F9"/>
    <w:rsid w:val="00E1020B"/>
    <w:rsid w:val="00E102F4"/>
    <w:rsid w:val="00E1039B"/>
    <w:rsid w:val="00E10414"/>
    <w:rsid w:val="00E105E8"/>
    <w:rsid w:val="00E1067C"/>
    <w:rsid w:val="00E1068F"/>
    <w:rsid w:val="00E106C1"/>
    <w:rsid w:val="00E10954"/>
    <w:rsid w:val="00E10A45"/>
    <w:rsid w:val="00E10D28"/>
    <w:rsid w:val="00E10F3A"/>
    <w:rsid w:val="00E10F68"/>
    <w:rsid w:val="00E10F9A"/>
    <w:rsid w:val="00E10FAB"/>
    <w:rsid w:val="00E11228"/>
    <w:rsid w:val="00E1126E"/>
    <w:rsid w:val="00E11314"/>
    <w:rsid w:val="00E11476"/>
    <w:rsid w:val="00E11818"/>
    <w:rsid w:val="00E1186D"/>
    <w:rsid w:val="00E1188C"/>
    <w:rsid w:val="00E11927"/>
    <w:rsid w:val="00E11B40"/>
    <w:rsid w:val="00E11BC3"/>
    <w:rsid w:val="00E11D3A"/>
    <w:rsid w:val="00E11DA8"/>
    <w:rsid w:val="00E11EA6"/>
    <w:rsid w:val="00E11F66"/>
    <w:rsid w:val="00E11FF7"/>
    <w:rsid w:val="00E12072"/>
    <w:rsid w:val="00E122AC"/>
    <w:rsid w:val="00E12324"/>
    <w:rsid w:val="00E123C0"/>
    <w:rsid w:val="00E12573"/>
    <w:rsid w:val="00E126CC"/>
    <w:rsid w:val="00E12809"/>
    <w:rsid w:val="00E12848"/>
    <w:rsid w:val="00E128CE"/>
    <w:rsid w:val="00E12900"/>
    <w:rsid w:val="00E129AF"/>
    <w:rsid w:val="00E12A7D"/>
    <w:rsid w:val="00E12B19"/>
    <w:rsid w:val="00E12BA7"/>
    <w:rsid w:val="00E12C17"/>
    <w:rsid w:val="00E12DD0"/>
    <w:rsid w:val="00E12FA8"/>
    <w:rsid w:val="00E12FBA"/>
    <w:rsid w:val="00E1306D"/>
    <w:rsid w:val="00E130BF"/>
    <w:rsid w:val="00E1318C"/>
    <w:rsid w:val="00E131B3"/>
    <w:rsid w:val="00E13248"/>
    <w:rsid w:val="00E1326C"/>
    <w:rsid w:val="00E1340C"/>
    <w:rsid w:val="00E13466"/>
    <w:rsid w:val="00E134A9"/>
    <w:rsid w:val="00E13547"/>
    <w:rsid w:val="00E135EB"/>
    <w:rsid w:val="00E13800"/>
    <w:rsid w:val="00E13BEE"/>
    <w:rsid w:val="00E13E72"/>
    <w:rsid w:val="00E13F1D"/>
    <w:rsid w:val="00E13F86"/>
    <w:rsid w:val="00E140CA"/>
    <w:rsid w:val="00E1420C"/>
    <w:rsid w:val="00E1437D"/>
    <w:rsid w:val="00E143DB"/>
    <w:rsid w:val="00E1454B"/>
    <w:rsid w:val="00E14567"/>
    <w:rsid w:val="00E1480C"/>
    <w:rsid w:val="00E14853"/>
    <w:rsid w:val="00E148D2"/>
    <w:rsid w:val="00E148DD"/>
    <w:rsid w:val="00E149D4"/>
    <w:rsid w:val="00E14A6B"/>
    <w:rsid w:val="00E14D54"/>
    <w:rsid w:val="00E14DCA"/>
    <w:rsid w:val="00E14E1A"/>
    <w:rsid w:val="00E14F30"/>
    <w:rsid w:val="00E15043"/>
    <w:rsid w:val="00E1507A"/>
    <w:rsid w:val="00E15445"/>
    <w:rsid w:val="00E15593"/>
    <w:rsid w:val="00E15642"/>
    <w:rsid w:val="00E1567B"/>
    <w:rsid w:val="00E156E4"/>
    <w:rsid w:val="00E15792"/>
    <w:rsid w:val="00E157D5"/>
    <w:rsid w:val="00E15878"/>
    <w:rsid w:val="00E1590E"/>
    <w:rsid w:val="00E159CC"/>
    <w:rsid w:val="00E15AC5"/>
    <w:rsid w:val="00E15B42"/>
    <w:rsid w:val="00E15C5C"/>
    <w:rsid w:val="00E15C6B"/>
    <w:rsid w:val="00E15D48"/>
    <w:rsid w:val="00E15EF6"/>
    <w:rsid w:val="00E1609D"/>
    <w:rsid w:val="00E160D7"/>
    <w:rsid w:val="00E160DF"/>
    <w:rsid w:val="00E1610A"/>
    <w:rsid w:val="00E1616E"/>
    <w:rsid w:val="00E16218"/>
    <w:rsid w:val="00E16406"/>
    <w:rsid w:val="00E16613"/>
    <w:rsid w:val="00E16678"/>
    <w:rsid w:val="00E1675C"/>
    <w:rsid w:val="00E167C5"/>
    <w:rsid w:val="00E1683C"/>
    <w:rsid w:val="00E16AB3"/>
    <w:rsid w:val="00E16AE8"/>
    <w:rsid w:val="00E16BA8"/>
    <w:rsid w:val="00E16F38"/>
    <w:rsid w:val="00E16F6B"/>
    <w:rsid w:val="00E1704D"/>
    <w:rsid w:val="00E17204"/>
    <w:rsid w:val="00E1728D"/>
    <w:rsid w:val="00E1742D"/>
    <w:rsid w:val="00E17456"/>
    <w:rsid w:val="00E17472"/>
    <w:rsid w:val="00E174BA"/>
    <w:rsid w:val="00E17608"/>
    <w:rsid w:val="00E17724"/>
    <w:rsid w:val="00E17754"/>
    <w:rsid w:val="00E17785"/>
    <w:rsid w:val="00E17799"/>
    <w:rsid w:val="00E177F0"/>
    <w:rsid w:val="00E17976"/>
    <w:rsid w:val="00E17AC8"/>
    <w:rsid w:val="00E17B54"/>
    <w:rsid w:val="00E17BAD"/>
    <w:rsid w:val="00E17C2C"/>
    <w:rsid w:val="00E200BB"/>
    <w:rsid w:val="00E20146"/>
    <w:rsid w:val="00E201FC"/>
    <w:rsid w:val="00E20232"/>
    <w:rsid w:val="00E203D0"/>
    <w:rsid w:val="00E204D6"/>
    <w:rsid w:val="00E204E2"/>
    <w:rsid w:val="00E20545"/>
    <w:rsid w:val="00E2059B"/>
    <w:rsid w:val="00E205E6"/>
    <w:rsid w:val="00E20727"/>
    <w:rsid w:val="00E207CD"/>
    <w:rsid w:val="00E207F4"/>
    <w:rsid w:val="00E20864"/>
    <w:rsid w:val="00E209D9"/>
    <w:rsid w:val="00E20A40"/>
    <w:rsid w:val="00E20A52"/>
    <w:rsid w:val="00E20A96"/>
    <w:rsid w:val="00E20C27"/>
    <w:rsid w:val="00E20DDC"/>
    <w:rsid w:val="00E20E8D"/>
    <w:rsid w:val="00E20F4C"/>
    <w:rsid w:val="00E21007"/>
    <w:rsid w:val="00E21076"/>
    <w:rsid w:val="00E21155"/>
    <w:rsid w:val="00E211AA"/>
    <w:rsid w:val="00E212CB"/>
    <w:rsid w:val="00E213ED"/>
    <w:rsid w:val="00E2141F"/>
    <w:rsid w:val="00E214F5"/>
    <w:rsid w:val="00E215AA"/>
    <w:rsid w:val="00E215C2"/>
    <w:rsid w:val="00E2178C"/>
    <w:rsid w:val="00E21790"/>
    <w:rsid w:val="00E217CD"/>
    <w:rsid w:val="00E21948"/>
    <w:rsid w:val="00E21A19"/>
    <w:rsid w:val="00E21A35"/>
    <w:rsid w:val="00E21AC6"/>
    <w:rsid w:val="00E21E6D"/>
    <w:rsid w:val="00E221C9"/>
    <w:rsid w:val="00E22205"/>
    <w:rsid w:val="00E22254"/>
    <w:rsid w:val="00E22266"/>
    <w:rsid w:val="00E22339"/>
    <w:rsid w:val="00E223EF"/>
    <w:rsid w:val="00E22456"/>
    <w:rsid w:val="00E227C4"/>
    <w:rsid w:val="00E22839"/>
    <w:rsid w:val="00E22A2F"/>
    <w:rsid w:val="00E22AEE"/>
    <w:rsid w:val="00E22B3E"/>
    <w:rsid w:val="00E22B66"/>
    <w:rsid w:val="00E22B6B"/>
    <w:rsid w:val="00E22C64"/>
    <w:rsid w:val="00E22D56"/>
    <w:rsid w:val="00E23006"/>
    <w:rsid w:val="00E23140"/>
    <w:rsid w:val="00E23282"/>
    <w:rsid w:val="00E232B7"/>
    <w:rsid w:val="00E232E3"/>
    <w:rsid w:val="00E23347"/>
    <w:rsid w:val="00E233BD"/>
    <w:rsid w:val="00E234DB"/>
    <w:rsid w:val="00E23509"/>
    <w:rsid w:val="00E23516"/>
    <w:rsid w:val="00E235AB"/>
    <w:rsid w:val="00E236BD"/>
    <w:rsid w:val="00E236CF"/>
    <w:rsid w:val="00E236E7"/>
    <w:rsid w:val="00E23766"/>
    <w:rsid w:val="00E237AF"/>
    <w:rsid w:val="00E23801"/>
    <w:rsid w:val="00E238D9"/>
    <w:rsid w:val="00E23940"/>
    <w:rsid w:val="00E2397F"/>
    <w:rsid w:val="00E2399A"/>
    <w:rsid w:val="00E23A2C"/>
    <w:rsid w:val="00E23AB7"/>
    <w:rsid w:val="00E23C0C"/>
    <w:rsid w:val="00E23C3B"/>
    <w:rsid w:val="00E23C63"/>
    <w:rsid w:val="00E23CB8"/>
    <w:rsid w:val="00E23D3D"/>
    <w:rsid w:val="00E243C5"/>
    <w:rsid w:val="00E244B5"/>
    <w:rsid w:val="00E245D9"/>
    <w:rsid w:val="00E24656"/>
    <w:rsid w:val="00E24679"/>
    <w:rsid w:val="00E24839"/>
    <w:rsid w:val="00E248B1"/>
    <w:rsid w:val="00E248F8"/>
    <w:rsid w:val="00E248FC"/>
    <w:rsid w:val="00E24A11"/>
    <w:rsid w:val="00E24A95"/>
    <w:rsid w:val="00E24D11"/>
    <w:rsid w:val="00E24ECC"/>
    <w:rsid w:val="00E25150"/>
    <w:rsid w:val="00E251F6"/>
    <w:rsid w:val="00E2527D"/>
    <w:rsid w:val="00E25328"/>
    <w:rsid w:val="00E25337"/>
    <w:rsid w:val="00E2542C"/>
    <w:rsid w:val="00E25493"/>
    <w:rsid w:val="00E25523"/>
    <w:rsid w:val="00E2562A"/>
    <w:rsid w:val="00E257A4"/>
    <w:rsid w:val="00E257FB"/>
    <w:rsid w:val="00E25839"/>
    <w:rsid w:val="00E25867"/>
    <w:rsid w:val="00E25901"/>
    <w:rsid w:val="00E25981"/>
    <w:rsid w:val="00E25AEC"/>
    <w:rsid w:val="00E25B5F"/>
    <w:rsid w:val="00E25C1E"/>
    <w:rsid w:val="00E25C92"/>
    <w:rsid w:val="00E25E82"/>
    <w:rsid w:val="00E25F2D"/>
    <w:rsid w:val="00E26196"/>
    <w:rsid w:val="00E26221"/>
    <w:rsid w:val="00E26263"/>
    <w:rsid w:val="00E2632A"/>
    <w:rsid w:val="00E263E0"/>
    <w:rsid w:val="00E26551"/>
    <w:rsid w:val="00E26792"/>
    <w:rsid w:val="00E26814"/>
    <w:rsid w:val="00E26841"/>
    <w:rsid w:val="00E268A5"/>
    <w:rsid w:val="00E26A24"/>
    <w:rsid w:val="00E26CD2"/>
    <w:rsid w:val="00E26CF7"/>
    <w:rsid w:val="00E26D9C"/>
    <w:rsid w:val="00E26DC1"/>
    <w:rsid w:val="00E26E45"/>
    <w:rsid w:val="00E26EBF"/>
    <w:rsid w:val="00E26FEB"/>
    <w:rsid w:val="00E27001"/>
    <w:rsid w:val="00E2700D"/>
    <w:rsid w:val="00E271A6"/>
    <w:rsid w:val="00E27405"/>
    <w:rsid w:val="00E274FD"/>
    <w:rsid w:val="00E27700"/>
    <w:rsid w:val="00E27709"/>
    <w:rsid w:val="00E27779"/>
    <w:rsid w:val="00E277ED"/>
    <w:rsid w:val="00E27961"/>
    <w:rsid w:val="00E27A59"/>
    <w:rsid w:val="00E27B81"/>
    <w:rsid w:val="00E27C15"/>
    <w:rsid w:val="00E27C7F"/>
    <w:rsid w:val="00E27CB6"/>
    <w:rsid w:val="00E27CD0"/>
    <w:rsid w:val="00E27CD3"/>
    <w:rsid w:val="00E27CD4"/>
    <w:rsid w:val="00E27D7A"/>
    <w:rsid w:val="00E27D98"/>
    <w:rsid w:val="00E27DCE"/>
    <w:rsid w:val="00E27EAA"/>
    <w:rsid w:val="00E27F1D"/>
    <w:rsid w:val="00E27F60"/>
    <w:rsid w:val="00E27F71"/>
    <w:rsid w:val="00E27FC0"/>
    <w:rsid w:val="00E3004C"/>
    <w:rsid w:val="00E30102"/>
    <w:rsid w:val="00E301AE"/>
    <w:rsid w:val="00E30628"/>
    <w:rsid w:val="00E307EF"/>
    <w:rsid w:val="00E30836"/>
    <w:rsid w:val="00E30884"/>
    <w:rsid w:val="00E30907"/>
    <w:rsid w:val="00E30A28"/>
    <w:rsid w:val="00E30AD2"/>
    <w:rsid w:val="00E3113A"/>
    <w:rsid w:val="00E31170"/>
    <w:rsid w:val="00E311C4"/>
    <w:rsid w:val="00E3128C"/>
    <w:rsid w:val="00E3133B"/>
    <w:rsid w:val="00E313AD"/>
    <w:rsid w:val="00E31543"/>
    <w:rsid w:val="00E315FA"/>
    <w:rsid w:val="00E3161D"/>
    <w:rsid w:val="00E31844"/>
    <w:rsid w:val="00E3199B"/>
    <w:rsid w:val="00E31A10"/>
    <w:rsid w:val="00E31A1E"/>
    <w:rsid w:val="00E31A5E"/>
    <w:rsid w:val="00E31B32"/>
    <w:rsid w:val="00E31CA3"/>
    <w:rsid w:val="00E31D3C"/>
    <w:rsid w:val="00E31F5A"/>
    <w:rsid w:val="00E320B4"/>
    <w:rsid w:val="00E3220E"/>
    <w:rsid w:val="00E3223B"/>
    <w:rsid w:val="00E322A1"/>
    <w:rsid w:val="00E32300"/>
    <w:rsid w:val="00E3249B"/>
    <w:rsid w:val="00E32523"/>
    <w:rsid w:val="00E3252D"/>
    <w:rsid w:val="00E32771"/>
    <w:rsid w:val="00E327D9"/>
    <w:rsid w:val="00E32800"/>
    <w:rsid w:val="00E329EC"/>
    <w:rsid w:val="00E32A40"/>
    <w:rsid w:val="00E32BEF"/>
    <w:rsid w:val="00E32D1E"/>
    <w:rsid w:val="00E32DA4"/>
    <w:rsid w:val="00E32F8E"/>
    <w:rsid w:val="00E3301E"/>
    <w:rsid w:val="00E331D8"/>
    <w:rsid w:val="00E332F8"/>
    <w:rsid w:val="00E333C9"/>
    <w:rsid w:val="00E334C3"/>
    <w:rsid w:val="00E33549"/>
    <w:rsid w:val="00E33649"/>
    <w:rsid w:val="00E337DC"/>
    <w:rsid w:val="00E338DC"/>
    <w:rsid w:val="00E33915"/>
    <w:rsid w:val="00E33A93"/>
    <w:rsid w:val="00E33BE6"/>
    <w:rsid w:val="00E33E0D"/>
    <w:rsid w:val="00E33E55"/>
    <w:rsid w:val="00E33EED"/>
    <w:rsid w:val="00E33EF4"/>
    <w:rsid w:val="00E33F47"/>
    <w:rsid w:val="00E33FB5"/>
    <w:rsid w:val="00E34068"/>
    <w:rsid w:val="00E3412C"/>
    <w:rsid w:val="00E34163"/>
    <w:rsid w:val="00E342CA"/>
    <w:rsid w:val="00E34307"/>
    <w:rsid w:val="00E34426"/>
    <w:rsid w:val="00E34628"/>
    <w:rsid w:val="00E3463C"/>
    <w:rsid w:val="00E348A9"/>
    <w:rsid w:val="00E348D1"/>
    <w:rsid w:val="00E34948"/>
    <w:rsid w:val="00E34A63"/>
    <w:rsid w:val="00E34B20"/>
    <w:rsid w:val="00E34B8D"/>
    <w:rsid w:val="00E34C87"/>
    <w:rsid w:val="00E34F4A"/>
    <w:rsid w:val="00E3534A"/>
    <w:rsid w:val="00E3544C"/>
    <w:rsid w:val="00E354D2"/>
    <w:rsid w:val="00E35611"/>
    <w:rsid w:val="00E3574E"/>
    <w:rsid w:val="00E358A4"/>
    <w:rsid w:val="00E35A43"/>
    <w:rsid w:val="00E35AA7"/>
    <w:rsid w:val="00E35B78"/>
    <w:rsid w:val="00E35B7E"/>
    <w:rsid w:val="00E35C1C"/>
    <w:rsid w:val="00E35CD6"/>
    <w:rsid w:val="00E35D05"/>
    <w:rsid w:val="00E35D14"/>
    <w:rsid w:val="00E35D36"/>
    <w:rsid w:val="00E35E8D"/>
    <w:rsid w:val="00E36015"/>
    <w:rsid w:val="00E3616A"/>
    <w:rsid w:val="00E36545"/>
    <w:rsid w:val="00E36604"/>
    <w:rsid w:val="00E36686"/>
    <w:rsid w:val="00E36713"/>
    <w:rsid w:val="00E36728"/>
    <w:rsid w:val="00E36849"/>
    <w:rsid w:val="00E368B6"/>
    <w:rsid w:val="00E36935"/>
    <w:rsid w:val="00E36A49"/>
    <w:rsid w:val="00E36C95"/>
    <w:rsid w:val="00E36C9A"/>
    <w:rsid w:val="00E36D3C"/>
    <w:rsid w:val="00E36DDA"/>
    <w:rsid w:val="00E36E8B"/>
    <w:rsid w:val="00E3709F"/>
    <w:rsid w:val="00E370AC"/>
    <w:rsid w:val="00E371B3"/>
    <w:rsid w:val="00E37201"/>
    <w:rsid w:val="00E37287"/>
    <w:rsid w:val="00E3735A"/>
    <w:rsid w:val="00E3746D"/>
    <w:rsid w:val="00E37561"/>
    <w:rsid w:val="00E3756D"/>
    <w:rsid w:val="00E375C6"/>
    <w:rsid w:val="00E375F1"/>
    <w:rsid w:val="00E376E3"/>
    <w:rsid w:val="00E377D7"/>
    <w:rsid w:val="00E37A81"/>
    <w:rsid w:val="00E37AB7"/>
    <w:rsid w:val="00E37C0C"/>
    <w:rsid w:val="00E37C3E"/>
    <w:rsid w:val="00E37DE0"/>
    <w:rsid w:val="00E37DF5"/>
    <w:rsid w:val="00E37E61"/>
    <w:rsid w:val="00E37E73"/>
    <w:rsid w:val="00E37EF7"/>
    <w:rsid w:val="00E37F8B"/>
    <w:rsid w:val="00E400E6"/>
    <w:rsid w:val="00E4033C"/>
    <w:rsid w:val="00E40367"/>
    <w:rsid w:val="00E407FF"/>
    <w:rsid w:val="00E40808"/>
    <w:rsid w:val="00E40871"/>
    <w:rsid w:val="00E408DA"/>
    <w:rsid w:val="00E408E2"/>
    <w:rsid w:val="00E4091E"/>
    <w:rsid w:val="00E40A32"/>
    <w:rsid w:val="00E40A4A"/>
    <w:rsid w:val="00E40A81"/>
    <w:rsid w:val="00E40C91"/>
    <w:rsid w:val="00E40E7F"/>
    <w:rsid w:val="00E40E80"/>
    <w:rsid w:val="00E40EA7"/>
    <w:rsid w:val="00E40EAD"/>
    <w:rsid w:val="00E40ECF"/>
    <w:rsid w:val="00E410D1"/>
    <w:rsid w:val="00E41163"/>
    <w:rsid w:val="00E413F7"/>
    <w:rsid w:val="00E415E1"/>
    <w:rsid w:val="00E4160D"/>
    <w:rsid w:val="00E416A2"/>
    <w:rsid w:val="00E416B0"/>
    <w:rsid w:val="00E4174D"/>
    <w:rsid w:val="00E4175C"/>
    <w:rsid w:val="00E417DE"/>
    <w:rsid w:val="00E418FD"/>
    <w:rsid w:val="00E419A4"/>
    <w:rsid w:val="00E41B0C"/>
    <w:rsid w:val="00E41B1A"/>
    <w:rsid w:val="00E41BB3"/>
    <w:rsid w:val="00E41C3C"/>
    <w:rsid w:val="00E41EEB"/>
    <w:rsid w:val="00E421DD"/>
    <w:rsid w:val="00E42246"/>
    <w:rsid w:val="00E422C6"/>
    <w:rsid w:val="00E423ED"/>
    <w:rsid w:val="00E423F8"/>
    <w:rsid w:val="00E4248B"/>
    <w:rsid w:val="00E424C7"/>
    <w:rsid w:val="00E425C0"/>
    <w:rsid w:val="00E425C6"/>
    <w:rsid w:val="00E425EF"/>
    <w:rsid w:val="00E42700"/>
    <w:rsid w:val="00E42773"/>
    <w:rsid w:val="00E42802"/>
    <w:rsid w:val="00E42871"/>
    <w:rsid w:val="00E4288B"/>
    <w:rsid w:val="00E428BE"/>
    <w:rsid w:val="00E428BF"/>
    <w:rsid w:val="00E42CF3"/>
    <w:rsid w:val="00E42D28"/>
    <w:rsid w:val="00E42D2C"/>
    <w:rsid w:val="00E42E09"/>
    <w:rsid w:val="00E42E73"/>
    <w:rsid w:val="00E4307F"/>
    <w:rsid w:val="00E4317A"/>
    <w:rsid w:val="00E431DF"/>
    <w:rsid w:val="00E433C7"/>
    <w:rsid w:val="00E435E2"/>
    <w:rsid w:val="00E43670"/>
    <w:rsid w:val="00E437F4"/>
    <w:rsid w:val="00E438BE"/>
    <w:rsid w:val="00E43917"/>
    <w:rsid w:val="00E43994"/>
    <w:rsid w:val="00E4399D"/>
    <w:rsid w:val="00E439AE"/>
    <w:rsid w:val="00E43BB7"/>
    <w:rsid w:val="00E43BF0"/>
    <w:rsid w:val="00E43CD6"/>
    <w:rsid w:val="00E43D06"/>
    <w:rsid w:val="00E43D96"/>
    <w:rsid w:val="00E43F06"/>
    <w:rsid w:val="00E43F6F"/>
    <w:rsid w:val="00E44047"/>
    <w:rsid w:val="00E44189"/>
    <w:rsid w:val="00E44305"/>
    <w:rsid w:val="00E4454F"/>
    <w:rsid w:val="00E44694"/>
    <w:rsid w:val="00E446B0"/>
    <w:rsid w:val="00E44711"/>
    <w:rsid w:val="00E44749"/>
    <w:rsid w:val="00E44876"/>
    <w:rsid w:val="00E449DE"/>
    <w:rsid w:val="00E44B20"/>
    <w:rsid w:val="00E44B4F"/>
    <w:rsid w:val="00E44C30"/>
    <w:rsid w:val="00E44CEE"/>
    <w:rsid w:val="00E44D9E"/>
    <w:rsid w:val="00E44E92"/>
    <w:rsid w:val="00E44F26"/>
    <w:rsid w:val="00E44F2A"/>
    <w:rsid w:val="00E451CB"/>
    <w:rsid w:val="00E451D9"/>
    <w:rsid w:val="00E45218"/>
    <w:rsid w:val="00E45352"/>
    <w:rsid w:val="00E4538F"/>
    <w:rsid w:val="00E45405"/>
    <w:rsid w:val="00E45488"/>
    <w:rsid w:val="00E455F7"/>
    <w:rsid w:val="00E45705"/>
    <w:rsid w:val="00E4573A"/>
    <w:rsid w:val="00E45961"/>
    <w:rsid w:val="00E45971"/>
    <w:rsid w:val="00E45BEB"/>
    <w:rsid w:val="00E45C18"/>
    <w:rsid w:val="00E45D4E"/>
    <w:rsid w:val="00E45DE7"/>
    <w:rsid w:val="00E45ED6"/>
    <w:rsid w:val="00E45F46"/>
    <w:rsid w:val="00E46080"/>
    <w:rsid w:val="00E46097"/>
    <w:rsid w:val="00E46124"/>
    <w:rsid w:val="00E462ED"/>
    <w:rsid w:val="00E46335"/>
    <w:rsid w:val="00E463BA"/>
    <w:rsid w:val="00E46449"/>
    <w:rsid w:val="00E4649E"/>
    <w:rsid w:val="00E46501"/>
    <w:rsid w:val="00E465CB"/>
    <w:rsid w:val="00E4673D"/>
    <w:rsid w:val="00E46AC7"/>
    <w:rsid w:val="00E46B3B"/>
    <w:rsid w:val="00E46B53"/>
    <w:rsid w:val="00E46C77"/>
    <w:rsid w:val="00E46C7B"/>
    <w:rsid w:val="00E46D03"/>
    <w:rsid w:val="00E46E8D"/>
    <w:rsid w:val="00E46F44"/>
    <w:rsid w:val="00E46FC1"/>
    <w:rsid w:val="00E4715F"/>
    <w:rsid w:val="00E471C2"/>
    <w:rsid w:val="00E472F0"/>
    <w:rsid w:val="00E4733C"/>
    <w:rsid w:val="00E473F0"/>
    <w:rsid w:val="00E474A7"/>
    <w:rsid w:val="00E47573"/>
    <w:rsid w:val="00E475D9"/>
    <w:rsid w:val="00E47897"/>
    <w:rsid w:val="00E478A7"/>
    <w:rsid w:val="00E47909"/>
    <w:rsid w:val="00E47BFC"/>
    <w:rsid w:val="00E47CB3"/>
    <w:rsid w:val="00E47E98"/>
    <w:rsid w:val="00E47F17"/>
    <w:rsid w:val="00E5026A"/>
    <w:rsid w:val="00E50302"/>
    <w:rsid w:val="00E50459"/>
    <w:rsid w:val="00E507FA"/>
    <w:rsid w:val="00E50925"/>
    <w:rsid w:val="00E50AAF"/>
    <w:rsid w:val="00E50B99"/>
    <w:rsid w:val="00E50C25"/>
    <w:rsid w:val="00E50CE6"/>
    <w:rsid w:val="00E50D40"/>
    <w:rsid w:val="00E50DAE"/>
    <w:rsid w:val="00E50E62"/>
    <w:rsid w:val="00E50EAD"/>
    <w:rsid w:val="00E50EB4"/>
    <w:rsid w:val="00E50EC5"/>
    <w:rsid w:val="00E50F37"/>
    <w:rsid w:val="00E511FE"/>
    <w:rsid w:val="00E512CC"/>
    <w:rsid w:val="00E51392"/>
    <w:rsid w:val="00E513D5"/>
    <w:rsid w:val="00E515CD"/>
    <w:rsid w:val="00E51806"/>
    <w:rsid w:val="00E5187F"/>
    <w:rsid w:val="00E518D7"/>
    <w:rsid w:val="00E51917"/>
    <w:rsid w:val="00E5191D"/>
    <w:rsid w:val="00E5195C"/>
    <w:rsid w:val="00E519B7"/>
    <w:rsid w:val="00E51A6C"/>
    <w:rsid w:val="00E51B51"/>
    <w:rsid w:val="00E51B5C"/>
    <w:rsid w:val="00E51C07"/>
    <w:rsid w:val="00E51CF6"/>
    <w:rsid w:val="00E51E51"/>
    <w:rsid w:val="00E52026"/>
    <w:rsid w:val="00E5207B"/>
    <w:rsid w:val="00E521DB"/>
    <w:rsid w:val="00E52420"/>
    <w:rsid w:val="00E52476"/>
    <w:rsid w:val="00E52495"/>
    <w:rsid w:val="00E524CA"/>
    <w:rsid w:val="00E52539"/>
    <w:rsid w:val="00E52597"/>
    <w:rsid w:val="00E52616"/>
    <w:rsid w:val="00E5268D"/>
    <w:rsid w:val="00E5269B"/>
    <w:rsid w:val="00E526B6"/>
    <w:rsid w:val="00E526FB"/>
    <w:rsid w:val="00E5274E"/>
    <w:rsid w:val="00E52952"/>
    <w:rsid w:val="00E52A13"/>
    <w:rsid w:val="00E52A26"/>
    <w:rsid w:val="00E52B08"/>
    <w:rsid w:val="00E52BD6"/>
    <w:rsid w:val="00E52C8A"/>
    <w:rsid w:val="00E52D7A"/>
    <w:rsid w:val="00E52DB9"/>
    <w:rsid w:val="00E532D7"/>
    <w:rsid w:val="00E53339"/>
    <w:rsid w:val="00E53540"/>
    <w:rsid w:val="00E53670"/>
    <w:rsid w:val="00E53859"/>
    <w:rsid w:val="00E5389C"/>
    <w:rsid w:val="00E538EB"/>
    <w:rsid w:val="00E5398D"/>
    <w:rsid w:val="00E539A6"/>
    <w:rsid w:val="00E53AE9"/>
    <w:rsid w:val="00E53B14"/>
    <w:rsid w:val="00E53B16"/>
    <w:rsid w:val="00E53C94"/>
    <w:rsid w:val="00E53CAD"/>
    <w:rsid w:val="00E53CCC"/>
    <w:rsid w:val="00E53D27"/>
    <w:rsid w:val="00E53EB6"/>
    <w:rsid w:val="00E53F57"/>
    <w:rsid w:val="00E53F6B"/>
    <w:rsid w:val="00E54316"/>
    <w:rsid w:val="00E5442B"/>
    <w:rsid w:val="00E54781"/>
    <w:rsid w:val="00E547F1"/>
    <w:rsid w:val="00E54857"/>
    <w:rsid w:val="00E5488A"/>
    <w:rsid w:val="00E54A01"/>
    <w:rsid w:val="00E54B79"/>
    <w:rsid w:val="00E54B93"/>
    <w:rsid w:val="00E54BF7"/>
    <w:rsid w:val="00E54CB9"/>
    <w:rsid w:val="00E54DFC"/>
    <w:rsid w:val="00E54E04"/>
    <w:rsid w:val="00E54F09"/>
    <w:rsid w:val="00E54FF3"/>
    <w:rsid w:val="00E55054"/>
    <w:rsid w:val="00E55089"/>
    <w:rsid w:val="00E55092"/>
    <w:rsid w:val="00E55097"/>
    <w:rsid w:val="00E550A7"/>
    <w:rsid w:val="00E55179"/>
    <w:rsid w:val="00E5527F"/>
    <w:rsid w:val="00E552DA"/>
    <w:rsid w:val="00E55308"/>
    <w:rsid w:val="00E55393"/>
    <w:rsid w:val="00E5541B"/>
    <w:rsid w:val="00E554D9"/>
    <w:rsid w:val="00E55651"/>
    <w:rsid w:val="00E55662"/>
    <w:rsid w:val="00E55785"/>
    <w:rsid w:val="00E557C6"/>
    <w:rsid w:val="00E557DD"/>
    <w:rsid w:val="00E55814"/>
    <w:rsid w:val="00E55854"/>
    <w:rsid w:val="00E55963"/>
    <w:rsid w:val="00E55C47"/>
    <w:rsid w:val="00E55D3B"/>
    <w:rsid w:val="00E55D5F"/>
    <w:rsid w:val="00E55EF3"/>
    <w:rsid w:val="00E55F22"/>
    <w:rsid w:val="00E560F0"/>
    <w:rsid w:val="00E5629D"/>
    <w:rsid w:val="00E562DC"/>
    <w:rsid w:val="00E564D2"/>
    <w:rsid w:val="00E56770"/>
    <w:rsid w:val="00E569F0"/>
    <w:rsid w:val="00E56B4B"/>
    <w:rsid w:val="00E56B70"/>
    <w:rsid w:val="00E56BC4"/>
    <w:rsid w:val="00E56C7A"/>
    <w:rsid w:val="00E56D39"/>
    <w:rsid w:val="00E56DAB"/>
    <w:rsid w:val="00E56DFB"/>
    <w:rsid w:val="00E56FCB"/>
    <w:rsid w:val="00E57004"/>
    <w:rsid w:val="00E57011"/>
    <w:rsid w:val="00E57028"/>
    <w:rsid w:val="00E570DD"/>
    <w:rsid w:val="00E57141"/>
    <w:rsid w:val="00E571B9"/>
    <w:rsid w:val="00E571E1"/>
    <w:rsid w:val="00E572A4"/>
    <w:rsid w:val="00E572AC"/>
    <w:rsid w:val="00E572BB"/>
    <w:rsid w:val="00E572D9"/>
    <w:rsid w:val="00E572DD"/>
    <w:rsid w:val="00E5737E"/>
    <w:rsid w:val="00E57405"/>
    <w:rsid w:val="00E5746A"/>
    <w:rsid w:val="00E575D4"/>
    <w:rsid w:val="00E576F1"/>
    <w:rsid w:val="00E5777F"/>
    <w:rsid w:val="00E57811"/>
    <w:rsid w:val="00E578DA"/>
    <w:rsid w:val="00E57B9B"/>
    <w:rsid w:val="00E57E86"/>
    <w:rsid w:val="00E600AD"/>
    <w:rsid w:val="00E600E1"/>
    <w:rsid w:val="00E600E6"/>
    <w:rsid w:val="00E60167"/>
    <w:rsid w:val="00E603D1"/>
    <w:rsid w:val="00E60450"/>
    <w:rsid w:val="00E605D2"/>
    <w:rsid w:val="00E60606"/>
    <w:rsid w:val="00E6066E"/>
    <w:rsid w:val="00E60688"/>
    <w:rsid w:val="00E60829"/>
    <w:rsid w:val="00E608A6"/>
    <w:rsid w:val="00E609F7"/>
    <w:rsid w:val="00E60ADC"/>
    <w:rsid w:val="00E60C57"/>
    <w:rsid w:val="00E60C99"/>
    <w:rsid w:val="00E60C9F"/>
    <w:rsid w:val="00E6107C"/>
    <w:rsid w:val="00E610F6"/>
    <w:rsid w:val="00E61144"/>
    <w:rsid w:val="00E6117A"/>
    <w:rsid w:val="00E611A1"/>
    <w:rsid w:val="00E61266"/>
    <w:rsid w:val="00E61390"/>
    <w:rsid w:val="00E61453"/>
    <w:rsid w:val="00E6145D"/>
    <w:rsid w:val="00E614A9"/>
    <w:rsid w:val="00E61744"/>
    <w:rsid w:val="00E6174C"/>
    <w:rsid w:val="00E61821"/>
    <w:rsid w:val="00E618C8"/>
    <w:rsid w:val="00E61A41"/>
    <w:rsid w:val="00E61A96"/>
    <w:rsid w:val="00E61BAA"/>
    <w:rsid w:val="00E61C4B"/>
    <w:rsid w:val="00E61DE9"/>
    <w:rsid w:val="00E621BE"/>
    <w:rsid w:val="00E6228C"/>
    <w:rsid w:val="00E623B2"/>
    <w:rsid w:val="00E623D7"/>
    <w:rsid w:val="00E6244C"/>
    <w:rsid w:val="00E625D0"/>
    <w:rsid w:val="00E626E8"/>
    <w:rsid w:val="00E626F8"/>
    <w:rsid w:val="00E62729"/>
    <w:rsid w:val="00E62A31"/>
    <w:rsid w:val="00E62B3D"/>
    <w:rsid w:val="00E62B94"/>
    <w:rsid w:val="00E62CCD"/>
    <w:rsid w:val="00E62DCF"/>
    <w:rsid w:val="00E62E19"/>
    <w:rsid w:val="00E62F20"/>
    <w:rsid w:val="00E62F82"/>
    <w:rsid w:val="00E62F95"/>
    <w:rsid w:val="00E631D4"/>
    <w:rsid w:val="00E63252"/>
    <w:rsid w:val="00E632A8"/>
    <w:rsid w:val="00E6336F"/>
    <w:rsid w:val="00E63379"/>
    <w:rsid w:val="00E6342A"/>
    <w:rsid w:val="00E63481"/>
    <w:rsid w:val="00E6350C"/>
    <w:rsid w:val="00E63562"/>
    <w:rsid w:val="00E63675"/>
    <w:rsid w:val="00E63759"/>
    <w:rsid w:val="00E63A1E"/>
    <w:rsid w:val="00E63BAC"/>
    <w:rsid w:val="00E63D47"/>
    <w:rsid w:val="00E63D7B"/>
    <w:rsid w:val="00E63ED7"/>
    <w:rsid w:val="00E63F96"/>
    <w:rsid w:val="00E63FAA"/>
    <w:rsid w:val="00E6413F"/>
    <w:rsid w:val="00E6414A"/>
    <w:rsid w:val="00E641C5"/>
    <w:rsid w:val="00E641CA"/>
    <w:rsid w:val="00E64258"/>
    <w:rsid w:val="00E643D3"/>
    <w:rsid w:val="00E644E8"/>
    <w:rsid w:val="00E645B1"/>
    <w:rsid w:val="00E645C8"/>
    <w:rsid w:val="00E64628"/>
    <w:rsid w:val="00E646DB"/>
    <w:rsid w:val="00E646F0"/>
    <w:rsid w:val="00E64757"/>
    <w:rsid w:val="00E647CE"/>
    <w:rsid w:val="00E648BA"/>
    <w:rsid w:val="00E64900"/>
    <w:rsid w:val="00E6494B"/>
    <w:rsid w:val="00E64AA1"/>
    <w:rsid w:val="00E64B6E"/>
    <w:rsid w:val="00E64D3F"/>
    <w:rsid w:val="00E64EB3"/>
    <w:rsid w:val="00E64EE0"/>
    <w:rsid w:val="00E650D8"/>
    <w:rsid w:val="00E65136"/>
    <w:rsid w:val="00E6537A"/>
    <w:rsid w:val="00E654CD"/>
    <w:rsid w:val="00E65552"/>
    <w:rsid w:val="00E655A3"/>
    <w:rsid w:val="00E6568A"/>
    <w:rsid w:val="00E6579D"/>
    <w:rsid w:val="00E65817"/>
    <w:rsid w:val="00E658BE"/>
    <w:rsid w:val="00E658EA"/>
    <w:rsid w:val="00E65AAF"/>
    <w:rsid w:val="00E65BA6"/>
    <w:rsid w:val="00E65BE0"/>
    <w:rsid w:val="00E65E5F"/>
    <w:rsid w:val="00E65F69"/>
    <w:rsid w:val="00E65FC3"/>
    <w:rsid w:val="00E66074"/>
    <w:rsid w:val="00E66080"/>
    <w:rsid w:val="00E66110"/>
    <w:rsid w:val="00E66235"/>
    <w:rsid w:val="00E66279"/>
    <w:rsid w:val="00E663FC"/>
    <w:rsid w:val="00E664D9"/>
    <w:rsid w:val="00E665C9"/>
    <w:rsid w:val="00E6661E"/>
    <w:rsid w:val="00E666C4"/>
    <w:rsid w:val="00E6675D"/>
    <w:rsid w:val="00E66827"/>
    <w:rsid w:val="00E668B7"/>
    <w:rsid w:val="00E66985"/>
    <w:rsid w:val="00E66A06"/>
    <w:rsid w:val="00E66A16"/>
    <w:rsid w:val="00E66AD8"/>
    <w:rsid w:val="00E66B9E"/>
    <w:rsid w:val="00E66BC0"/>
    <w:rsid w:val="00E66C8B"/>
    <w:rsid w:val="00E66D10"/>
    <w:rsid w:val="00E66ECC"/>
    <w:rsid w:val="00E66EFF"/>
    <w:rsid w:val="00E672C3"/>
    <w:rsid w:val="00E67361"/>
    <w:rsid w:val="00E67398"/>
    <w:rsid w:val="00E67438"/>
    <w:rsid w:val="00E674D9"/>
    <w:rsid w:val="00E67556"/>
    <w:rsid w:val="00E6760F"/>
    <w:rsid w:val="00E6768E"/>
    <w:rsid w:val="00E6779C"/>
    <w:rsid w:val="00E677A9"/>
    <w:rsid w:val="00E6783D"/>
    <w:rsid w:val="00E67943"/>
    <w:rsid w:val="00E67B1D"/>
    <w:rsid w:val="00E67B87"/>
    <w:rsid w:val="00E67C8F"/>
    <w:rsid w:val="00E67CC0"/>
    <w:rsid w:val="00E67DD8"/>
    <w:rsid w:val="00E67E2A"/>
    <w:rsid w:val="00E67E49"/>
    <w:rsid w:val="00E67F3A"/>
    <w:rsid w:val="00E70002"/>
    <w:rsid w:val="00E70057"/>
    <w:rsid w:val="00E7006D"/>
    <w:rsid w:val="00E70094"/>
    <w:rsid w:val="00E701FB"/>
    <w:rsid w:val="00E7026C"/>
    <w:rsid w:val="00E7042D"/>
    <w:rsid w:val="00E704CE"/>
    <w:rsid w:val="00E704DF"/>
    <w:rsid w:val="00E70513"/>
    <w:rsid w:val="00E70646"/>
    <w:rsid w:val="00E70680"/>
    <w:rsid w:val="00E706A4"/>
    <w:rsid w:val="00E70765"/>
    <w:rsid w:val="00E70796"/>
    <w:rsid w:val="00E707DE"/>
    <w:rsid w:val="00E70907"/>
    <w:rsid w:val="00E7093F"/>
    <w:rsid w:val="00E70A1A"/>
    <w:rsid w:val="00E70A72"/>
    <w:rsid w:val="00E70AF7"/>
    <w:rsid w:val="00E70B51"/>
    <w:rsid w:val="00E70C7C"/>
    <w:rsid w:val="00E70D3C"/>
    <w:rsid w:val="00E70D41"/>
    <w:rsid w:val="00E70DC5"/>
    <w:rsid w:val="00E70E12"/>
    <w:rsid w:val="00E70F91"/>
    <w:rsid w:val="00E7107A"/>
    <w:rsid w:val="00E710DF"/>
    <w:rsid w:val="00E71106"/>
    <w:rsid w:val="00E7113F"/>
    <w:rsid w:val="00E7115C"/>
    <w:rsid w:val="00E711E8"/>
    <w:rsid w:val="00E711F0"/>
    <w:rsid w:val="00E7120D"/>
    <w:rsid w:val="00E7138F"/>
    <w:rsid w:val="00E713F4"/>
    <w:rsid w:val="00E71445"/>
    <w:rsid w:val="00E71463"/>
    <w:rsid w:val="00E71603"/>
    <w:rsid w:val="00E71998"/>
    <w:rsid w:val="00E71A30"/>
    <w:rsid w:val="00E71AFB"/>
    <w:rsid w:val="00E71B41"/>
    <w:rsid w:val="00E71C53"/>
    <w:rsid w:val="00E71C72"/>
    <w:rsid w:val="00E71C7F"/>
    <w:rsid w:val="00E71C84"/>
    <w:rsid w:val="00E71CEA"/>
    <w:rsid w:val="00E71D26"/>
    <w:rsid w:val="00E71E1B"/>
    <w:rsid w:val="00E71EC4"/>
    <w:rsid w:val="00E71F31"/>
    <w:rsid w:val="00E71F6E"/>
    <w:rsid w:val="00E72103"/>
    <w:rsid w:val="00E721D5"/>
    <w:rsid w:val="00E72208"/>
    <w:rsid w:val="00E72229"/>
    <w:rsid w:val="00E72230"/>
    <w:rsid w:val="00E72319"/>
    <w:rsid w:val="00E7237C"/>
    <w:rsid w:val="00E723DA"/>
    <w:rsid w:val="00E7242C"/>
    <w:rsid w:val="00E725F9"/>
    <w:rsid w:val="00E72841"/>
    <w:rsid w:val="00E72B30"/>
    <w:rsid w:val="00E72BB8"/>
    <w:rsid w:val="00E72CD8"/>
    <w:rsid w:val="00E72CE3"/>
    <w:rsid w:val="00E72D64"/>
    <w:rsid w:val="00E72DB5"/>
    <w:rsid w:val="00E72E64"/>
    <w:rsid w:val="00E72EA0"/>
    <w:rsid w:val="00E72F03"/>
    <w:rsid w:val="00E72FDB"/>
    <w:rsid w:val="00E7303E"/>
    <w:rsid w:val="00E730BA"/>
    <w:rsid w:val="00E730C4"/>
    <w:rsid w:val="00E731D1"/>
    <w:rsid w:val="00E73268"/>
    <w:rsid w:val="00E73381"/>
    <w:rsid w:val="00E735B3"/>
    <w:rsid w:val="00E7360D"/>
    <w:rsid w:val="00E73635"/>
    <w:rsid w:val="00E73674"/>
    <w:rsid w:val="00E7377C"/>
    <w:rsid w:val="00E7377F"/>
    <w:rsid w:val="00E737B2"/>
    <w:rsid w:val="00E73D2F"/>
    <w:rsid w:val="00E73E99"/>
    <w:rsid w:val="00E73F3D"/>
    <w:rsid w:val="00E74085"/>
    <w:rsid w:val="00E740DE"/>
    <w:rsid w:val="00E74170"/>
    <w:rsid w:val="00E74389"/>
    <w:rsid w:val="00E7490D"/>
    <w:rsid w:val="00E749CF"/>
    <w:rsid w:val="00E74A28"/>
    <w:rsid w:val="00E74CEE"/>
    <w:rsid w:val="00E74D7B"/>
    <w:rsid w:val="00E74D82"/>
    <w:rsid w:val="00E74DE0"/>
    <w:rsid w:val="00E74DF5"/>
    <w:rsid w:val="00E74EF3"/>
    <w:rsid w:val="00E75106"/>
    <w:rsid w:val="00E75147"/>
    <w:rsid w:val="00E75268"/>
    <w:rsid w:val="00E752CA"/>
    <w:rsid w:val="00E75371"/>
    <w:rsid w:val="00E75377"/>
    <w:rsid w:val="00E753AD"/>
    <w:rsid w:val="00E753DE"/>
    <w:rsid w:val="00E7542B"/>
    <w:rsid w:val="00E75521"/>
    <w:rsid w:val="00E7559D"/>
    <w:rsid w:val="00E755C0"/>
    <w:rsid w:val="00E7565B"/>
    <w:rsid w:val="00E75673"/>
    <w:rsid w:val="00E75721"/>
    <w:rsid w:val="00E75857"/>
    <w:rsid w:val="00E75AD4"/>
    <w:rsid w:val="00E75B09"/>
    <w:rsid w:val="00E75B8F"/>
    <w:rsid w:val="00E75E16"/>
    <w:rsid w:val="00E75EC5"/>
    <w:rsid w:val="00E75ED0"/>
    <w:rsid w:val="00E75F01"/>
    <w:rsid w:val="00E75F42"/>
    <w:rsid w:val="00E7611B"/>
    <w:rsid w:val="00E761CB"/>
    <w:rsid w:val="00E761D0"/>
    <w:rsid w:val="00E7623D"/>
    <w:rsid w:val="00E7625E"/>
    <w:rsid w:val="00E76372"/>
    <w:rsid w:val="00E763F8"/>
    <w:rsid w:val="00E765D6"/>
    <w:rsid w:val="00E76765"/>
    <w:rsid w:val="00E767AD"/>
    <w:rsid w:val="00E767DF"/>
    <w:rsid w:val="00E76953"/>
    <w:rsid w:val="00E76AAC"/>
    <w:rsid w:val="00E76B9E"/>
    <w:rsid w:val="00E76BF6"/>
    <w:rsid w:val="00E76C84"/>
    <w:rsid w:val="00E76D4A"/>
    <w:rsid w:val="00E77046"/>
    <w:rsid w:val="00E7705E"/>
    <w:rsid w:val="00E771A1"/>
    <w:rsid w:val="00E772E5"/>
    <w:rsid w:val="00E77409"/>
    <w:rsid w:val="00E77455"/>
    <w:rsid w:val="00E7748A"/>
    <w:rsid w:val="00E774C8"/>
    <w:rsid w:val="00E774F7"/>
    <w:rsid w:val="00E775D0"/>
    <w:rsid w:val="00E77644"/>
    <w:rsid w:val="00E777AC"/>
    <w:rsid w:val="00E777DB"/>
    <w:rsid w:val="00E779B5"/>
    <w:rsid w:val="00E77F52"/>
    <w:rsid w:val="00E77F8B"/>
    <w:rsid w:val="00E80435"/>
    <w:rsid w:val="00E80644"/>
    <w:rsid w:val="00E80853"/>
    <w:rsid w:val="00E809E3"/>
    <w:rsid w:val="00E80A31"/>
    <w:rsid w:val="00E80AA8"/>
    <w:rsid w:val="00E80D16"/>
    <w:rsid w:val="00E80D4D"/>
    <w:rsid w:val="00E80DE6"/>
    <w:rsid w:val="00E80FFD"/>
    <w:rsid w:val="00E8110E"/>
    <w:rsid w:val="00E8114B"/>
    <w:rsid w:val="00E8150D"/>
    <w:rsid w:val="00E81582"/>
    <w:rsid w:val="00E815E9"/>
    <w:rsid w:val="00E81828"/>
    <w:rsid w:val="00E81927"/>
    <w:rsid w:val="00E81A6F"/>
    <w:rsid w:val="00E81AFC"/>
    <w:rsid w:val="00E81B1D"/>
    <w:rsid w:val="00E81B84"/>
    <w:rsid w:val="00E81BE0"/>
    <w:rsid w:val="00E81D34"/>
    <w:rsid w:val="00E81D49"/>
    <w:rsid w:val="00E81DBC"/>
    <w:rsid w:val="00E81DFA"/>
    <w:rsid w:val="00E81F29"/>
    <w:rsid w:val="00E81FB0"/>
    <w:rsid w:val="00E82099"/>
    <w:rsid w:val="00E82217"/>
    <w:rsid w:val="00E82253"/>
    <w:rsid w:val="00E822A4"/>
    <w:rsid w:val="00E823BA"/>
    <w:rsid w:val="00E82500"/>
    <w:rsid w:val="00E82751"/>
    <w:rsid w:val="00E8281A"/>
    <w:rsid w:val="00E82980"/>
    <w:rsid w:val="00E829FF"/>
    <w:rsid w:val="00E82E05"/>
    <w:rsid w:val="00E82F16"/>
    <w:rsid w:val="00E82F25"/>
    <w:rsid w:val="00E82F4D"/>
    <w:rsid w:val="00E83198"/>
    <w:rsid w:val="00E83399"/>
    <w:rsid w:val="00E8351C"/>
    <w:rsid w:val="00E83537"/>
    <w:rsid w:val="00E83587"/>
    <w:rsid w:val="00E83A1B"/>
    <w:rsid w:val="00E83A35"/>
    <w:rsid w:val="00E83EA3"/>
    <w:rsid w:val="00E83EA8"/>
    <w:rsid w:val="00E84093"/>
    <w:rsid w:val="00E84095"/>
    <w:rsid w:val="00E840D2"/>
    <w:rsid w:val="00E84179"/>
    <w:rsid w:val="00E8426F"/>
    <w:rsid w:val="00E84295"/>
    <w:rsid w:val="00E84396"/>
    <w:rsid w:val="00E844D2"/>
    <w:rsid w:val="00E846B6"/>
    <w:rsid w:val="00E847CF"/>
    <w:rsid w:val="00E848C2"/>
    <w:rsid w:val="00E84948"/>
    <w:rsid w:val="00E849CD"/>
    <w:rsid w:val="00E84B9D"/>
    <w:rsid w:val="00E84C07"/>
    <w:rsid w:val="00E84C1E"/>
    <w:rsid w:val="00E84CFF"/>
    <w:rsid w:val="00E84E71"/>
    <w:rsid w:val="00E84E94"/>
    <w:rsid w:val="00E84E9E"/>
    <w:rsid w:val="00E84EC9"/>
    <w:rsid w:val="00E84FEA"/>
    <w:rsid w:val="00E85043"/>
    <w:rsid w:val="00E8507D"/>
    <w:rsid w:val="00E852A7"/>
    <w:rsid w:val="00E85416"/>
    <w:rsid w:val="00E85493"/>
    <w:rsid w:val="00E85587"/>
    <w:rsid w:val="00E855D6"/>
    <w:rsid w:val="00E855D9"/>
    <w:rsid w:val="00E856E1"/>
    <w:rsid w:val="00E856EF"/>
    <w:rsid w:val="00E858CA"/>
    <w:rsid w:val="00E85917"/>
    <w:rsid w:val="00E85AAD"/>
    <w:rsid w:val="00E85C01"/>
    <w:rsid w:val="00E85CEF"/>
    <w:rsid w:val="00E85D0C"/>
    <w:rsid w:val="00E85D37"/>
    <w:rsid w:val="00E85E1B"/>
    <w:rsid w:val="00E85FF5"/>
    <w:rsid w:val="00E86187"/>
    <w:rsid w:val="00E8628B"/>
    <w:rsid w:val="00E862EC"/>
    <w:rsid w:val="00E862F3"/>
    <w:rsid w:val="00E863CB"/>
    <w:rsid w:val="00E865DC"/>
    <w:rsid w:val="00E86674"/>
    <w:rsid w:val="00E8675D"/>
    <w:rsid w:val="00E868F9"/>
    <w:rsid w:val="00E868FB"/>
    <w:rsid w:val="00E86A2B"/>
    <w:rsid w:val="00E86C0D"/>
    <w:rsid w:val="00E86C3B"/>
    <w:rsid w:val="00E86C50"/>
    <w:rsid w:val="00E86D7D"/>
    <w:rsid w:val="00E86E14"/>
    <w:rsid w:val="00E86F06"/>
    <w:rsid w:val="00E8707F"/>
    <w:rsid w:val="00E870AC"/>
    <w:rsid w:val="00E8710D"/>
    <w:rsid w:val="00E87118"/>
    <w:rsid w:val="00E87299"/>
    <w:rsid w:val="00E872AD"/>
    <w:rsid w:val="00E87378"/>
    <w:rsid w:val="00E8739E"/>
    <w:rsid w:val="00E8746D"/>
    <w:rsid w:val="00E874B6"/>
    <w:rsid w:val="00E8752B"/>
    <w:rsid w:val="00E875EB"/>
    <w:rsid w:val="00E877AE"/>
    <w:rsid w:val="00E8782D"/>
    <w:rsid w:val="00E878B9"/>
    <w:rsid w:val="00E87927"/>
    <w:rsid w:val="00E87942"/>
    <w:rsid w:val="00E8797C"/>
    <w:rsid w:val="00E87A15"/>
    <w:rsid w:val="00E87A2A"/>
    <w:rsid w:val="00E87A89"/>
    <w:rsid w:val="00E87AD4"/>
    <w:rsid w:val="00E87C07"/>
    <w:rsid w:val="00E87E3C"/>
    <w:rsid w:val="00E900A8"/>
    <w:rsid w:val="00E9020D"/>
    <w:rsid w:val="00E90396"/>
    <w:rsid w:val="00E90444"/>
    <w:rsid w:val="00E904AA"/>
    <w:rsid w:val="00E90550"/>
    <w:rsid w:val="00E905C7"/>
    <w:rsid w:val="00E9073C"/>
    <w:rsid w:val="00E907A4"/>
    <w:rsid w:val="00E90907"/>
    <w:rsid w:val="00E90966"/>
    <w:rsid w:val="00E90988"/>
    <w:rsid w:val="00E90AF6"/>
    <w:rsid w:val="00E90B39"/>
    <w:rsid w:val="00E90CE0"/>
    <w:rsid w:val="00E90E93"/>
    <w:rsid w:val="00E90FF1"/>
    <w:rsid w:val="00E9113A"/>
    <w:rsid w:val="00E9118F"/>
    <w:rsid w:val="00E91247"/>
    <w:rsid w:val="00E91574"/>
    <w:rsid w:val="00E91586"/>
    <w:rsid w:val="00E919F8"/>
    <w:rsid w:val="00E91A95"/>
    <w:rsid w:val="00E91BAD"/>
    <w:rsid w:val="00E91C63"/>
    <w:rsid w:val="00E91CF0"/>
    <w:rsid w:val="00E91D6E"/>
    <w:rsid w:val="00E91F1D"/>
    <w:rsid w:val="00E91F86"/>
    <w:rsid w:val="00E92018"/>
    <w:rsid w:val="00E92019"/>
    <w:rsid w:val="00E9216F"/>
    <w:rsid w:val="00E9228B"/>
    <w:rsid w:val="00E9236D"/>
    <w:rsid w:val="00E92443"/>
    <w:rsid w:val="00E924A3"/>
    <w:rsid w:val="00E92611"/>
    <w:rsid w:val="00E92642"/>
    <w:rsid w:val="00E926A2"/>
    <w:rsid w:val="00E9273E"/>
    <w:rsid w:val="00E92813"/>
    <w:rsid w:val="00E92A3F"/>
    <w:rsid w:val="00E92AD2"/>
    <w:rsid w:val="00E92B31"/>
    <w:rsid w:val="00E92BA8"/>
    <w:rsid w:val="00E92BF2"/>
    <w:rsid w:val="00E92F64"/>
    <w:rsid w:val="00E92F96"/>
    <w:rsid w:val="00E92F9D"/>
    <w:rsid w:val="00E93078"/>
    <w:rsid w:val="00E93097"/>
    <w:rsid w:val="00E93135"/>
    <w:rsid w:val="00E9324F"/>
    <w:rsid w:val="00E932CE"/>
    <w:rsid w:val="00E933DD"/>
    <w:rsid w:val="00E93402"/>
    <w:rsid w:val="00E9355A"/>
    <w:rsid w:val="00E935A6"/>
    <w:rsid w:val="00E936E8"/>
    <w:rsid w:val="00E93755"/>
    <w:rsid w:val="00E9379E"/>
    <w:rsid w:val="00E939F3"/>
    <w:rsid w:val="00E93A04"/>
    <w:rsid w:val="00E93B60"/>
    <w:rsid w:val="00E93D61"/>
    <w:rsid w:val="00E93DE2"/>
    <w:rsid w:val="00E93DFB"/>
    <w:rsid w:val="00E93E1B"/>
    <w:rsid w:val="00E93EF3"/>
    <w:rsid w:val="00E93F22"/>
    <w:rsid w:val="00E93FCA"/>
    <w:rsid w:val="00E93FE7"/>
    <w:rsid w:val="00E940B7"/>
    <w:rsid w:val="00E9413C"/>
    <w:rsid w:val="00E9417F"/>
    <w:rsid w:val="00E9428D"/>
    <w:rsid w:val="00E942C4"/>
    <w:rsid w:val="00E943B2"/>
    <w:rsid w:val="00E9443D"/>
    <w:rsid w:val="00E9469F"/>
    <w:rsid w:val="00E946ED"/>
    <w:rsid w:val="00E946F6"/>
    <w:rsid w:val="00E94748"/>
    <w:rsid w:val="00E94753"/>
    <w:rsid w:val="00E94764"/>
    <w:rsid w:val="00E94914"/>
    <w:rsid w:val="00E94980"/>
    <w:rsid w:val="00E949FE"/>
    <w:rsid w:val="00E94BB2"/>
    <w:rsid w:val="00E94BFC"/>
    <w:rsid w:val="00E94C5E"/>
    <w:rsid w:val="00E94C8C"/>
    <w:rsid w:val="00E94EBD"/>
    <w:rsid w:val="00E94F87"/>
    <w:rsid w:val="00E95027"/>
    <w:rsid w:val="00E9506C"/>
    <w:rsid w:val="00E950A4"/>
    <w:rsid w:val="00E9544C"/>
    <w:rsid w:val="00E95454"/>
    <w:rsid w:val="00E95547"/>
    <w:rsid w:val="00E955B5"/>
    <w:rsid w:val="00E957BC"/>
    <w:rsid w:val="00E95853"/>
    <w:rsid w:val="00E95864"/>
    <w:rsid w:val="00E95971"/>
    <w:rsid w:val="00E9599D"/>
    <w:rsid w:val="00E959E2"/>
    <w:rsid w:val="00E95AC9"/>
    <w:rsid w:val="00E95C15"/>
    <w:rsid w:val="00E95C80"/>
    <w:rsid w:val="00E95D28"/>
    <w:rsid w:val="00E95DFD"/>
    <w:rsid w:val="00E95F34"/>
    <w:rsid w:val="00E96089"/>
    <w:rsid w:val="00E961A2"/>
    <w:rsid w:val="00E96213"/>
    <w:rsid w:val="00E96415"/>
    <w:rsid w:val="00E9653E"/>
    <w:rsid w:val="00E96559"/>
    <w:rsid w:val="00E9657A"/>
    <w:rsid w:val="00E965E3"/>
    <w:rsid w:val="00E96600"/>
    <w:rsid w:val="00E967D2"/>
    <w:rsid w:val="00E96841"/>
    <w:rsid w:val="00E968B8"/>
    <w:rsid w:val="00E96AAC"/>
    <w:rsid w:val="00E96DB9"/>
    <w:rsid w:val="00E96DFB"/>
    <w:rsid w:val="00E96E10"/>
    <w:rsid w:val="00E96E22"/>
    <w:rsid w:val="00E96E6A"/>
    <w:rsid w:val="00E96F2C"/>
    <w:rsid w:val="00E96F83"/>
    <w:rsid w:val="00E970F9"/>
    <w:rsid w:val="00E97273"/>
    <w:rsid w:val="00E972E4"/>
    <w:rsid w:val="00E974C4"/>
    <w:rsid w:val="00E975EA"/>
    <w:rsid w:val="00E97631"/>
    <w:rsid w:val="00E9764E"/>
    <w:rsid w:val="00E97684"/>
    <w:rsid w:val="00E97746"/>
    <w:rsid w:val="00E9784D"/>
    <w:rsid w:val="00E9799E"/>
    <w:rsid w:val="00E979F5"/>
    <w:rsid w:val="00E97A4A"/>
    <w:rsid w:val="00E97A70"/>
    <w:rsid w:val="00E97C40"/>
    <w:rsid w:val="00E97C79"/>
    <w:rsid w:val="00E97D0E"/>
    <w:rsid w:val="00E97D6C"/>
    <w:rsid w:val="00E97DDC"/>
    <w:rsid w:val="00EA016E"/>
    <w:rsid w:val="00EA01A8"/>
    <w:rsid w:val="00EA0206"/>
    <w:rsid w:val="00EA02F2"/>
    <w:rsid w:val="00EA0322"/>
    <w:rsid w:val="00EA0324"/>
    <w:rsid w:val="00EA0411"/>
    <w:rsid w:val="00EA043B"/>
    <w:rsid w:val="00EA0632"/>
    <w:rsid w:val="00EA067C"/>
    <w:rsid w:val="00EA06B4"/>
    <w:rsid w:val="00EA06DC"/>
    <w:rsid w:val="00EA06F3"/>
    <w:rsid w:val="00EA0731"/>
    <w:rsid w:val="00EA0882"/>
    <w:rsid w:val="00EA08C4"/>
    <w:rsid w:val="00EA090D"/>
    <w:rsid w:val="00EA0990"/>
    <w:rsid w:val="00EA0B88"/>
    <w:rsid w:val="00EA0BC2"/>
    <w:rsid w:val="00EA0BD5"/>
    <w:rsid w:val="00EA0CC2"/>
    <w:rsid w:val="00EA0EAC"/>
    <w:rsid w:val="00EA1096"/>
    <w:rsid w:val="00EA1157"/>
    <w:rsid w:val="00EA1255"/>
    <w:rsid w:val="00EA12C8"/>
    <w:rsid w:val="00EA12D7"/>
    <w:rsid w:val="00EA1401"/>
    <w:rsid w:val="00EA1425"/>
    <w:rsid w:val="00EA146D"/>
    <w:rsid w:val="00EA148D"/>
    <w:rsid w:val="00EA1538"/>
    <w:rsid w:val="00EA1697"/>
    <w:rsid w:val="00EA171F"/>
    <w:rsid w:val="00EA172E"/>
    <w:rsid w:val="00EA1852"/>
    <w:rsid w:val="00EA18D9"/>
    <w:rsid w:val="00EA1935"/>
    <w:rsid w:val="00EA1955"/>
    <w:rsid w:val="00EA19A2"/>
    <w:rsid w:val="00EA19F5"/>
    <w:rsid w:val="00EA1AEA"/>
    <w:rsid w:val="00EA1B8F"/>
    <w:rsid w:val="00EA1C21"/>
    <w:rsid w:val="00EA1C3E"/>
    <w:rsid w:val="00EA1C82"/>
    <w:rsid w:val="00EA1D26"/>
    <w:rsid w:val="00EA1DCB"/>
    <w:rsid w:val="00EA1DF7"/>
    <w:rsid w:val="00EA1DFD"/>
    <w:rsid w:val="00EA1E0B"/>
    <w:rsid w:val="00EA207B"/>
    <w:rsid w:val="00EA20AB"/>
    <w:rsid w:val="00EA20CB"/>
    <w:rsid w:val="00EA20FE"/>
    <w:rsid w:val="00EA22DE"/>
    <w:rsid w:val="00EA232B"/>
    <w:rsid w:val="00EA23EE"/>
    <w:rsid w:val="00EA2573"/>
    <w:rsid w:val="00EA25FC"/>
    <w:rsid w:val="00EA264C"/>
    <w:rsid w:val="00EA2687"/>
    <w:rsid w:val="00EA26BB"/>
    <w:rsid w:val="00EA2A22"/>
    <w:rsid w:val="00EA2A72"/>
    <w:rsid w:val="00EA2B7E"/>
    <w:rsid w:val="00EA2E5C"/>
    <w:rsid w:val="00EA3006"/>
    <w:rsid w:val="00EA30AB"/>
    <w:rsid w:val="00EA3139"/>
    <w:rsid w:val="00EA31C0"/>
    <w:rsid w:val="00EA34CB"/>
    <w:rsid w:val="00EA35E8"/>
    <w:rsid w:val="00EA371C"/>
    <w:rsid w:val="00EA3777"/>
    <w:rsid w:val="00EA3788"/>
    <w:rsid w:val="00EA382D"/>
    <w:rsid w:val="00EA3908"/>
    <w:rsid w:val="00EA3942"/>
    <w:rsid w:val="00EA3944"/>
    <w:rsid w:val="00EA3A4C"/>
    <w:rsid w:val="00EA3A6B"/>
    <w:rsid w:val="00EA3B05"/>
    <w:rsid w:val="00EA3B5B"/>
    <w:rsid w:val="00EA3BD4"/>
    <w:rsid w:val="00EA3E84"/>
    <w:rsid w:val="00EA3EC0"/>
    <w:rsid w:val="00EA3FF0"/>
    <w:rsid w:val="00EA4045"/>
    <w:rsid w:val="00EA40F4"/>
    <w:rsid w:val="00EA421A"/>
    <w:rsid w:val="00EA426E"/>
    <w:rsid w:val="00EA42AB"/>
    <w:rsid w:val="00EA42D9"/>
    <w:rsid w:val="00EA4308"/>
    <w:rsid w:val="00EA433D"/>
    <w:rsid w:val="00EA4517"/>
    <w:rsid w:val="00EA4599"/>
    <w:rsid w:val="00EA461B"/>
    <w:rsid w:val="00EA466B"/>
    <w:rsid w:val="00EA475F"/>
    <w:rsid w:val="00EA478F"/>
    <w:rsid w:val="00EA480F"/>
    <w:rsid w:val="00EA4923"/>
    <w:rsid w:val="00EA4A42"/>
    <w:rsid w:val="00EA4BDE"/>
    <w:rsid w:val="00EA4C02"/>
    <w:rsid w:val="00EA4D61"/>
    <w:rsid w:val="00EA4F59"/>
    <w:rsid w:val="00EA4F73"/>
    <w:rsid w:val="00EA4FF8"/>
    <w:rsid w:val="00EA508F"/>
    <w:rsid w:val="00EA5410"/>
    <w:rsid w:val="00EA5579"/>
    <w:rsid w:val="00EA5625"/>
    <w:rsid w:val="00EA56FE"/>
    <w:rsid w:val="00EA57B7"/>
    <w:rsid w:val="00EA5801"/>
    <w:rsid w:val="00EA58C2"/>
    <w:rsid w:val="00EA5900"/>
    <w:rsid w:val="00EA5A91"/>
    <w:rsid w:val="00EA5CB3"/>
    <w:rsid w:val="00EA5E20"/>
    <w:rsid w:val="00EA5E9D"/>
    <w:rsid w:val="00EA5F07"/>
    <w:rsid w:val="00EA60F7"/>
    <w:rsid w:val="00EA6365"/>
    <w:rsid w:val="00EA6810"/>
    <w:rsid w:val="00EA6817"/>
    <w:rsid w:val="00EA6A1E"/>
    <w:rsid w:val="00EA6BF0"/>
    <w:rsid w:val="00EA6C1E"/>
    <w:rsid w:val="00EA6CFA"/>
    <w:rsid w:val="00EA6DEC"/>
    <w:rsid w:val="00EA6E41"/>
    <w:rsid w:val="00EA6E68"/>
    <w:rsid w:val="00EA6EEC"/>
    <w:rsid w:val="00EA6F4D"/>
    <w:rsid w:val="00EA6F7C"/>
    <w:rsid w:val="00EA6F87"/>
    <w:rsid w:val="00EA6F9E"/>
    <w:rsid w:val="00EA6FBD"/>
    <w:rsid w:val="00EA6FFA"/>
    <w:rsid w:val="00EA7234"/>
    <w:rsid w:val="00EA723D"/>
    <w:rsid w:val="00EA7240"/>
    <w:rsid w:val="00EA726F"/>
    <w:rsid w:val="00EA74EC"/>
    <w:rsid w:val="00EA7616"/>
    <w:rsid w:val="00EA761F"/>
    <w:rsid w:val="00EA76F2"/>
    <w:rsid w:val="00EA76FE"/>
    <w:rsid w:val="00EA77FA"/>
    <w:rsid w:val="00EA7811"/>
    <w:rsid w:val="00EA7915"/>
    <w:rsid w:val="00EA791C"/>
    <w:rsid w:val="00EA7A42"/>
    <w:rsid w:val="00EA7B8E"/>
    <w:rsid w:val="00EA7CE2"/>
    <w:rsid w:val="00EA7D25"/>
    <w:rsid w:val="00EA7DC4"/>
    <w:rsid w:val="00EA7F49"/>
    <w:rsid w:val="00EB0221"/>
    <w:rsid w:val="00EB0424"/>
    <w:rsid w:val="00EB072D"/>
    <w:rsid w:val="00EB0761"/>
    <w:rsid w:val="00EB08A0"/>
    <w:rsid w:val="00EB08C7"/>
    <w:rsid w:val="00EB0965"/>
    <w:rsid w:val="00EB09C6"/>
    <w:rsid w:val="00EB0A6D"/>
    <w:rsid w:val="00EB0AF9"/>
    <w:rsid w:val="00EB0B0A"/>
    <w:rsid w:val="00EB0B17"/>
    <w:rsid w:val="00EB0D7B"/>
    <w:rsid w:val="00EB0DF7"/>
    <w:rsid w:val="00EB0E40"/>
    <w:rsid w:val="00EB0EDF"/>
    <w:rsid w:val="00EB0EF1"/>
    <w:rsid w:val="00EB0F96"/>
    <w:rsid w:val="00EB109A"/>
    <w:rsid w:val="00EB11B1"/>
    <w:rsid w:val="00EB11D2"/>
    <w:rsid w:val="00EB124E"/>
    <w:rsid w:val="00EB12A2"/>
    <w:rsid w:val="00EB1409"/>
    <w:rsid w:val="00EB1479"/>
    <w:rsid w:val="00EB1876"/>
    <w:rsid w:val="00EB19A5"/>
    <w:rsid w:val="00EB19B8"/>
    <w:rsid w:val="00EB19E9"/>
    <w:rsid w:val="00EB1A5A"/>
    <w:rsid w:val="00EB1B99"/>
    <w:rsid w:val="00EB1C1C"/>
    <w:rsid w:val="00EB1C56"/>
    <w:rsid w:val="00EB1EA7"/>
    <w:rsid w:val="00EB210D"/>
    <w:rsid w:val="00EB21A6"/>
    <w:rsid w:val="00EB21FF"/>
    <w:rsid w:val="00EB222F"/>
    <w:rsid w:val="00EB22D8"/>
    <w:rsid w:val="00EB24A6"/>
    <w:rsid w:val="00EB24E6"/>
    <w:rsid w:val="00EB263D"/>
    <w:rsid w:val="00EB2651"/>
    <w:rsid w:val="00EB268F"/>
    <w:rsid w:val="00EB2787"/>
    <w:rsid w:val="00EB2812"/>
    <w:rsid w:val="00EB28C7"/>
    <w:rsid w:val="00EB29BF"/>
    <w:rsid w:val="00EB29F8"/>
    <w:rsid w:val="00EB2A90"/>
    <w:rsid w:val="00EB2B91"/>
    <w:rsid w:val="00EB2C4D"/>
    <w:rsid w:val="00EB2C92"/>
    <w:rsid w:val="00EB2CF1"/>
    <w:rsid w:val="00EB2D1F"/>
    <w:rsid w:val="00EB2D41"/>
    <w:rsid w:val="00EB2DBD"/>
    <w:rsid w:val="00EB2E3C"/>
    <w:rsid w:val="00EB2F7F"/>
    <w:rsid w:val="00EB2FFA"/>
    <w:rsid w:val="00EB310F"/>
    <w:rsid w:val="00EB31D9"/>
    <w:rsid w:val="00EB31E6"/>
    <w:rsid w:val="00EB3226"/>
    <w:rsid w:val="00EB32C2"/>
    <w:rsid w:val="00EB364D"/>
    <w:rsid w:val="00EB36CB"/>
    <w:rsid w:val="00EB3792"/>
    <w:rsid w:val="00EB38E9"/>
    <w:rsid w:val="00EB39A5"/>
    <w:rsid w:val="00EB3A08"/>
    <w:rsid w:val="00EB3B54"/>
    <w:rsid w:val="00EB3CDD"/>
    <w:rsid w:val="00EB3F03"/>
    <w:rsid w:val="00EB416B"/>
    <w:rsid w:val="00EB418C"/>
    <w:rsid w:val="00EB4208"/>
    <w:rsid w:val="00EB44C3"/>
    <w:rsid w:val="00EB44D1"/>
    <w:rsid w:val="00EB4562"/>
    <w:rsid w:val="00EB45E2"/>
    <w:rsid w:val="00EB475E"/>
    <w:rsid w:val="00EB47E5"/>
    <w:rsid w:val="00EB48AA"/>
    <w:rsid w:val="00EB4920"/>
    <w:rsid w:val="00EB4A54"/>
    <w:rsid w:val="00EB4ABA"/>
    <w:rsid w:val="00EB4B83"/>
    <w:rsid w:val="00EB4C96"/>
    <w:rsid w:val="00EB4CA4"/>
    <w:rsid w:val="00EB4DF3"/>
    <w:rsid w:val="00EB5276"/>
    <w:rsid w:val="00EB5377"/>
    <w:rsid w:val="00EB5453"/>
    <w:rsid w:val="00EB55DE"/>
    <w:rsid w:val="00EB562A"/>
    <w:rsid w:val="00EB5773"/>
    <w:rsid w:val="00EB578E"/>
    <w:rsid w:val="00EB582C"/>
    <w:rsid w:val="00EB590D"/>
    <w:rsid w:val="00EB591C"/>
    <w:rsid w:val="00EB5A14"/>
    <w:rsid w:val="00EB5A31"/>
    <w:rsid w:val="00EB5B53"/>
    <w:rsid w:val="00EB5C92"/>
    <w:rsid w:val="00EB5CAC"/>
    <w:rsid w:val="00EB5DC0"/>
    <w:rsid w:val="00EB5E8E"/>
    <w:rsid w:val="00EB5F68"/>
    <w:rsid w:val="00EB5FE8"/>
    <w:rsid w:val="00EB61EA"/>
    <w:rsid w:val="00EB640A"/>
    <w:rsid w:val="00EB6529"/>
    <w:rsid w:val="00EB6868"/>
    <w:rsid w:val="00EB68BC"/>
    <w:rsid w:val="00EB692D"/>
    <w:rsid w:val="00EB6A74"/>
    <w:rsid w:val="00EB6A7B"/>
    <w:rsid w:val="00EB6AC0"/>
    <w:rsid w:val="00EB6B81"/>
    <w:rsid w:val="00EB6D6C"/>
    <w:rsid w:val="00EB6F95"/>
    <w:rsid w:val="00EB6FED"/>
    <w:rsid w:val="00EB7637"/>
    <w:rsid w:val="00EB7749"/>
    <w:rsid w:val="00EB775B"/>
    <w:rsid w:val="00EB7770"/>
    <w:rsid w:val="00EB7876"/>
    <w:rsid w:val="00EB7AEB"/>
    <w:rsid w:val="00EB7B2F"/>
    <w:rsid w:val="00EB7F32"/>
    <w:rsid w:val="00EB7F71"/>
    <w:rsid w:val="00EB7FFB"/>
    <w:rsid w:val="00EC000C"/>
    <w:rsid w:val="00EC005F"/>
    <w:rsid w:val="00EC0409"/>
    <w:rsid w:val="00EC0448"/>
    <w:rsid w:val="00EC06C2"/>
    <w:rsid w:val="00EC0732"/>
    <w:rsid w:val="00EC08C9"/>
    <w:rsid w:val="00EC0AC2"/>
    <w:rsid w:val="00EC0AC6"/>
    <w:rsid w:val="00EC0B21"/>
    <w:rsid w:val="00EC0BFE"/>
    <w:rsid w:val="00EC0C37"/>
    <w:rsid w:val="00EC0CB7"/>
    <w:rsid w:val="00EC0CBE"/>
    <w:rsid w:val="00EC0D18"/>
    <w:rsid w:val="00EC0E5A"/>
    <w:rsid w:val="00EC0EA5"/>
    <w:rsid w:val="00EC0EB3"/>
    <w:rsid w:val="00EC10B0"/>
    <w:rsid w:val="00EC12C9"/>
    <w:rsid w:val="00EC12E1"/>
    <w:rsid w:val="00EC14BA"/>
    <w:rsid w:val="00EC1508"/>
    <w:rsid w:val="00EC1517"/>
    <w:rsid w:val="00EC156F"/>
    <w:rsid w:val="00EC1570"/>
    <w:rsid w:val="00EC1606"/>
    <w:rsid w:val="00EC1664"/>
    <w:rsid w:val="00EC16BD"/>
    <w:rsid w:val="00EC1723"/>
    <w:rsid w:val="00EC180C"/>
    <w:rsid w:val="00EC1922"/>
    <w:rsid w:val="00EC1956"/>
    <w:rsid w:val="00EC1A31"/>
    <w:rsid w:val="00EC1A73"/>
    <w:rsid w:val="00EC1AE4"/>
    <w:rsid w:val="00EC1B44"/>
    <w:rsid w:val="00EC1C4A"/>
    <w:rsid w:val="00EC1CC9"/>
    <w:rsid w:val="00EC1CE0"/>
    <w:rsid w:val="00EC1DC0"/>
    <w:rsid w:val="00EC1DDF"/>
    <w:rsid w:val="00EC1E92"/>
    <w:rsid w:val="00EC1EDA"/>
    <w:rsid w:val="00EC1F57"/>
    <w:rsid w:val="00EC20D2"/>
    <w:rsid w:val="00EC2362"/>
    <w:rsid w:val="00EC2592"/>
    <w:rsid w:val="00EC25CD"/>
    <w:rsid w:val="00EC2696"/>
    <w:rsid w:val="00EC27F2"/>
    <w:rsid w:val="00EC280C"/>
    <w:rsid w:val="00EC288D"/>
    <w:rsid w:val="00EC2B1B"/>
    <w:rsid w:val="00EC2BD2"/>
    <w:rsid w:val="00EC2BF1"/>
    <w:rsid w:val="00EC2C77"/>
    <w:rsid w:val="00EC2D4B"/>
    <w:rsid w:val="00EC2F6D"/>
    <w:rsid w:val="00EC3260"/>
    <w:rsid w:val="00EC33E4"/>
    <w:rsid w:val="00EC33F3"/>
    <w:rsid w:val="00EC3445"/>
    <w:rsid w:val="00EC3528"/>
    <w:rsid w:val="00EC3573"/>
    <w:rsid w:val="00EC3595"/>
    <w:rsid w:val="00EC35E8"/>
    <w:rsid w:val="00EC3789"/>
    <w:rsid w:val="00EC3953"/>
    <w:rsid w:val="00EC3989"/>
    <w:rsid w:val="00EC3A79"/>
    <w:rsid w:val="00EC3BDD"/>
    <w:rsid w:val="00EC3DC8"/>
    <w:rsid w:val="00EC3E47"/>
    <w:rsid w:val="00EC3F50"/>
    <w:rsid w:val="00EC3FAF"/>
    <w:rsid w:val="00EC4057"/>
    <w:rsid w:val="00EC4183"/>
    <w:rsid w:val="00EC426A"/>
    <w:rsid w:val="00EC428E"/>
    <w:rsid w:val="00EC436B"/>
    <w:rsid w:val="00EC4394"/>
    <w:rsid w:val="00EC4467"/>
    <w:rsid w:val="00EC44B7"/>
    <w:rsid w:val="00EC454D"/>
    <w:rsid w:val="00EC4702"/>
    <w:rsid w:val="00EC4742"/>
    <w:rsid w:val="00EC47EF"/>
    <w:rsid w:val="00EC4885"/>
    <w:rsid w:val="00EC48B7"/>
    <w:rsid w:val="00EC49D3"/>
    <w:rsid w:val="00EC4D3C"/>
    <w:rsid w:val="00EC4DF7"/>
    <w:rsid w:val="00EC4E02"/>
    <w:rsid w:val="00EC4F76"/>
    <w:rsid w:val="00EC4F9A"/>
    <w:rsid w:val="00EC518F"/>
    <w:rsid w:val="00EC5547"/>
    <w:rsid w:val="00EC5621"/>
    <w:rsid w:val="00EC56CB"/>
    <w:rsid w:val="00EC57C6"/>
    <w:rsid w:val="00EC580E"/>
    <w:rsid w:val="00EC5868"/>
    <w:rsid w:val="00EC5A5F"/>
    <w:rsid w:val="00EC5C64"/>
    <w:rsid w:val="00EC5CD1"/>
    <w:rsid w:val="00EC5D59"/>
    <w:rsid w:val="00EC5F64"/>
    <w:rsid w:val="00EC5F89"/>
    <w:rsid w:val="00EC615E"/>
    <w:rsid w:val="00EC6173"/>
    <w:rsid w:val="00EC6299"/>
    <w:rsid w:val="00EC6313"/>
    <w:rsid w:val="00EC65DD"/>
    <w:rsid w:val="00EC65E9"/>
    <w:rsid w:val="00EC6666"/>
    <w:rsid w:val="00EC6853"/>
    <w:rsid w:val="00EC68B6"/>
    <w:rsid w:val="00EC68DB"/>
    <w:rsid w:val="00EC691B"/>
    <w:rsid w:val="00EC6943"/>
    <w:rsid w:val="00EC6BE9"/>
    <w:rsid w:val="00EC6CAD"/>
    <w:rsid w:val="00EC6DDC"/>
    <w:rsid w:val="00EC6E1F"/>
    <w:rsid w:val="00EC6E24"/>
    <w:rsid w:val="00EC6F23"/>
    <w:rsid w:val="00EC6F52"/>
    <w:rsid w:val="00EC6FFA"/>
    <w:rsid w:val="00EC70C7"/>
    <w:rsid w:val="00EC716C"/>
    <w:rsid w:val="00EC7347"/>
    <w:rsid w:val="00EC73FE"/>
    <w:rsid w:val="00EC7757"/>
    <w:rsid w:val="00EC77E7"/>
    <w:rsid w:val="00EC7895"/>
    <w:rsid w:val="00EC78C9"/>
    <w:rsid w:val="00EC7999"/>
    <w:rsid w:val="00EC7A8E"/>
    <w:rsid w:val="00EC7C56"/>
    <w:rsid w:val="00EC7DF0"/>
    <w:rsid w:val="00ED0003"/>
    <w:rsid w:val="00ED009A"/>
    <w:rsid w:val="00ED0188"/>
    <w:rsid w:val="00ED018D"/>
    <w:rsid w:val="00ED0281"/>
    <w:rsid w:val="00ED031A"/>
    <w:rsid w:val="00ED0431"/>
    <w:rsid w:val="00ED0462"/>
    <w:rsid w:val="00ED057E"/>
    <w:rsid w:val="00ED05C5"/>
    <w:rsid w:val="00ED06E1"/>
    <w:rsid w:val="00ED0895"/>
    <w:rsid w:val="00ED090F"/>
    <w:rsid w:val="00ED0944"/>
    <w:rsid w:val="00ED0990"/>
    <w:rsid w:val="00ED09FF"/>
    <w:rsid w:val="00ED0ADA"/>
    <w:rsid w:val="00ED0C85"/>
    <w:rsid w:val="00ED0CCB"/>
    <w:rsid w:val="00ED0D02"/>
    <w:rsid w:val="00ED0D26"/>
    <w:rsid w:val="00ED0D2D"/>
    <w:rsid w:val="00ED0F4D"/>
    <w:rsid w:val="00ED1316"/>
    <w:rsid w:val="00ED137F"/>
    <w:rsid w:val="00ED1455"/>
    <w:rsid w:val="00ED14AF"/>
    <w:rsid w:val="00ED16E8"/>
    <w:rsid w:val="00ED16FB"/>
    <w:rsid w:val="00ED1738"/>
    <w:rsid w:val="00ED1817"/>
    <w:rsid w:val="00ED182C"/>
    <w:rsid w:val="00ED1983"/>
    <w:rsid w:val="00ED1A9D"/>
    <w:rsid w:val="00ED1B7C"/>
    <w:rsid w:val="00ED1D55"/>
    <w:rsid w:val="00ED1F06"/>
    <w:rsid w:val="00ED1F0E"/>
    <w:rsid w:val="00ED1FCA"/>
    <w:rsid w:val="00ED200C"/>
    <w:rsid w:val="00ED20F5"/>
    <w:rsid w:val="00ED21AB"/>
    <w:rsid w:val="00ED220E"/>
    <w:rsid w:val="00ED224E"/>
    <w:rsid w:val="00ED2255"/>
    <w:rsid w:val="00ED243B"/>
    <w:rsid w:val="00ED24AA"/>
    <w:rsid w:val="00ED25FE"/>
    <w:rsid w:val="00ED26EB"/>
    <w:rsid w:val="00ED270E"/>
    <w:rsid w:val="00ED271E"/>
    <w:rsid w:val="00ED283E"/>
    <w:rsid w:val="00ED2889"/>
    <w:rsid w:val="00ED29EE"/>
    <w:rsid w:val="00ED2AF2"/>
    <w:rsid w:val="00ED2CA2"/>
    <w:rsid w:val="00ED2E13"/>
    <w:rsid w:val="00ED2E48"/>
    <w:rsid w:val="00ED2EB3"/>
    <w:rsid w:val="00ED2FB8"/>
    <w:rsid w:val="00ED2FCA"/>
    <w:rsid w:val="00ED3000"/>
    <w:rsid w:val="00ED300F"/>
    <w:rsid w:val="00ED3050"/>
    <w:rsid w:val="00ED30A6"/>
    <w:rsid w:val="00ED3183"/>
    <w:rsid w:val="00ED3238"/>
    <w:rsid w:val="00ED33C7"/>
    <w:rsid w:val="00ED3458"/>
    <w:rsid w:val="00ED346A"/>
    <w:rsid w:val="00ED3477"/>
    <w:rsid w:val="00ED34B6"/>
    <w:rsid w:val="00ED3522"/>
    <w:rsid w:val="00ED36B4"/>
    <w:rsid w:val="00ED38B8"/>
    <w:rsid w:val="00ED39E5"/>
    <w:rsid w:val="00ED3A2B"/>
    <w:rsid w:val="00ED3A5F"/>
    <w:rsid w:val="00ED3B79"/>
    <w:rsid w:val="00ED3C62"/>
    <w:rsid w:val="00ED3D14"/>
    <w:rsid w:val="00ED3F43"/>
    <w:rsid w:val="00ED4012"/>
    <w:rsid w:val="00ED41B0"/>
    <w:rsid w:val="00ED4336"/>
    <w:rsid w:val="00ED433F"/>
    <w:rsid w:val="00ED437A"/>
    <w:rsid w:val="00ED456D"/>
    <w:rsid w:val="00ED4609"/>
    <w:rsid w:val="00ED47C9"/>
    <w:rsid w:val="00ED4817"/>
    <w:rsid w:val="00ED4820"/>
    <w:rsid w:val="00ED48AF"/>
    <w:rsid w:val="00ED4939"/>
    <w:rsid w:val="00ED4986"/>
    <w:rsid w:val="00ED4ABC"/>
    <w:rsid w:val="00ED4AC8"/>
    <w:rsid w:val="00ED4ACD"/>
    <w:rsid w:val="00ED4B8D"/>
    <w:rsid w:val="00ED4BB2"/>
    <w:rsid w:val="00ED4C87"/>
    <w:rsid w:val="00ED4CE8"/>
    <w:rsid w:val="00ED4EC0"/>
    <w:rsid w:val="00ED4EF1"/>
    <w:rsid w:val="00ED4F73"/>
    <w:rsid w:val="00ED4FDE"/>
    <w:rsid w:val="00ED53FC"/>
    <w:rsid w:val="00ED5400"/>
    <w:rsid w:val="00ED5966"/>
    <w:rsid w:val="00ED59B7"/>
    <w:rsid w:val="00ED59CE"/>
    <w:rsid w:val="00ED5A46"/>
    <w:rsid w:val="00ED5A53"/>
    <w:rsid w:val="00ED5AB2"/>
    <w:rsid w:val="00ED5ADE"/>
    <w:rsid w:val="00ED5B75"/>
    <w:rsid w:val="00ED5BAC"/>
    <w:rsid w:val="00ED5C85"/>
    <w:rsid w:val="00ED5D1F"/>
    <w:rsid w:val="00ED5D5F"/>
    <w:rsid w:val="00ED5E02"/>
    <w:rsid w:val="00ED5FA7"/>
    <w:rsid w:val="00ED6079"/>
    <w:rsid w:val="00ED6120"/>
    <w:rsid w:val="00ED6150"/>
    <w:rsid w:val="00ED61B6"/>
    <w:rsid w:val="00ED6207"/>
    <w:rsid w:val="00ED6352"/>
    <w:rsid w:val="00ED64C1"/>
    <w:rsid w:val="00ED64F6"/>
    <w:rsid w:val="00ED6596"/>
    <w:rsid w:val="00ED67C1"/>
    <w:rsid w:val="00ED68EA"/>
    <w:rsid w:val="00ED68F3"/>
    <w:rsid w:val="00ED6985"/>
    <w:rsid w:val="00ED6999"/>
    <w:rsid w:val="00ED6AC8"/>
    <w:rsid w:val="00ED6CDC"/>
    <w:rsid w:val="00ED6D7C"/>
    <w:rsid w:val="00ED6D88"/>
    <w:rsid w:val="00ED6DBA"/>
    <w:rsid w:val="00ED6E37"/>
    <w:rsid w:val="00ED6EA5"/>
    <w:rsid w:val="00ED716F"/>
    <w:rsid w:val="00ED7190"/>
    <w:rsid w:val="00ED723D"/>
    <w:rsid w:val="00ED7300"/>
    <w:rsid w:val="00ED747D"/>
    <w:rsid w:val="00ED75D7"/>
    <w:rsid w:val="00ED7659"/>
    <w:rsid w:val="00ED779B"/>
    <w:rsid w:val="00ED77A2"/>
    <w:rsid w:val="00ED7802"/>
    <w:rsid w:val="00ED7927"/>
    <w:rsid w:val="00ED79DB"/>
    <w:rsid w:val="00ED79F7"/>
    <w:rsid w:val="00ED7A87"/>
    <w:rsid w:val="00ED7C4C"/>
    <w:rsid w:val="00ED7DDA"/>
    <w:rsid w:val="00ED7FBD"/>
    <w:rsid w:val="00EE0106"/>
    <w:rsid w:val="00EE042B"/>
    <w:rsid w:val="00EE0504"/>
    <w:rsid w:val="00EE056F"/>
    <w:rsid w:val="00EE058D"/>
    <w:rsid w:val="00EE06C5"/>
    <w:rsid w:val="00EE077B"/>
    <w:rsid w:val="00EE07AF"/>
    <w:rsid w:val="00EE081F"/>
    <w:rsid w:val="00EE08E0"/>
    <w:rsid w:val="00EE0908"/>
    <w:rsid w:val="00EE0A45"/>
    <w:rsid w:val="00EE0ABD"/>
    <w:rsid w:val="00EE0B39"/>
    <w:rsid w:val="00EE0B74"/>
    <w:rsid w:val="00EE0C49"/>
    <w:rsid w:val="00EE0D55"/>
    <w:rsid w:val="00EE0DC1"/>
    <w:rsid w:val="00EE0DE8"/>
    <w:rsid w:val="00EE0DFB"/>
    <w:rsid w:val="00EE0E2C"/>
    <w:rsid w:val="00EE0EA6"/>
    <w:rsid w:val="00EE10CF"/>
    <w:rsid w:val="00EE1209"/>
    <w:rsid w:val="00EE12AE"/>
    <w:rsid w:val="00EE160C"/>
    <w:rsid w:val="00EE1721"/>
    <w:rsid w:val="00EE18E2"/>
    <w:rsid w:val="00EE18EC"/>
    <w:rsid w:val="00EE1968"/>
    <w:rsid w:val="00EE1B4A"/>
    <w:rsid w:val="00EE1CFE"/>
    <w:rsid w:val="00EE1DB0"/>
    <w:rsid w:val="00EE1EA5"/>
    <w:rsid w:val="00EE1EE4"/>
    <w:rsid w:val="00EE1F0C"/>
    <w:rsid w:val="00EE1FA8"/>
    <w:rsid w:val="00EE1FE9"/>
    <w:rsid w:val="00EE2003"/>
    <w:rsid w:val="00EE2018"/>
    <w:rsid w:val="00EE21CB"/>
    <w:rsid w:val="00EE23D5"/>
    <w:rsid w:val="00EE23DE"/>
    <w:rsid w:val="00EE25A1"/>
    <w:rsid w:val="00EE260E"/>
    <w:rsid w:val="00EE273D"/>
    <w:rsid w:val="00EE2866"/>
    <w:rsid w:val="00EE2A7C"/>
    <w:rsid w:val="00EE2DEF"/>
    <w:rsid w:val="00EE2F24"/>
    <w:rsid w:val="00EE304B"/>
    <w:rsid w:val="00EE332A"/>
    <w:rsid w:val="00EE3336"/>
    <w:rsid w:val="00EE335A"/>
    <w:rsid w:val="00EE33C1"/>
    <w:rsid w:val="00EE33CE"/>
    <w:rsid w:val="00EE3580"/>
    <w:rsid w:val="00EE35AA"/>
    <w:rsid w:val="00EE3827"/>
    <w:rsid w:val="00EE3A91"/>
    <w:rsid w:val="00EE3AA6"/>
    <w:rsid w:val="00EE3B2D"/>
    <w:rsid w:val="00EE3B3E"/>
    <w:rsid w:val="00EE3C73"/>
    <w:rsid w:val="00EE3D3B"/>
    <w:rsid w:val="00EE3E44"/>
    <w:rsid w:val="00EE3EB5"/>
    <w:rsid w:val="00EE403D"/>
    <w:rsid w:val="00EE4127"/>
    <w:rsid w:val="00EE444F"/>
    <w:rsid w:val="00EE45C6"/>
    <w:rsid w:val="00EE46D8"/>
    <w:rsid w:val="00EE4727"/>
    <w:rsid w:val="00EE4790"/>
    <w:rsid w:val="00EE47A8"/>
    <w:rsid w:val="00EE4841"/>
    <w:rsid w:val="00EE4858"/>
    <w:rsid w:val="00EE48FA"/>
    <w:rsid w:val="00EE4AD4"/>
    <w:rsid w:val="00EE4BE3"/>
    <w:rsid w:val="00EE4C7A"/>
    <w:rsid w:val="00EE4DB5"/>
    <w:rsid w:val="00EE4DBA"/>
    <w:rsid w:val="00EE4ECF"/>
    <w:rsid w:val="00EE4F04"/>
    <w:rsid w:val="00EE503A"/>
    <w:rsid w:val="00EE5194"/>
    <w:rsid w:val="00EE51F2"/>
    <w:rsid w:val="00EE5261"/>
    <w:rsid w:val="00EE5266"/>
    <w:rsid w:val="00EE527F"/>
    <w:rsid w:val="00EE5287"/>
    <w:rsid w:val="00EE5377"/>
    <w:rsid w:val="00EE547B"/>
    <w:rsid w:val="00EE5576"/>
    <w:rsid w:val="00EE55AE"/>
    <w:rsid w:val="00EE567C"/>
    <w:rsid w:val="00EE567F"/>
    <w:rsid w:val="00EE586D"/>
    <w:rsid w:val="00EE58D6"/>
    <w:rsid w:val="00EE597C"/>
    <w:rsid w:val="00EE5C36"/>
    <w:rsid w:val="00EE5FEE"/>
    <w:rsid w:val="00EE6012"/>
    <w:rsid w:val="00EE6140"/>
    <w:rsid w:val="00EE6169"/>
    <w:rsid w:val="00EE617C"/>
    <w:rsid w:val="00EE61A6"/>
    <w:rsid w:val="00EE61F7"/>
    <w:rsid w:val="00EE6385"/>
    <w:rsid w:val="00EE6509"/>
    <w:rsid w:val="00EE6713"/>
    <w:rsid w:val="00EE6C06"/>
    <w:rsid w:val="00EE6C70"/>
    <w:rsid w:val="00EE6CDF"/>
    <w:rsid w:val="00EE6DE0"/>
    <w:rsid w:val="00EE6E63"/>
    <w:rsid w:val="00EE6E76"/>
    <w:rsid w:val="00EE6F86"/>
    <w:rsid w:val="00EE6FBA"/>
    <w:rsid w:val="00EE6FBC"/>
    <w:rsid w:val="00EE6FCC"/>
    <w:rsid w:val="00EE7043"/>
    <w:rsid w:val="00EE7129"/>
    <w:rsid w:val="00EE7276"/>
    <w:rsid w:val="00EE729B"/>
    <w:rsid w:val="00EE72E0"/>
    <w:rsid w:val="00EE7340"/>
    <w:rsid w:val="00EE74F6"/>
    <w:rsid w:val="00EE7546"/>
    <w:rsid w:val="00EE7572"/>
    <w:rsid w:val="00EE76AA"/>
    <w:rsid w:val="00EE76E1"/>
    <w:rsid w:val="00EE7886"/>
    <w:rsid w:val="00EE7887"/>
    <w:rsid w:val="00EE78D6"/>
    <w:rsid w:val="00EE791D"/>
    <w:rsid w:val="00EE7944"/>
    <w:rsid w:val="00EE79AA"/>
    <w:rsid w:val="00EE79E0"/>
    <w:rsid w:val="00EE7AD6"/>
    <w:rsid w:val="00EE7AE5"/>
    <w:rsid w:val="00EE7BD5"/>
    <w:rsid w:val="00EE7C38"/>
    <w:rsid w:val="00EE7D9D"/>
    <w:rsid w:val="00EE7DC3"/>
    <w:rsid w:val="00EE7E29"/>
    <w:rsid w:val="00EE7E3B"/>
    <w:rsid w:val="00EE7EB7"/>
    <w:rsid w:val="00EE7F18"/>
    <w:rsid w:val="00EF00D5"/>
    <w:rsid w:val="00EF0146"/>
    <w:rsid w:val="00EF017F"/>
    <w:rsid w:val="00EF0417"/>
    <w:rsid w:val="00EF042C"/>
    <w:rsid w:val="00EF04C9"/>
    <w:rsid w:val="00EF0626"/>
    <w:rsid w:val="00EF06B1"/>
    <w:rsid w:val="00EF06B2"/>
    <w:rsid w:val="00EF06BA"/>
    <w:rsid w:val="00EF077F"/>
    <w:rsid w:val="00EF087F"/>
    <w:rsid w:val="00EF0AC5"/>
    <w:rsid w:val="00EF0AD4"/>
    <w:rsid w:val="00EF0B02"/>
    <w:rsid w:val="00EF0B3D"/>
    <w:rsid w:val="00EF0B4B"/>
    <w:rsid w:val="00EF0BF3"/>
    <w:rsid w:val="00EF0C9B"/>
    <w:rsid w:val="00EF0CE3"/>
    <w:rsid w:val="00EF0D51"/>
    <w:rsid w:val="00EF0D71"/>
    <w:rsid w:val="00EF0E38"/>
    <w:rsid w:val="00EF0E8A"/>
    <w:rsid w:val="00EF0F63"/>
    <w:rsid w:val="00EF1201"/>
    <w:rsid w:val="00EF1212"/>
    <w:rsid w:val="00EF124C"/>
    <w:rsid w:val="00EF1310"/>
    <w:rsid w:val="00EF131B"/>
    <w:rsid w:val="00EF1330"/>
    <w:rsid w:val="00EF15D0"/>
    <w:rsid w:val="00EF1619"/>
    <w:rsid w:val="00EF17AC"/>
    <w:rsid w:val="00EF1859"/>
    <w:rsid w:val="00EF18D7"/>
    <w:rsid w:val="00EF192D"/>
    <w:rsid w:val="00EF19D3"/>
    <w:rsid w:val="00EF19E9"/>
    <w:rsid w:val="00EF1A5A"/>
    <w:rsid w:val="00EF1A92"/>
    <w:rsid w:val="00EF1AD9"/>
    <w:rsid w:val="00EF1AFC"/>
    <w:rsid w:val="00EF1B57"/>
    <w:rsid w:val="00EF1C77"/>
    <w:rsid w:val="00EF1D3B"/>
    <w:rsid w:val="00EF1E49"/>
    <w:rsid w:val="00EF1EA9"/>
    <w:rsid w:val="00EF1EB5"/>
    <w:rsid w:val="00EF20E5"/>
    <w:rsid w:val="00EF21A6"/>
    <w:rsid w:val="00EF22A2"/>
    <w:rsid w:val="00EF22C0"/>
    <w:rsid w:val="00EF2406"/>
    <w:rsid w:val="00EF2550"/>
    <w:rsid w:val="00EF25AB"/>
    <w:rsid w:val="00EF2656"/>
    <w:rsid w:val="00EF26A8"/>
    <w:rsid w:val="00EF2835"/>
    <w:rsid w:val="00EF289D"/>
    <w:rsid w:val="00EF2A72"/>
    <w:rsid w:val="00EF2A8E"/>
    <w:rsid w:val="00EF2BCF"/>
    <w:rsid w:val="00EF2C94"/>
    <w:rsid w:val="00EF2D0E"/>
    <w:rsid w:val="00EF2E53"/>
    <w:rsid w:val="00EF2EC3"/>
    <w:rsid w:val="00EF3001"/>
    <w:rsid w:val="00EF3196"/>
    <w:rsid w:val="00EF327A"/>
    <w:rsid w:val="00EF3285"/>
    <w:rsid w:val="00EF3348"/>
    <w:rsid w:val="00EF3578"/>
    <w:rsid w:val="00EF363F"/>
    <w:rsid w:val="00EF3696"/>
    <w:rsid w:val="00EF370C"/>
    <w:rsid w:val="00EF3744"/>
    <w:rsid w:val="00EF3796"/>
    <w:rsid w:val="00EF3941"/>
    <w:rsid w:val="00EF3C4C"/>
    <w:rsid w:val="00EF3D32"/>
    <w:rsid w:val="00EF3DA9"/>
    <w:rsid w:val="00EF3EDD"/>
    <w:rsid w:val="00EF3F4A"/>
    <w:rsid w:val="00EF4229"/>
    <w:rsid w:val="00EF4387"/>
    <w:rsid w:val="00EF449A"/>
    <w:rsid w:val="00EF44F5"/>
    <w:rsid w:val="00EF451E"/>
    <w:rsid w:val="00EF45AB"/>
    <w:rsid w:val="00EF47A0"/>
    <w:rsid w:val="00EF47F5"/>
    <w:rsid w:val="00EF4855"/>
    <w:rsid w:val="00EF49C3"/>
    <w:rsid w:val="00EF49DB"/>
    <w:rsid w:val="00EF4A1B"/>
    <w:rsid w:val="00EF4A26"/>
    <w:rsid w:val="00EF4AB0"/>
    <w:rsid w:val="00EF4CD8"/>
    <w:rsid w:val="00EF4D14"/>
    <w:rsid w:val="00EF4D7A"/>
    <w:rsid w:val="00EF4E84"/>
    <w:rsid w:val="00EF4F4E"/>
    <w:rsid w:val="00EF4F59"/>
    <w:rsid w:val="00EF5094"/>
    <w:rsid w:val="00EF509A"/>
    <w:rsid w:val="00EF50D5"/>
    <w:rsid w:val="00EF511E"/>
    <w:rsid w:val="00EF51A7"/>
    <w:rsid w:val="00EF51C4"/>
    <w:rsid w:val="00EF52B2"/>
    <w:rsid w:val="00EF5335"/>
    <w:rsid w:val="00EF54BD"/>
    <w:rsid w:val="00EF5587"/>
    <w:rsid w:val="00EF5669"/>
    <w:rsid w:val="00EF568E"/>
    <w:rsid w:val="00EF5720"/>
    <w:rsid w:val="00EF5809"/>
    <w:rsid w:val="00EF5985"/>
    <w:rsid w:val="00EF5AA7"/>
    <w:rsid w:val="00EF5BF5"/>
    <w:rsid w:val="00EF5C5F"/>
    <w:rsid w:val="00EF5EBD"/>
    <w:rsid w:val="00EF5EC9"/>
    <w:rsid w:val="00EF603C"/>
    <w:rsid w:val="00EF608D"/>
    <w:rsid w:val="00EF60DF"/>
    <w:rsid w:val="00EF6171"/>
    <w:rsid w:val="00EF636E"/>
    <w:rsid w:val="00EF6378"/>
    <w:rsid w:val="00EF652F"/>
    <w:rsid w:val="00EF65A6"/>
    <w:rsid w:val="00EF662B"/>
    <w:rsid w:val="00EF6887"/>
    <w:rsid w:val="00EF694A"/>
    <w:rsid w:val="00EF6A8F"/>
    <w:rsid w:val="00EF6AE2"/>
    <w:rsid w:val="00EF6B69"/>
    <w:rsid w:val="00EF6B77"/>
    <w:rsid w:val="00EF6C11"/>
    <w:rsid w:val="00EF6E65"/>
    <w:rsid w:val="00EF7061"/>
    <w:rsid w:val="00EF70CB"/>
    <w:rsid w:val="00EF71C1"/>
    <w:rsid w:val="00EF7353"/>
    <w:rsid w:val="00EF76FD"/>
    <w:rsid w:val="00EF770A"/>
    <w:rsid w:val="00EF79EE"/>
    <w:rsid w:val="00EF7B94"/>
    <w:rsid w:val="00EF7C6C"/>
    <w:rsid w:val="00EF7D6B"/>
    <w:rsid w:val="00EF7D91"/>
    <w:rsid w:val="00EF7E46"/>
    <w:rsid w:val="00EF7E88"/>
    <w:rsid w:val="00EF7F23"/>
    <w:rsid w:val="00EF7F46"/>
    <w:rsid w:val="00F0005A"/>
    <w:rsid w:val="00F000E8"/>
    <w:rsid w:val="00F0012A"/>
    <w:rsid w:val="00F00266"/>
    <w:rsid w:val="00F00299"/>
    <w:rsid w:val="00F0034B"/>
    <w:rsid w:val="00F0036E"/>
    <w:rsid w:val="00F00460"/>
    <w:rsid w:val="00F0052B"/>
    <w:rsid w:val="00F0053A"/>
    <w:rsid w:val="00F005D8"/>
    <w:rsid w:val="00F006F2"/>
    <w:rsid w:val="00F00772"/>
    <w:rsid w:val="00F0078A"/>
    <w:rsid w:val="00F00A4F"/>
    <w:rsid w:val="00F00B8F"/>
    <w:rsid w:val="00F00D15"/>
    <w:rsid w:val="00F00DB3"/>
    <w:rsid w:val="00F00F9D"/>
    <w:rsid w:val="00F00FD9"/>
    <w:rsid w:val="00F00FF6"/>
    <w:rsid w:val="00F01165"/>
    <w:rsid w:val="00F012E7"/>
    <w:rsid w:val="00F01457"/>
    <w:rsid w:val="00F01585"/>
    <w:rsid w:val="00F0174C"/>
    <w:rsid w:val="00F01B47"/>
    <w:rsid w:val="00F01B49"/>
    <w:rsid w:val="00F01B89"/>
    <w:rsid w:val="00F01BB4"/>
    <w:rsid w:val="00F01C67"/>
    <w:rsid w:val="00F01D94"/>
    <w:rsid w:val="00F01E02"/>
    <w:rsid w:val="00F01E0C"/>
    <w:rsid w:val="00F01E0F"/>
    <w:rsid w:val="00F01E12"/>
    <w:rsid w:val="00F01E15"/>
    <w:rsid w:val="00F01E79"/>
    <w:rsid w:val="00F01F90"/>
    <w:rsid w:val="00F02055"/>
    <w:rsid w:val="00F0206F"/>
    <w:rsid w:val="00F02077"/>
    <w:rsid w:val="00F02497"/>
    <w:rsid w:val="00F0262B"/>
    <w:rsid w:val="00F02651"/>
    <w:rsid w:val="00F0269B"/>
    <w:rsid w:val="00F0269C"/>
    <w:rsid w:val="00F0287C"/>
    <w:rsid w:val="00F0289F"/>
    <w:rsid w:val="00F02908"/>
    <w:rsid w:val="00F029B8"/>
    <w:rsid w:val="00F02A34"/>
    <w:rsid w:val="00F02B6F"/>
    <w:rsid w:val="00F02B84"/>
    <w:rsid w:val="00F02C95"/>
    <w:rsid w:val="00F02D5D"/>
    <w:rsid w:val="00F02D6A"/>
    <w:rsid w:val="00F02E41"/>
    <w:rsid w:val="00F02ED0"/>
    <w:rsid w:val="00F02EF3"/>
    <w:rsid w:val="00F02F2B"/>
    <w:rsid w:val="00F02FA9"/>
    <w:rsid w:val="00F0301D"/>
    <w:rsid w:val="00F03059"/>
    <w:rsid w:val="00F031E6"/>
    <w:rsid w:val="00F03277"/>
    <w:rsid w:val="00F03293"/>
    <w:rsid w:val="00F03335"/>
    <w:rsid w:val="00F0334F"/>
    <w:rsid w:val="00F033DC"/>
    <w:rsid w:val="00F034D1"/>
    <w:rsid w:val="00F0362B"/>
    <w:rsid w:val="00F03722"/>
    <w:rsid w:val="00F0399D"/>
    <w:rsid w:val="00F039B4"/>
    <w:rsid w:val="00F03D44"/>
    <w:rsid w:val="00F03F1D"/>
    <w:rsid w:val="00F03FCB"/>
    <w:rsid w:val="00F04005"/>
    <w:rsid w:val="00F040EC"/>
    <w:rsid w:val="00F0441E"/>
    <w:rsid w:val="00F0445D"/>
    <w:rsid w:val="00F0446D"/>
    <w:rsid w:val="00F044AB"/>
    <w:rsid w:val="00F0460D"/>
    <w:rsid w:val="00F0484F"/>
    <w:rsid w:val="00F048A7"/>
    <w:rsid w:val="00F048EB"/>
    <w:rsid w:val="00F04B1A"/>
    <w:rsid w:val="00F04C58"/>
    <w:rsid w:val="00F04D0D"/>
    <w:rsid w:val="00F04D8E"/>
    <w:rsid w:val="00F04EF2"/>
    <w:rsid w:val="00F04F72"/>
    <w:rsid w:val="00F050F0"/>
    <w:rsid w:val="00F05120"/>
    <w:rsid w:val="00F0519C"/>
    <w:rsid w:val="00F053E8"/>
    <w:rsid w:val="00F05419"/>
    <w:rsid w:val="00F0541B"/>
    <w:rsid w:val="00F05674"/>
    <w:rsid w:val="00F056B9"/>
    <w:rsid w:val="00F05711"/>
    <w:rsid w:val="00F057AB"/>
    <w:rsid w:val="00F05879"/>
    <w:rsid w:val="00F058E5"/>
    <w:rsid w:val="00F0595A"/>
    <w:rsid w:val="00F05AF0"/>
    <w:rsid w:val="00F05AF9"/>
    <w:rsid w:val="00F05B0B"/>
    <w:rsid w:val="00F05B4B"/>
    <w:rsid w:val="00F05C59"/>
    <w:rsid w:val="00F05C8C"/>
    <w:rsid w:val="00F05CD9"/>
    <w:rsid w:val="00F05F16"/>
    <w:rsid w:val="00F065A5"/>
    <w:rsid w:val="00F0671A"/>
    <w:rsid w:val="00F0673F"/>
    <w:rsid w:val="00F06941"/>
    <w:rsid w:val="00F06A0C"/>
    <w:rsid w:val="00F06C79"/>
    <w:rsid w:val="00F06CBE"/>
    <w:rsid w:val="00F06CCD"/>
    <w:rsid w:val="00F06CD7"/>
    <w:rsid w:val="00F06D6B"/>
    <w:rsid w:val="00F06DCD"/>
    <w:rsid w:val="00F06DD2"/>
    <w:rsid w:val="00F06E33"/>
    <w:rsid w:val="00F06FD3"/>
    <w:rsid w:val="00F070BD"/>
    <w:rsid w:val="00F071FB"/>
    <w:rsid w:val="00F07358"/>
    <w:rsid w:val="00F0737E"/>
    <w:rsid w:val="00F073A0"/>
    <w:rsid w:val="00F073AA"/>
    <w:rsid w:val="00F07413"/>
    <w:rsid w:val="00F07461"/>
    <w:rsid w:val="00F07563"/>
    <w:rsid w:val="00F07602"/>
    <w:rsid w:val="00F077E1"/>
    <w:rsid w:val="00F07943"/>
    <w:rsid w:val="00F07A7D"/>
    <w:rsid w:val="00F07CEB"/>
    <w:rsid w:val="00F07D09"/>
    <w:rsid w:val="00F07F94"/>
    <w:rsid w:val="00F07FA3"/>
    <w:rsid w:val="00F10059"/>
    <w:rsid w:val="00F100B3"/>
    <w:rsid w:val="00F10123"/>
    <w:rsid w:val="00F10184"/>
    <w:rsid w:val="00F102F9"/>
    <w:rsid w:val="00F1039B"/>
    <w:rsid w:val="00F104A7"/>
    <w:rsid w:val="00F10585"/>
    <w:rsid w:val="00F106FC"/>
    <w:rsid w:val="00F10716"/>
    <w:rsid w:val="00F10744"/>
    <w:rsid w:val="00F1089A"/>
    <w:rsid w:val="00F10926"/>
    <w:rsid w:val="00F10A9F"/>
    <w:rsid w:val="00F10D0F"/>
    <w:rsid w:val="00F10D45"/>
    <w:rsid w:val="00F10E33"/>
    <w:rsid w:val="00F10E3C"/>
    <w:rsid w:val="00F10F3E"/>
    <w:rsid w:val="00F10F63"/>
    <w:rsid w:val="00F10F78"/>
    <w:rsid w:val="00F11164"/>
    <w:rsid w:val="00F1119C"/>
    <w:rsid w:val="00F1120C"/>
    <w:rsid w:val="00F113B1"/>
    <w:rsid w:val="00F1140C"/>
    <w:rsid w:val="00F11428"/>
    <w:rsid w:val="00F11551"/>
    <w:rsid w:val="00F1162E"/>
    <w:rsid w:val="00F11642"/>
    <w:rsid w:val="00F1179C"/>
    <w:rsid w:val="00F1179E"/>
    <w:rsid w:val="00F118BD"/>
    <w:rsid w:val="00F11915"/>
    <w:rsid w:val="00F11938"/>
    <w:rsid w:val="00F11A0E"/>
    <w:rsid w:val="00F11AEE"/>
    <w:rsid w:val="00F11BB0"/>
    <w:rsid w:val="00F11D5F"/>
    <w:rsid w:val="00F11E2E"/>
    <w:rsid w:val="00F11EDD"/>
    <w:rsid w:val="00F11F5A"/>
    <w:rsid w:val="00F12139"/>
    <w:rsid w:val="00F12223"/>
    <w:rsid w:val="00F12470"/>
    <w:rsid w:val="00F12481"/>
    <w:rsid w:val="00F12507"/>
    <w:rsid w:val="00F12619"/>
    <w:rsid w:val="00F1261D"/>
    <w:rsid w:val="00F12701"/>
    <w:rsid w:val="00F1277B"/>
    <w:rsid w:val="00F12822"/>
    <w:rsid w:val="00F129DE"/>
    <w:rsid w:val="00F12A5C"/>
    <w:rsid w:val="00F12BDC"/>
    <w:rsid w:val="00F12C8C"/>
    <w:rsid w:val="00F12D66"/>
    <w:rsid w:val="00F12E2A"/>
    <w:rsid w:val="00F12E61"/>
    <w:rsid w:val="00F13108"/>
    <w:rsid w:val="00F131A5"/>
    <w:rsid w:val="00F133C7"/>
    <w:rsid w:val="00F133DE"/>
    <w:rsid w:val="00F1340B"/>
    <w:rsid w:val="00F1342F"/>
    <w:rsid w:val="00F1343C"/>
    <w:rsid w:val="00F13571"/>
    <w:rsid w:val="00F13593"/>
    <w:rsid w:val="00F135F8"/>
    <w:rsid w:val="00F13634"/>
    <w:rsid w:val="00F1365C"/>
    <w:rsid w:val="00F137B7"/>
    <w:rsid w:val="00F1396D"/>
    <w:rsid w:val="00F13B69"/>
    <w:rsid w:val="00F13B76"/>
    <w:rsid w:val="00F13CC9"/>
    <w:rsid w:val="00F13D1D"/>
    <w:rsid w:val="00F13F95"/>
    <w:rsid w:val="00F14036"/>
    <w:rsid w:val="00F140B1"/>
    <w:rsid w:val="00F14199"/>
    <w:rsid w:val="00F144B3"/>
    <w:rsid w:val="00F14583"/>
    <w:rsid w:val="00F14620"/>
    <w:rsid w:val="00F1468E"/>
    <w:rsid w:val="00F14748"/>
    <w:rsid w:val="00F147A0"/>
    <w:rsid w:val="00F1482A"/>
    <w:rsid w:val="00F14875"/>
    <w:rsid w:val="00F148C1"/>
    <w:rsid w:val="00F149D8"/>
    <w:rsid w:val="00F14A1B"/>
    <w:rsid w:val="00F14BE9"/>
    <w:rsid w:val="00F14C62"/>
    <w:rsid w:val="00F14E16"/>
    <w:rsid w:val="00F14EA3"/>
    <w:rsid w:val="00F14F20"/>
    <w:rsid w:val="00F15012"/>
    <w:rsid w:val="00F150CC"/>
    <w:rsid w:val="00F1520F"/>
    <w:rsid w:val="00F1526A"/>
    <w:rsid w:val="00F15276"/>
    <w:rsid w:val="00F15526"/>
    <w:rsid w:val="00F156F5"/>
    <w:rsid w:val="00F157BF"/>
    <w:rsid w:val="00F158E0"/>
    <w:rsid w:val="00F15A1E"/>
    <w:rsid w:val="00F15BF0"/>
    <w:rsid w:val="00F15CFF"/>
    <w:rsid w:val="00F15E4D"/>
    <w:rsid w:val="00F15E5A"/>
    <w:rsid w:val="00F15E7D"/>
    <w:rsid w:val="00F1602B"/>
    <w:rsid w:val="00F1614A"/>
    <w:rsid w:val="00F16274"/>
    <w:rsid w:val="00F16339"/>
    <w:rsid w:val="00F165EB"/>
    <w:rsid w:val="00F16742"/>
    <w:rsid w:val="00F16793"/>
    <w:rsid w:val="00F167E2"/>
    <w:rsid w:val="00F16823"/>
    <w:rsid w:val="00F168E8"/>
    <w:rsid w:val="00F16A14"/>
    <w:rsid w:val="00F16A3A"/>
    <w:rsid w:val="00F16A72"/>
    <w:rsid w:val="00F16ABE"/>
    <w:rsid w:val="00F16B7C"/>
    <w:rsid w:val="00F16D51"/>
    <w:rsid w:val="00F16FC7"/>
    <w:rsid w:val="00F16FEF"/>
    <w:rsid w:val="00F170A4"/>
    <w:rsid w:val="00F170D8"/>
    <w:rsid w:val="00F17113"/>
    <w:rsid w:val="00F171E2"/>
    <w:rsid w:val="00F17368"/>
    <w:rsid w:val="00F1756B"/>
    <w:rsid w:val="00F177D4"/>
    <w:rsid w:val="00F17819"/>
    <w:rsid w:val="00F1798A"/>
    <w:rsid w:val="00F179B9"/>
    <w:rsid w:val="00F17C66"/>
    <w:rsid w:val="00F17EE8"/>
    <w:rsid w:val="00F17F6C"/>
    <w:rsid w:val="00F20107"/>
    <w:rsid w:val="00F20114"/>
    <w:rsid w:val="00F20158"/>
    <w:rsid w:val="00F20164"/>
    <w:rsid w:val="00F202B6"/>
    <w:rsid w:val="00F20498"/>
    <w:rsid w:val="00F20509"/>
    <w:rsid w:val="00F205C4"/>
    <w:rsid w:val="00F2066D"/>
    <w:rsid w:val="00F207B2"/>
    <w:rsid w:val="00F208BE"/>
    <w:rsid w:val="00F208DA"/>
    <w:rsid w:val="00F20A8E"/>
    <w:rsid w:val="00F20AE6"/>
    <w:rsid w:val="00F20B0B"/>
    <w:rsid w:val="00F20C5D"/>
    <w:rsid w:val="00F20C90"/>
    <w:rsid w:val="00F20D06"/>
    <w:rsid w:val="00F20EBF"/>
    <w:rsid w:val="00F20F00"/>
    <w:rsid w:val="00F20F47"/>
    <w:rsid w:val="00F21116"/>
    <w:rsid w:val="00F2113E"/>
    <w:rsid w:val="00F21159"/>
    <w:rsid w:val="00F2118F"/>
    <w:rsid w:val="00F212D9"/>
    <w:rsid w:val="00F2133B"/>
    <w:rsid w:val="00F21395"/>
    <w:rsid w:val="00F2146C"/>
    <w:rsid w:val="00F214AD"/>
    <w:rsid w:val="00F214DF"/>
    <w:rsid w:val="00F21597"/>
    <w:rsid w:val="00F21622"/>
    <w:rsid w:val="00F2165F"/>
    <w:rsid w:val="00F216E5"/>
    <w:rsid w:val="00F2170A"/>
    <w:rsid w:val="00F21732"/>
    <w:rsid w:val="00F2192C"/>
    <w:rsid w:val="00F21A45"/>
    <w:rsid w:val="00F21A5A"/>
    <w:rsid w:val="00F21A67"/>
    <w:rsid w:val="00F21AD9"/>
    <w:rsid w:val="00F21B30"/>
    <w:rsid w:val="00F21C5D"/>
    <w:rsid w:val="00F21CBD"/>
    <w:rsid w:val="00F21DF3"/>
    <w:rsid w:val="00F21E0C"/>
    <w:rsid w:val="00F21E33"/>
    <w:rsid w:val="00F21F78"/>
    <w:rsid w:val="00F221FB"/>
    <w:rsid w:val="00F22270"/>
    <w:rsid w:val="00F22450"/>
    <w:rsid w:val="00F224EF"/>
    <w:rsid w:val="00F2258C"/>
    <w:rsid w:val="00F22968"/>
    <w:rsid w:val="00F22A41"/>
    <w:rsid w:val="00F22BF3"/>
    <w:rsid w:val="00F22E66"/>
    <w:rsid w:val="00F23018"/>
    <w:rsid w:val="00F2302B"/>
    <w:rsid w:val="00F23101"/>
    <w:rsid w:val="00F231BF"/>
    <w:rsid w:val="00F231C7"/>
    <w:rsid w:val="00F232BD"/>
    <w:rsid w:val="00F232EA"/>
    <w:rsid w:val="00F23360"/>
    <w:rsid w:val="00F23449"/>
    <w:rsid w:val="00F234B1"/>
    <w:rsid w:val="00F234DB"/>
    <w:rsid w:val="00F23589"/>
    <w:rsid w:val="00F236A1"/>
    <w:rsid w:val="00F238CF"/>
    <w:rsid w:val="00F23979"/>
    <w:rsid w:val="00F2397F"/>
    <w:rsid w:val="00F2399B"/>
    <w:rsid w:val="00F239E0"/>
    <w:rsid w:val="00F23EB7"/>
    <w:rsid w:val="00F23F61"/>
    <w:rsid w:val="00F23FDB"/>
    <w:rsid w:val="00F24096"/>
    <w:rsid w:val="00F240E4"/>
    <w:rsid w:val="00F241D3"/>
    <w:rsid w:val="00F241D7"/>
    <w:rsid w:val="00F2423D"/>
    <w:rsid w:val="00F242E5"/>
    <w:rsid w:val="00F2447A"/>
    <w:rsid w:val="00F244BF"/>
    <w:rsid w:val="00F24765"/>
    <w:rsid w:val="00F247F0"/>
    <w:rsid w:val="00F24979"/>
    <w:rsid w:val="00F24AEE"/>
    <w:rsid w:val="00F24B4B"/>
    <w:rsid w:val="00F24B97"/>
    <w:rsid w:val="00F24D5A"/>
    <w:rsid w:val="00F24E9F"/>
    <w:rsid w:val="00F24F87"/>
    <w:rsid w:val="00F2507C"/>
    <w:rsid w:val="00F25333"/>
    <w:rsid w:val="00F25398"/>
    <w:rsid w:val="00F253E7"/>
    <w:rsid w:val="00F2555B"/>
    <w:rsid w:val="00F25886"/>
    <w:rsid w:val="00F258D9"/>
    <w:rsid w:val="00F25942"/>
    <w:rsid w:val="00F25AFE"/>
    <w:rsid w:val="00F25D65"/>
    <w:rsid w:val="00F25EA3"/>
    <w:rsid w:val="00F26091"/>
    <w:rsid w:val="00F2629F"/>
    <w:rsid w:val="00F2635B"/>
    <w:rsid w:val="00F2639E"/>
    <w:rsid w:val="00F263E9"/>
    <w:rsid w:val="00F26455"/>
    <w:rsid w:val="00F26458"/>
    <w:rsid w:val="00F26586"/>
    <w:rsid w:val="00F265BE"/>
    <w:rsid w:val="00F26601"/>
    <w:rsid w:val="00F26677"/>
    <w:rsid w:val="00F266B8"/>
    <w:rsid w:val="00F2672A"/>
    <w:rsid w:val="00F26801"/>
    <w:rsid w:val="00F26A2F"/>
    <w:rsid w:val="00F26A68"/>
    <w:rsid w:val="00F26AF1"/>
    <w:rsid w:val="00F26B92"/>
    <w:rsid w:val="00F26BEB"/>
    <w:rsid w:val="00F26C85"/>
    <w:rsid w:val="00F26CF9"/>
    <w:rsid w:val="00F26D09"/>
    <w:rsid w:val="00F26D21"/>
    <w:rsid w:val="00F26DA6"/>
    <w:rsid w:val="00F26DE2"/>
    <w:rsid w:val="00F26F01"/>
    <w:rsid w:val="00F26F15"/>
    <w:rsid w:val="00F26F90"/>
    <w:rsid w:val="00F26FCC"/>
    <w:rsid w:val="00F27059"/>
    <w:rsid w:val="00F270F0"/>
    <w:rsid w:val="00F27144"/>
    <w:rsid w:val="00F2722E"/>
    <w:rsid w:val="00F27365"/>
    <w:rsid w:val="00F2739B"/>
    <w:rsid w:val="00F273C2"/>
    <w:rsid w:val="00F2747A"/>
    <w:rsid w:val="00F274AC"/>
    <w:rsid w:val="00F27542"/>
    <w:rsid w:val="00F2763D"/>
    <w:rsid w:val="00F278B6"/>
    <w:rsid w:val="00F27903"/>
    <w:rsid w:val="00F27910"/>
    <w:rsid w:val="00F2794C"/>
    <w:rsid w:val="00F279AC"/>
    <w:rsid w:val="00F27A47"/>
    <w:rsid w:val="00F27ACE"/>
    <w:rsid w:val="00F27B4C"/>
    <w:rsid w:val="00F27B86"/>
    <w:rsid w:val="00F27CB9"/>
    <w:rsid w:val="00F27DFB"/>
    <w:rsid w:val="00F27E86"/>
    <w:rsid w:val="00F27F6B"/>
    <w:rsid w:val="00F3007F"/>
    <w:rsid w:val="00F30242"/>
    <w:rsid w:val="00F3026A"/>
    <w:rsid w:val="00F30380"/>
    <w:rsid w:val="00F30579"/>
    <w:rsid w:val="00F3063C"/>
    <w:rsid w:val="00F306F9"/>
    <w:rsid w:val="00F308F4"/>
    <w:rsid w:val="00F3098C"/>
    <w:rsid w:val="00F309CD"/>
    <w:rsid w:val="00F30A64"/>
    <w:rsid w:val="00F30C4E"/>
    <w:rsid w:val="00F30DAE"/>
    <w:rsid w:val="00F30EC5"/>
    <w:rsid w:val="00F30FAD"/>
    <w:rsid w:val="00F3100D"/>
    <w:rsid w:val="00F31045"/>
    <w:rsid w:val="00F310DA"/>
    <w:rsid w:val="00F310F2"/>
    <w:rsid w:val="00F31513"/>
    <w:rsid w:val="00F315B1"/>
    <w:rsid w:val="00F316B9"/>
    <w:rsid w:val="00F317BD"/>
    <w:rsid w:val="00F31822"/>
    <w:rsid w:val="00F31AC1"/>
    <w:rsid w:val="00F31C25"/>
    <w:rsid w:val="00F31E89"/>
    <w:rsid w:val="00F31ED7"/>
    <w:rsid w:val="00F31FC5"/>
    <w:rsid w:val="00F32058"/>
    <w:rsid w:val="00F321D3"/>
    <w:rsid w:val="00F322AB"/>
    <w:rsid w:val="00F32391"/>
    <w:rsid w:val="00F323F1"/>
    <w:rsid w:val="00F3244B"/>
    <w:rsid w:val="00F32464"/>
    <w:rsid w:val="00F324DB"/>
    <w:rsid w:val="00F3251E"/>
    <w:rsid w:val="00F32554"/>
    <w:rsid w:val="00F3256F"/>
    <w:rsid w:val="00F325C0"/>
    <w:rsid w:val="00F3264D"/>
    <w:rsid w:val="00F326C9"/>
    <w:rsid w:val="00F32781"/>
    <w:rsid w:val="00F32A32"/>
    <w:rsid w:val="00F32D63"/>
    <w:rsid w:val="00F32D94"/>
    <w:rsid w:val="00F32DFE"/>
    <w:rsid w:val="00F32FA6"/>
    <w:rsid w:val="00F3309E"/>
    <w:rsid w:val="00F330B1"/>
    <w:rsid w:val="00F3314A"/>
    <w:rsid w:val="00F33229"/>
    <w:rsid w:val="00F3328F"/>
    <w:rsid w:val="00F33302"/>
    <w:rsid w:val="00F333B0"/>
    <w:rsid w:val="00F333F5"/>
    <w:rsid w:val="00F334E9"/>
    <w:rsid w:val="00F33508"/>
    <w:rsid w:val="00F3357D"/>
    <w:rsid w:val="00F335E4"/>
    <w:rsid w:val="00F3369E"/>
    <w:rsid w:val="00F336AC"/>
    <w:rsid w:val="00F3387F"/>
    <w:rsid w:val="00F338EB"/>
    <w:rsid w:val="00F338FE"/>
    <w:rsid w:val="00F33928"/>
    <w:rsid w:val="00F33A77"/>
    <w:rsid w:val="00F33AB4"/>
    <w:rsid w:val="00F33B1A"/>
    <w:rsid w:val="00F33B6B"/>
    <w:rsid w:val="00F33B70"/>
    <w:rsid w:val="00F33CFF"/>
    <w:rsid w:val="00F342A1"/>
    <w:rsid w:val="00F34374"/>
    <w:rsid w:val="00F3439B"/>
    <w:rsid w:val="00F346AF"/>
    <w:rsid w:val="00F34817"/>
    <w:rsid w:val="00F34AAA"/>
    <w:rsid w:val="00F34B78"/>
    <w:rsid w:val="00F34DC3"/>
    <w:rsid w:val="00F3513A"/>
    <w:rsid w:val="00F351B7"/>
    <w:rsid w:val="00F352F7"/>
    <w:rsid w:val="00F35301"/>
    <w:rsid w:val="00F3534C"/>
    <w:rsid w:val="00F354E9"/>
    <w:rsid w:val="00F35559"/>
    <w:rsid w:val="00F3562C"/>
    <w:rsid w:val="00F358F2"/>
    <w:rsid w:val="00F35A23"/>
    <w:rsid w:val="00F35A96"/>
    <w:rsid w:val="00F35AB2"/>
    <w:rsid w:val="00F35AED"/>
    <w:rsid w:val="00F35C9B"/>
    <w:rsid w:val="00F35D00"/>
    <w:rsid w:val="00F35E08"/>
    <w:rsid w:val="00F35E1A"/>
    <w:rsid w:val="00F35E5D"/>
    <w:rsid w:val="00F35FD0"/>
    <w:rsid w:val="00F3606F"/>
    <w:rsid w:val="00F360F5"/>
    <w:rsid w:val="00F36100"/>
    <w:rsid w:val="00F36543"/>
    <w:rsid w:val="00F3669F"/>
    <w:rsid w:val="00F366AB"/>
    <w:rsid w:val="00F36740"/>
    <w:rsid w:val="00F368B5"/>
    <w:rsid w:val="00F369D8"/>
    <w:rsid w:val="00F36A3E"/>
    <w:rsid w:val="00F36B26"/>
    <w:rsid w:val="00F36B4E"/>
    <w:rsid w:val="00F36E3E"/>
    <w:rsid w:val="00F36F12"/>
    <w:rsid w:val="00F36F5B"/>
    <w:rsid w:val="00F36F7E"/>
    <w:rsid w:val="00F36F96"/>
    <w:rsid w:val="00F36FAF"/>
    <w:rsid w:val="00F37174"/>
    <w:rsid w:val="00F371BD"/>
    <w:rsid w:val="00F3723E"/>
    <w:rsid w:val="00F37266"/>
    <w:rsid w:val="00F37317"/>
    <w:rsid w:val="00F37322"/>
    <w:rsid w:val="00F373AF"/>
    <w:rsid w:val="00F373C5"/>
    <w:rsid w:val="00F374E0"/>
    <w:rsid w:val="00F37711"/>
    <w:rsid w:val="00F37725"/>
    <w:rsid w:val="00F3776E"/>
    <w:rsid w:val="00F3779D"/>
    <w:rsid w:val="00F37800"/>
    <w:rsid w:val="00F378B3"/>
    <w:rsid w:val="00F379B0"/>
    <w:rsid w:val="00F37A16"/>
    <w:rsid w:val="00F37AF0"/>
    <w:rsid w:val="00F37B21"/>
    <w:rsid w:val="00F37B25"/>
    <w:rsid w:val="00F37CCD"/>
    <w:rsid w:val="00F37CF7"/>
    <w:rsid w:val="00F37F72"/>
    <w:rsid w:val="00F4010B"/>
    <w:rsid w:val="00F401A0"/>
    <w:rsid w:val="00F402D2"/>
    <w:rsid w:val="00F402D3"/>
    <w:rsid w:val="00F4037E"/>
    <w:rsid w:val="00F4058F"/>
    <w:rsid w:val="00F405F8"/>
    <w:rsid w:val="00F40737"/>
    <w:rsid w:val="00F40767"/>
    <w:rsid w:val="00F40785"/>
    <w:rsid w:val="00F407EA"/>
    <w:rsid w:val="00F4084E"/>
    <w:rsid w:val="00F40A4A"/>
    <w:rsid w:val="00F40AC5"/>
    <w:rsid w:val="00F40C51"/>
    <w:rsid w:val="00F40C5F"/>
    <w:rsid w:val="00F40D18"/>
    <w:rsid w:val="00F40ECE"/>
    <w:rsid w:val="00F41054"/>
    <w:rsid w:val="00F4107B"/>
    <w:rsid w:val="00F410F8"/>
    <w:rsid w:val="00F411AB"/>
    <w:rsid w:val="00F411D0"/>
    <w:rsid w:val="00F41277"/>
    <w:rsid w:val="00F4167D"/>
    <w:rsid w:val="00F4186A"/>
    <w:rsid w:val="00F41919"/>
    <w:rsid w:val="00F4193B"/>
    <w:rsid w:val="00F41A58"/>
    <w:rsid w:val="00F41B27"/>
    <w:rsid w:val="00F41C7D"/>
    <w:rsid w:val="00F41CA4"/>
    <w:rsid w:val="00F41CE4"/>
    <w:rsid w:val="00F41CF3"/>
    <w:rsid w:val="00F41D96"/>
    <w:rsid w:val="00F41DAF"/>
    <w:rsid w:val="00F41E3D"/>
    <w:rsid w:val="00F41EDB"/>
    <w:rsid w:val="00F41EEA"/>
    <w:rsid w:val="00F41FB3"/>
    <w:rsid w:val="00F42045"/>
    <w:rsid w:val="00F42052"/>
    <w:rsid w:val="00F42077"/>
    <w:rsid w:val="00F42290"/>
    <w:rsid w:val="00F4235E"/>
    <w:rsid w:val="00F424DD"/>
    <w:rsid w:val="00F42668"/>
    <w:rsid w:val="00F426FC"/>
    <w:rsid w:val="00F4274D"/>
    <w:rsid w:val="00F42936"/>
    <w:rsid w:val="00F429AD"/>
    <w:rsid w:val="00F429F7"/>
    <w:rsid w:val="00F42C15"/>
    <w:rsid w:val="00F42CBD"/>
    <w:rsid w:val="00F42E25"/>
    <w:rsid w:val="00F42EEB"/>
    <w:rsid w:val="00F4306D"/>
    <w:rsid w:val="00F430AC"/>
    <w:rsid w:val="00F430D7"/>
    <w:rsid w:val="00F430E3"/>
    <w:rsid w:val="00F43101"/>
    <w:rsid w:val="00F431A5"/>
    <w:rsid w:val="00F43258"/>
    <w:rsid w:val="00F4335F"/>
    <w:rsid w:val="00F43521"/>
    <w:rsid w:val="00F435FE"/>
    <w:rsid w:val="00F43646"/>
    <w:rsid w:val="00F43690"/>
    <w:rsid w:val="00F4379A"/>
    <w:rsid w:val="00F4389F"/>
    <w:rsid w:val="00F438A4"/>
    <w:rsid w:val="00F439A0"/>
    <w:rsid w:val="00F439C0"/>
    <w:rsid w:val="00F439FC"/>
    <w:rsid w:val="00F43AE7"/>
    <w:rsid w:val="00F43B15"/>
    <w:rsid w:val="00F43CFE"/>
    <w:rsid w:val="00F43EA1"/>
    <w:rsid w:val="00F43F16"/>
    <w:rsid w:val="00F43F6F"/>
    <w:rsid w:val="00F43FD2"/>
    <w:rsid w:val="00F43FE2"/>
    <w:rsid w:val="00F440C8"/>
    <w:rsid w:val="00F4426E"/>
    <w:rsid w:val="00F442F7"/>
    <w:rsid w:val="00F4438A"/>
    <w:rsid w:val="00F443A1"/>
    <w:rsid w:val="00F444FB"/>
    <w:rsid w:val="00F4450F"/>
    <w:rsid w:val="00F4469E"/>
    <w:rsid w:val="00F4476D"/>
    <w:rsid w:val="00F44956"/>
    <w:rsid w:val="00F44A0C"/>
    <w:rsid w:val="00F44A29"/>
    <w:rsid w:val="00F44ABB"/>
    <w:rsid w:val="00F44E7E"/>
    <w:rsid w:val="00F450C5"/>
    <w:rsid w:val="00F45233"/>
    <w:rsid w:val="00F45279"/>
    <w:rsid w:val="00F452EF"/>
    <w:rsid w:val="00F4532E"/>
    <w:rsid w:val="00F45468"/>
    <w:rsid w:val="00F45487"/>
    <w:rsid w:val="00F45534"/>
    <w:rsid w:val="00F45660"/>
    <w:rsid w:val="00F456B1"/>
    <w:rsid w:val="00F456E8"/>
    <w:rsid w:val="00F457D4"/>
    <w:rsid w:val="00F45A1F"/>
    <w:rsid w:val="00F45A33"/>
    <w:rsid w:val="00F45B5D"/>
    <w:rsid w:val="00F45CE4"/>
    <w:rsid w:val="00F45E6E"/>
    <w:rsid w:val="00F45EC6"/>
    <w:rsid w:val="00F45EC8"/>
    <w:rsid w:val="00F45F5A"/>
    <w:rsid w:val="00F46126"/>
    <w:rsid w:val="00F46133"/>
    <w:rsid w:val="00F462AB"/>
    <w:rsid w:val="00F46340"/>
    <w:rsid w:val="00F463BA"/>
    <w:rsid w:val="00F46473"/>
    <w:rsid w:val="00F464CC"/>
    <w:rsid w:val="00F46631"/>
    <w:rsid w:val="00F4665D"/>
    <w:rsid w:val="00F46683"/>
    <w:rsid w:val="00F46778"/>
    <w:rsid w:val="00F46A70"/>
    <w:rsid w:val="00F46BC6"/>
    <w:rsid w:val="00F46CE8"/>
    <w:rsid w:val="00F46D74"/>
    <w:rsid w:val="00F46E19"/>
    <w:rsid w:val="00F46F9C"/>
    <w:rsid w:val="00F46FC9"/>
    <w:rsid w:val="00F4720F"/>
    <w:rsid w:val="00F4738D"/>
    <w:rsid w:val="00F473FF"/>
    <w:rsid w:val="00F47732"/>
    <w:rsid w:val="00F47797"/>
    <w:rsid w:val="00F47888"/>
    <w:rsid w:val="00F47A2B"/>
    <w:rsid w:val="00F47BF5"/>
    <w:rsid w:val="00F47DB0"/>
    <w:rsid w:val="00F50050"/>
    <w:rsid w:val="00F50051"/>
    <w:rsid w:val="00F500E1"/>
    <w:rsid w:val="00F50189"/>
    <w:rsid w:val="00F5018A"/>
    <w:rsid w:val="00F50325"/>
    <w:rsid w:val="00F504A8"/>
    <w:rsid w:val="00F50541"/>
    <w:rsid w:val="00F50916"/>
    <w:rsid w:val="00F50938"/>
    <w:rsid w:val="00F50ABB"/>
    <w:rsid w:val="00F50B1A"/>
    <w:rsid w:val="00F50B9D"/>
    <w:rsid w:val="00F50C2A"/>
    <w:rsid w:val="00F50DD9"/>
    <w:rsid w:val="00F50E24"/>
    <w:rsid w:val="00F510A1"/>
    <w:rsid w:val="00F516A8"/>
    <w:rsid w:val="00F516DD"/>
    <w:rsid w:val="00F517FC"/>
    <w:rsid w:val="00F51815"/>
    <w:rsid w:val="00F518A4"/>
    <w:rsid w:val="00F518E2"/>
    <w:rsid w:val="00F51959"/>
    <w:rsid w:val="00F51B61"/>
    <w:rsid w:val="00F51CBA"/>
    <w:rsid w:val="00F51F6E"/>
    <w:rsid w:val="00F51F7C"/>
    <w:rsid w:val="00F52111"/>
    <w:rsid w:val="00F52345"/>
    <w:rsid w:val="00F52369"/>
    <w:rsid w:val="00F52393"/>
    <w:rsid w:val="00F5248C"/>
    <w:rsid w:val="00F524CD"/>
    <w:rsid w:val="00F52646"/>
    <w:rsid w:val="00F526B7"/>
    <w:rsid w:val="00F52774"/>
    <w:rsid w:val="00F528DD"/>
    <w:rsid w:val="00F528E8"/>
    <w:rsid w:val="00F52A17"/>
    <w:rsid w:val="00F52AB9"/>
    <w:rsid w:val="00F52B00"/>
    <w:rsid w:val="00F52B83"/>
    <w:rsid w:val="00F52CF8"/>
    <w:rsid w:val="00F52E64"/>
    <w:rsid w:val="00F52FE8"/>
    <w:rsid w:val="00F5304D"/>
    <w:rsid w:val="00F5313D"/>
    <w:rsid w:val="00F531AF"/>
    <w:rsid w:val="00F531C0"/>
    <w:rsid w:val="00F534F5"/>
    <w:rsid w:val="00F53551"/>
    <w:rsid w:val="00F5355C"/>
    <w:rsid w:val="00F53756"/>
    <w:rsid w:val="00F5375C"/>
    <w:rsid w:val="00F538B0"/>
    <w:rsid w:val="00F5393E"/>
    <w:rsid w:val="00F539B9"/>
    <w:rsid w:val="00F539EA"/>
    <w:rsid w:val="00F53D32"/>
    <w:rsid w:val="00F53D91"/>
    <w:rsid w:val="00F5403F"/>
    <w:rsid w:val="00F5409A"/>
    <w:rsid w:val="00F540EE"/>
    <w:rsid w:val="00F54109"/>
    <w:rsid w:val="00F541A6"/>
    <w:rsid w:val="00F542D0"/>
    <w:rsid w:val="00F54391"/>
    <w:rsid w:val="00F5447A"/>
    <w:rsid w:val="00F5456F"/>
    <w:rsid w:val="00F5469F"/>
    <w:rsid w:val="00F547ED"/>
    <w:rsid w:val="00F54830"/>
    <w:rsid w:val="00F54850"/>
    <w:rsid w:val="00F549E7"/>
    <w:rsid w:val="00F54A0A"/>
    <w:rsid w:val="00F54A8C"/>
    <w:rsid w:val="00F54AA4"/>
    <w:rsid w:val="00F54B47"/>
    <w:rsid w:val="00F54C34"/>
    <w:rsid w:val="00F54CAE"/>
    <w:rsid w:val="00F54DDD"/>
    <w:rsid w:val="00F54E6E"/>
    <w:rsid w:val="00F54ED6"/>
    <w:rsid w:val="00F54EEE"/>
    <w:rsid w:val="00F5513F"/>
    <w:rsid w:val="00F5535D"/>
    <w:rsid w:val="00F5552E"/>
    <w:rsid w:val="00F555B1"/>
    <w:rsid w:val="00F5565E"/>
    <w:rsid w:val="00F55797"/>
    <w:rsid w:val="00F55B31"/>
    <w:rsid w:val="00F55C1B"/>
    <w:rsid w:val="00F55CB7"/>
    <w:rsid w:val="00F55CFE"/>
    <w:rsid w:val="00F55CFF"/>
    <w:rsid w:val="00F55DAB"/>
    <w:rsid w:val="00F55F1D"/>
    <w:rsid w:val="00F55F4B"/>
    <w:rsid w:val="00F55FA2"/>
    <w:rsid w:val="00F56021"/>
    <w:rsid w:val="00F56079"/>
    <w:rsid w:val="00F561C6"/>
    <w:rsid w:val="00F5620D"/>
    <w:rsid w:val="00F56399"/>
    <w:rsid w:val="00F56500"/>
    <w:rsid w:val="00F56605"/>
    <w:rsid w:val="00F56608"/>
    <w:rsid w:val="00F566AE"/>
    <w:rsid w:val="00F5677A"/>
    <w:rsid w:val="00F567F3"/>
    <w:rsid w:val="00F56BA0"/>
    <w:rsid w:val="00F56C23"/>
    <w:rsid w:val="00F56EB9"/>
    <w:rsid w:val="00F57008"/>
    <w:rsid w:val="00F5701E"/>
    <w:rsid w:val="00F57344"/>
    <w:rsid w:val="00F575B8"/>
    <w:rsid w:val="00F57696"/>
    <w:rsid w:val="00F57776"/>
    <w:rsid w:val="00F577EB"/>
    <w:rsid w:val="00F578F8"/>
    <w:rsid w:val="00F57B47"/>
    <w:rsid w:val="00F57B51"/>
    <w:rsid w:val="00F57C91"/>
    <w:rsid w:val="00F57CA7"/>
    <w:rsid w:val="00F57D79"/>
    <w:rsid w:val="00F57E31"/>
    <w:rsid w:val="00F57F2B"/>
    <w:rsid w:val="00F57F2E"/>
    <w:rsid w:val="00F57FAA"/>
    <w:rsid w:val="00F57FB1"/>
    <w:rsid w:val="00F602C7"/>
    <w:rsid w:val="00F6059F"/>
    <w:rsid w:val="00F60932"/>
    <w:rsid w:val="00F60AA4"/>
    <w:rsid w:val="00F60B22"/>
    <w:rsid w:val="00F60CBE"/>
    <w:rsid w:val="00F60D6A"/>
    <w:rsid w:val="00F60DB5"/>
    <w:rsid w:val="00F60DD9"/>
    <w:rsid w:val="00F60FBB"/>
    <w:rsid w:val="00F60FE0"/>
    <w:rsid w:val="00F610C8"/>
    <w:rsid w:val="00F6112C"/>
    <w:rsid w:val="00F61213"/>
    <w:rsid w:val="00F61222"/>
    <w:rsid w:val="00F61342"/>
    <w:rsid w:val="00F61347"/>
    <w:rsid w:val="00F61473"/>
    <w:rsid w:val="00F6159E"/>
    <w:rsid w:val="00F61704"/>
    <w:rsid w:val="00F61736"/>
    <w:rsid w:val="00F617E5"/>
    <w:rsid w:val="00F61861"/>
    <w:rsid w:val="00F618AC"/>
    <w:rsid w:val="00F619B9"/>
    <w:rsid w:val="00F61BCF"/>
    <w:rsid w:val="00F61C63"/>
    <w:rsid w:val="00F61D2A"/>
    <w:rsid w:val="00F61D51"/>
    <w:rsid w:val="00F61DDA"/>
    <w:rsid w:val="00F61F5F"/>
    <w:rsid w:val="00F61FE4"/>
    <w:rsid w:val="00F6202D"/>
    <w:rsid w:val="00F62033"/>
    <w:rsid w:val="00F620B2"/>
    <w:rsid w:val="00F62182"/>
    <w:rsid w:val="00F621B1"/>
    <w:rsid w:val="00F621D8"/>
    <w:rsid w:val="00F62365"/>
    <w:rsid w:val="00F6245A"/>
    <w:rsid w:val="00F624A0"/>
    <w:rsid w:val="00F626AF"/>
    <w:rsid w:val="00F626FD"/>
    <w:rsid w:val="00F62702"/>
    <w:rsid w:val="00F629E7"/>
    <w:rsid w:val="00F62AC5"/>
    <w:rsid w:val="00F62B53"/>
    <w:rsid w:val="00F62C5C"/>
    <w:rsid w:val="00F62D03"/>
    <w:rsid w:val="00F62DBB"/>
    <w:rsid w:val="00F62F77"/>
    <w:rsid w:val="00F63310"/>
    <w:rsid w:val="00F6345F"/>
    <w:rsid w:val="00F634EE"/>
    <w:rsid w:val="00F636AD"/>
    <w:rsid w:val="00F636CA"/>
    <w:rsid w:val="00F637CE"/>
    <w:rsid w:val="00F6398C"/>
    <w:rsid w:val="00F639BF"/>
    <w:rsid w:val="00F639F0"/>
    <w:rsid w:val="00F63B12"/>
    <w:rsid w:val="00F63BDA"/>
    <w:rsid w:val="00F63CD4"/>
    <w:rsid w:val="00F63D27"/>
    <w:rsid w:val="00F63D75"/>
    <w:rsid w:val="00F63DBF"/>
    <w:rsid w:val="00F63DDE"/>
    <w:rsid w:val="00F63E29"/>
    <w:rsid w:val="00F63EB9"/>
    <w:rsid w:val="00F63EC2"/>
    <w:rsid w:val="00F6403C"/>
    <w:rsid w:val="00F64416"/>
    <w:rsid w:val="00F6445E"/>
    <w:rsid w:val="00F64502"/>
    <w:rsid w:val="00F64662"/>
    <w:rsid w:val="00F6470B"/>
    <w:rsid w:val="00F647AD"/>
    <w:rsid w:val="00F6482B"/>
    <w:rsid w:val="00F6488E"/>
    <w:rsid w:val="00F649C8"/>
    <w:rsid w:val="00F64A14"/>
    <w:rsid w:val="00F64A5D"/>
    <w:rsid w:val="00F64C64"/>
    <w:rsid w:val="00F64E97"/>
    <w:rsid w:val="00F64F1B"/>
    <w:rsid w:val="00F64F52"/>
    <w:rsid w:val="00F6508A"/>
    <w:rsid w:val="00F65129"/>
    <w:rsid w:val="00F651FD"/>
    <w:rsid w:val="00F652EA"/>
    <w:rsid w:val="00F655CA"/>
    <w:rsid w:val="00F6565B"/>
    <w:rsid w:val="00F65700"/>
    <w:rsid w:val="00F65856"/>
    <w:rsid w:val="00F659E7"/>
    <w:rsid w:val="00F65C8D"/>
    <w:rsid w:val="00F65D6B"/>
    <w:rsid w:val="00F65DF2"/>
    <w:rsid w:val="00F65E7C"/>
    <w:rsid w:val="00F65F69"/>
    <w:rsid w:val="00F65FA6"/>
    <w:rsid w:val="00F661C3"/>
    <w:rsid w:val="00F661FC"/>
    <w:rsid w:val="00F66297"/>
    <w:rsid w:val="00F66389"/>
    <w:rsid w:val="00F663AE"/>
    <w:rsid w:val="00F663BC"/>
    <w:rsid w:val="00F663FA"/>
    <w:rsid w:val="00F6640B"/>
    <w:rsid w:val="00F66571"/>
    <w:rsid w:val="00F6657C"/>
    <w:rsid w:val="00F66630"/>
    <w:rsid w:val="00F66685"/>
    <w:rsid w:val="00F66704"/>
    <w:rsid w:val="00F66832"/>
    <w:rsid w:val="00F66866"/>
    <w:rsid w:val="00F668B3"/>
    <w:rsid w:val="00F66A29"/>
    <w:rsid w:val="00F66B4D"/>
    <w:rsid w:val="00F66D9E"/>
    <w:rsid w:val="00F66E28"/>
    <w:rsid w:val="00F66FDB"/>
    <w:rsid w:val="00F66FEF"/>
    <w:rsid w:val="00F671AA"/>
    <w:rsid w:val="00F6743B"/>
    <w:rsid w:val="00F6743D"/>
    <w:rsid w:val="00F675BA"/>
    <w:rsid w:val="00F67761"/>
    <w:rsid w:val="00F679B6"/>
    <w:rsid w:val="00F679F0"/>
    <w:rsid w:val="00F67AB0"/>
    <w:rsid w:val="00F67D3F"/>
    <w:rsid w:val="00F67D43"/>
    <w:rsid w:val="00F67D91"/>
    <w:rsid w:val="00F67DC2"/>
    <w:rsid w:val="00F67E2D"/>
    <w:rsid w:val="00F67EDB"/>
    <w:rsid w:val="00F70124"/>
    <w:rsid w:val="00F7055F"/>
    <w:rsid w:val="00F7064A"/>
    <w:rsid w:val="00F7077B"/>
    <w:rsid w:val="00F70A47"/>
    <w:rsid w:val="00F70AD0"/>
    <w:rsid w:val="00F70B11"/>
    <w:rsid w:val="00F70B52"/>
    <w:rsid w:val="00F70BDF"/>
    <w:rsid w:val="00F70CC6"/>
    <w:rsid w:val="00F70E65"/>
    <w:rsid w:val="00F70F54"/>
    <w:rsid w:val="00F71079"/>
    <w:rsid w:val="00F7108C"/>
    <w:rsid w:val="00F710A4"/>
    <w:rsid w:val="00F71375"/>
    <w:rsid w:val="00F71538"/>
    <w:rsid w:val="00F71553"/>
    <w:rsid w:val="00F71686"/>
    <w:rsid w:val="00F716CA"/>
    <w:rsid w:val="00F719A0"/>
    <w:rsid w:val="00F719DB"/>
    <w:rsid w:val="00F71B5E"/>
    <w:rsid w:val="00F71B8C"/>
    <w:rsid w:val="00F71BBC"/>
    <w:rsid w:val="00F71C50"/>
    <w:rsid w:val="00F71FCE"/>
    <w:rsid w:val="00F71FD7"/>
    <w:rsid w:val="00F72025"/>
    <w:rsid w:val="00F720D2"/>
    <w:rsid w:val="00F7219F"/>
    <w:rsid w:val="00F72207"/>
    <w:rsid w:val="00F72281"/>
    <w:rsid w:val="00F72294"/>
    <w:rsid w:val="00F722AE"/>
    <w:rsid w:val="00F722B5"/>
    <w:rsid w:val="00F722BB"/>
    <w:rsid w:val="00F722F9"/>
    <w:rsid w:val="00F72308"/>
    <w:rsid w:val="00F72448"/>
    <w:rsid w:val="00F72482"/>
    <w:rsid w:val="00F72524"/>
    <w:rsid w:val="00F72532"/>
    <w:rsid w:val="00F72729"/>
    <w:rsid w:val="00F72758"/>
    <w:rsid w:val="00F7285B"/>
    <w:rsid w:val="00F72936"/>
    <w:rsid w:val="00F72C1F"/>
    <w:rsid w:val="00F72D4A"/>
    <w:rsid w:val="00F72DFD"/>
    <w:rsid w:val="00F72E8C"/>
    <w:rsid w:val="00F72EE3"/>
    <w:rsid w:val="00F73023"/>
    <w:rsid w:val="00F73077"/>
    <w:rsid w:val="00F730AB"/>
    <w:rsid w:val="00F73280"/>
    <w:rsid w:val="00F732CD"/>
    <w:rsid w:val="00F7355D"/>
    <w:rsid w:val="00F73679"/>
    <w:rsid w:val="00F7372D"/>
    <w:rsid w:val="00F73889"/>
    <w:rsid w:val="00F73B74"/>
    <w:rsid w:val="00F73C10"/>
    <w:rsid w:val="00F73CBF"/>
    <w:rsid w:val="00F73D37"/>
    <w:rsid w:val="00F73E3C"/>
    <w:rsid w:val="00F73F68"/>
    <w:rsid w:val="00F7402B"/>
    <w:rsid w:val="00F74113"/>
    <w:rsid w:val="00F7454B"/>
    <w:rsid w:val="00F745E2"/>
    <w:rsid w:val="00F7466E"/>
    <w:rsid w:val="00F74774"/>
    <w:rsid w:val="00F74CFF"/>
    <w:rsid w:val="00F74E00"/>
    <w:rsid w:val="00F74E37"/>
    <w:rsid w:val="00F74E89"/>
    <w:rsid w:val="00F75061"/>
    <w:rsid w:val="00F750D3"/>
    <w:rsid w:val="00F75109"/>
    <w:rsid w:val="00F75170"/>
    <w:rsid w:val="00F7527A"/>
    <w:rsid w:val="00F752B9"/>
    <w:rsid w:val="00F752BC"/>
    <w:rsid w:val="00F752E9"/>
    <w:rsid w:val="00F75330"/>
    <w:rsid w:val="00F753B0"/>
    <w:rsid w:val="00F753F2"/>
    <w:rsid w:val="00F7555A"/>
    <w:rsid w:val="00F75678"/>
    <w:rsid w:val="00F75715"/>
    <w:rsid w:val="00F758DF"/>
    <w:rsid w:val="00F75DE3"/>
    <w:rsid w:val="00F75DE5"/>
    <w:rsid w:val="00F75E05"/>
    <w:rsid w:val="00F75E6B"/>
    <w:rsid w:val="00F76013"/>
    <w:rsid w:val="00F76105"/>
    <w:rsid w:val="00F76148"/>
    <w:rsid w:val="00F761DB"/>
    <w:rsid w:val="00F76378"/>
    <w:rsid w:val="00F763D8"/>
    <w:rsid w:val="00F7653E"/>
    <w:rsid w:val="00F76584"/>
    <w:rsid w:val="00F7661E"/>
    <w:rsid w:val="00F767A1"/>
    <w:rsid w:val="00F768D4"/>
    <w:rsid w:val="00F76CDC"/>
    <w:rsid w:val="00F76CF9"/>
    <w:rsid w:val="00F76D02"/>
    <w:rsid w:val="00F76F58"/>
    <w:rsid w:val="00F76FCF"/>
    <w:rsid w:val="00F7703B"/>
    <w:rsid w:val="00F771FF"/>
    <w:rsid w:val="00F77250"/>
    <w:rsid w:val="00F7739A"/>
    <w:rsid w:val="00F773CB"/>
    <w:rsid w:val="00F77444"/>
    <w:rsid w:val="00F7746B"/>
    <w:rsid w:val="00F7746F"/>
    <w:rsid w:val="00F7758E"/>
    <w:rsid w:val="00F77638"/>
    <w:rsid w:val="00F77707"/>
    <w:rsid w:val="00F7774F"/>
    <w:rsid w:val="00F7778F"/>
    <w:rsid w:val="00F7782C"/>
    <w:rsid w:val="00F77926"/>
    <w:rsid w:val="00F779D6"/>
    <w:rsid w:val="00F77B38"/>
    <w:rsid w:val="00F77C0D"/>
    <w:rsid w:val="00F77C8D"/>
    <w:rsid w:val="00F77CCF"/>
    <w:rsid w:val="00F77CE3"/>
    <w:rsid w:val="00F77D57"/>
    <w:rsid w:val="00F77DD1"/>
    <w:rsid w:val="00F77E1E"/>
    <w:rsid w:val="00F77F9C"/>
    <w:rsid w:val="00F77FE5"/>
    <w:rsid w:val="00F7CC20"/>
    <w:rsid w:val="00F80005"/>
    <w:rsid w:val="00F80007"/>
    <w:rsid w:val="00F8007A"/>
    <w:rsid w:val="00F800A3"/>
    <w:rsid w:val="00F800AE"/>
    <w:rsid w:val="00F80117"/>
    <w:rsid w:val="00F802F9"/>
    <w:rsid w:val="00F80413"/>
    <w:rsid w:val="00F804BA"/>
    <w:rsid w:val="00F805F1"/>
    <w:rsid w:val="00F80660"/>
    <w:rsid w:val="00F8070D"/>
    <w:rsid w:val="00F80759"/>
    <w:rsid w:val="00F807E1"/>
    <w:rsid w:val="00F80942"/>
    <w:rsid w:val="00F80A23"/>
    <w:rsid w:val="00F80B54"/>
    <w:rsid w:val="00F80C95"/>
    <w:rsid w:val="00F80D31"/>
    <w:rsid w:val="00F80D37"/>
    <w:rsid w:val="00F80D65"/>
    <w:rsid w:val="00F80E95"/>
    <w:rsid w:val="00F80F34"/>
    <w:rsid w:val="00F81023"/>
    <w:rsid w:val="00F81213"/>
    <w:rsid w:val="00F8132E"/>
    <w:rsid w:val="00F81439"/>
    <w:rsid w:val="00F81462"/>
    <w:rsid w:val="00F8161B"/>
    <w:rsid w:val="00F81658"/>
    <w:rsid w:val="00F8166B"/>
    <w:rsid w:val="00F817D4"/>
    <w:rsid w:val="00F817FE"/>
    <w:rsid w:val="00F81820"/>
    <w:rsid w:val="00F8189E"/>
    <w:rsid w:val="00F81A8D"/>
    <w:rsid w:val="00F81C2E"/>
    <w:rsid w:val="00F81DB7"/>
    <w:rsid w:val="00F81E00"/>
    <w:rsid w:val="00F8207D"/>
    <w:rsid w:val="00F820C3"/>
    <w:rsid w:val="00F82193"/>
    <w:rsid w:val="00F82223"/>
    <w:rsid w:val="00F8226C"/>
    <w:rsid w:val="00F824BA"/>
    <w:rsid w:val="00F824BF"/>
    <w:rsid w:val="00F824DE"/>
    <w:rsid w:val="00F826A5"/>
    <w:rsid w:val="00F82720"/>
    <w:rsid w:val="00F827E1"/>
    <w:rsid w:val="00F82923"/>
    <w:rsid w:val="00F8292A"/>
    <w:rsid w:val="00F82934"/>
    <w:rsid w:val="00F8295E"/>
    <w:rsid w:val="00F82997"/>
    <w:rsid w:val="00F829F8"/>
    <w:rsid w:val="00F82A01"/>
    <w:rsid w:val="00F82A09"/>
    <w:rsid w:val="00F82B15"/>
    <w:rsid w:val="00F82CAB"/>
    <w:rsid w:val="00F82CBC"/>
    <w:rsid w:val="00F82F5A"/>
    <w:rsid w:val="00F8304E"/>
    <w:rsid w:val="00F831FB"/>
    <w:rsid w:val="00F83299"/>
    <w:rsid w:val="00F83342"/>
    <w:rsid w:val="00F833B1"/>
    <w:rsid w:val="00F83403"/>
    <w:rsid w:val="00F835ED"/>
    <w:rsid w:val="00F83635"/>
    <w:rsid w:val="00F83645"/>
    <w:rsid w:val="00F8367B"/>
    <w:rsid w:val="00F8376D"/>
    <w:rsid w:val="00F8378B"/>
    <w:rsid w:val="00F837FF"/>
    <w:rsid w:val="00F838D9"/>
    <w:rsid w:val="00F83A0A"/>
    <w:rsid w:val="00F83B7F"/>
    <w:rsid w:val="00F83C78"/>
    <w:rsid w:val="00F83D76"/>
    <w:rsid w:val="00F83E24"/>
    <w:rsid w:val="00F83FE7"/>
    <w:rsid w:val="00F840A2"/>
    <w:rsid w:val="00F84140"/>
    <w:rsid w:val="00F84195"/>
    <w:rsid w:val="00F84199"/>
    <w:rsid w:val="00F841E3"/>
    <w:rsid w:val="00F8424A"/>
    <w:rsid w:val="00F84313"/>
    <w:rsid w:val="00F844B3"/>
    <w:rsid w:val="00F844E0"/>
    <w:rsid w:val="00F845F5"/>
    <w:rsid w:val="00F8468F"/>
    <w:rsid w:val="00F84763"/>
    <w:rsid w:val="00F848AF"/>
    <w:rsid w:val="00F84952"/>
    <w:rsid w:val="00F84B58"/>
    <w:rsid w:val="00F84C14"/>
    <w:rsid w:val="00F84C50"/>
    <w:rsid w:val="00F84C7D"/>
    <w:rsid w:val="00F84CB5"/>
    <w:rsid w:val="00F84EE3"/>
    <w:rsid w:val="00F84FBF"/>
    <w:rsid w:val="00F84FFF"/>
    <w:rsid w:val="00F85045"/>
    <w:rsid w:val="00F850E5"/>
    <w:rsid w:val="00F8512B"/>
    <w:rsid w:val="00F85139"/>
    <w:rsid w:val="00F85234"/>
    <w:rsid w:val="00F8527E"/>
    <w:rsid w:val="00F852E6"/>
    <w:rsid w:val="00F853DE"/>
    <w:rsid w:val="00F85545"/>
    <w:rsid w:val="00F85557"/>
    <w:rsid w:val="00F85680"/>
    <w:rsid w:val="00F856A1"/>
    <w:rsid w:val="00F857F7"/>
    <w:rsid w:val="00F85918"/>
    <w:rsid w:val="00F8599B"/>
    <w:rsid w:val="00F85C12"/>
    <w:rsid w:val="00F85F23"/>
    <w:rsid w:val="00F8606D"/>
    <w:rsid w:val="00F860A5"/>
    <w:rsid w:val="00F860DE"/>
    <w:rsid w:val="00F86138"/>
    <w:rsid w:val="00F86197"/>
    <w:rsid w:val="00F86238"/>
    <w:rsid w:val="00F86250"/>
    <w:rsid w:val="00F86399"/>
    <w:rsid w:val="00F8649A"/>
    <w:rsid w:val="00F864D7"/>
    <w:rsid w:val="00F864DA"/>
    <w:rsid w:val="00F864F5"/>
    <w:rsid w:val="00F8655B"/>
    <w:rsid w:val="00F865E7"/>
    <w:rsid w:val="00F866B6"/>
    <w:rsid w:val="00F867FF"/>
    <w:rsid w:val="00F86886"/>
    <w:rsid w:val="00F86996"/>
    <w:rsid w:val="00F869EE"/>
    <w:rsid w:val="00F86A20"/>
    <w:rsid w:val="00F86A7F"/>
    <w:rsid w:val="00F86AD4"/>
    <w:rsid w:val="00F86B32"/>
    <w:rsid w:val="00F86B73"/>
    <w:rsid w:val="00F86B87"/>
    <w:rsid w:val="00F86C39"/>
    <w:rsid w:val="00F86C7F"/>
    <w:rsid w:val="00F86CB9"/>
    <w:rsid w:val="00F86D19"/>
    <w:rsid w:val="00F86D41"/>
    <w:rsid w:val="00F86DA3"/>
    <w:rsid w:val="00F86E85"/>
    <w:rsid w:val="00F86F7C"/>
    <w:rsid w:val="00F86FF9"/>
    <w:rsid w:val="00F8704A"/>
    <w:rsid w:val="00F87103"/>
    <w:rsid w:val="00F87415"/>
    <w:rsid w:val="00F8741E"/>
    <w:rsid w:val="00F87622"/>
    <w:rsid w:val="00F87660"/>
    <w:rsid w:val="00F87678"/>
    <w:rsid w:val="00F876E4"/>
    <w:rsid w:val="00F878CA"/>
    <w:rsid w:val="00F879B1"/>
    <w:rsid w:val="00F87A31"/>
    <w:rsid w:val="00F87A6B"/>
    <w:rsid w:val="00F87BB1"/>
    <w:rsid w:val="00F87D17"/>
    <w:rsid w:val="00F87F57"/>
    <w:rsid w:val="00F87FE3"/>
    <w:rsid w:val="00F900CC"/>
    <w:rsid w:val="00F90146"/>
    <w:rsid w:val="00F9018C"/>
    <w:rsid w:val="00F90202"/>
    <w:rsid w:val="00F90483"/>
    <w:rsid w:val="00F904E1"/>
    <w:rsid w:val="00F9070A"/>
    <w:rsid w:val="00F9076A"/>
    <w:rsid w:val="00F908B5"/>
    <w:rsid w:val="00F90951"/>
    <w:rsid w:val="00F90A83"/>
    <w:rsid w:val="00F90B66"/>
    <w:rsid w:val="00F90D19"/>
    <w:rsid w:val="00F90DF4"/>
    <w:rsid w:val="00F90E31"/>
    <w:rsid w:val="00F90E58"/>
    <w:rsid w:val="00F90E5F"/>
    <w:rsid w:val="00F90EFD"/>
    <w:rsid w:val="00F9117C"/>
    <w:rsid w:val="00F91321"/>
    <w:rsid w:val="00F913B5"/>
    <w:rsid w:val="00F914E5"/>
    <w:rsid w:val="00F915B1"/>
    <w:rsid w:val="00F915F9"/>
    <w:rsid w:val="00F91601"/>
    <w:rsid w:val="00F91613"/>
    <w:rsid w:val="00F91668"/>
    <w:rsid w:val="00F9167D"/>
    <w:rsid w:val="00F919B4"/>
    <w:rsid w:val="00F91A73"/>
    <w:rsid w:val="00F91B24"/>
    <w:rsid w:val="00F91C7F"/>
    <w:rsid w:val="00F91D13"/>
    <w:rsid w:val="00F91E0A"/>
    <w:rsid w:val="00F91EAC"/>
    <w:rsid w:val="00F91FE7"/>
    <w:rsid w:val="00F92008"/>
    <w:rsid w:val="00F9202F"/>
    <w:rsid w:val="00F9210D"/>
    <w:rsid w:val="00F921D4"/>
    <w:rsid w:val="00F921D7"/>
    <w:rsid w:val="00F92469"/>
    <w:rsid w:val="00F924CD"/>
    <w:rsid w:val="00F92533"/>
    <w:rsid w:val="00F92641"/>
    <w:rsid w:val="00F92777"/>
    <w:rsid w:val="00F92804"/>
    <w:rsid w:val="00F92995"/>
    <w:rsid w:val="00F92B9E"/>
    <w:rsid w:val="00F92BC9"/>
    <w:rsid w:val="00F92CFB"/>
    <w:rsid w:val="00F92D83"/>
    <w:rsid w:val="00F92E34"/>
    <w:rsid w:val="00F92EB7"/>
    <w:rsid w:val="00F92EE1"/>
    <w:rsid w:val="00F92F93"/>
    <w:rsid w:val="00F93093"/>
    <w:rsid w:val="00F93248"/>
    <w:rsid w:val="00F933E5"/>
    <w:rsid w:val="00F933F9"/>
    <w:rsid w:val="00F93484"/>
    <w:rsid w:val="00F9354D"/>
    <w:rsid w:val="00F93663"/>
    <w:rsid w:val="00F936A6"/>
    <w:rsid w:val="00F936DE"/>
    <w:rsid w:val="00F9376A"/>
    <w:rsid w:val="00F93878"/>
    <w:rsid w:val="00F93A5D"/>
    <w:rsid w:val="00F93E60"/>
    <w:rsid w:val="00F93E96"/>
    <w:rsid w:val="00F93ECE"/>
    <w:rsid w:val="00F93F41"/>
    <w:rsid w:val="00F94045"/>
    <w:rsid w:val="00F94187"/>
    <w:rsid w:val="00F941B7"/>
    <w:rsid w:val="00F9426F"/>
    <w:rsid w:val="00F9436C"/>
    <w:rsid w:val="00F94433"/>
    <w:rsid w:val="00F94580"/>
    <w:rsid w:val="00F947F0"/>
    <w:rsid w:val="00F94813"/>
    <w:rsid w:val="00F94B8C"/>
    <w:rsid w:val="00F94C54"/>
    <w:rsid w:val="00F94DDC"/>
    <w:rsid w:val="00F94EF5"/>
    <w:rsid w:val="00F94F02"/>
    <w:rsid w:val="00F95011"/>
    <w:rsid w:val="00F9511A"/>
    <w:rsid w:val="00F95256"/>
    <w:rsid w:val="00F95391"/>
    <w:rsid w:val="00F954C1"/>
    <w:rsid w:val="00F9555F"/>
    <w:rsid w:val="00F9565F"/>
    <w:rsid w:val="00F95665"/>
    <w:rsid w:val="00F9577B"/>
    <w:rsid w:val="00F9588E"/>
    <w:rsid w:val="00F958FD"/>
    <w:rsid w:val="00F95968"/>
    <w:rsid w:val="00F95B51"/>
    <w:rsid w:val="00F95DA9"/>
    <w:rsid w:val="00F95DB3"/>
    <w:rsid w:val="00F95EE2"/>
    <w:rsid w:val="00F95F30"/>
    <w:rsid w:val="00F960E1"/>
    <w:rsid w:val="00F9636C"/>
    <w:rsid w:val="00F9639C"/>
    <w:rsid w:val="00F96595"/>
    <w:rsid w:val="00F965F3"/>
    <w:rsid w:val="00F965F8"/>
    <w:rsid w:val="00F96687"/>
    <w:rsid w:val="00F966FF"/>
    <w:rsid w:val="00F96780"/>
    <w:rsid w:val="00F967A6"/>
    <w:rsid w:val="00F968D1"/>
    <w:rsid w:val="00F96911"/>
    <w:rsid w:val="00F9694A"/>
    <w:rsid w:val="00F969E2"/>
    <w:rsid w:val="00F96ACF"/>
    <w:rsid w:val="00F96B04"/>
    <w:rsid w:val="00F96C60"/>
    <w:rsid w:val="00F96DA3"/>
    <w:rsid w:val="00F96DCC"/>
    <w:rsid w:val="00F96E73"/>
    <w:rsid w:val="00F96F43"/>
    <w:rsid w:val="00F96F5A"/>
    <w:rsid w:val="00F97011"/>
    <w:rsid w:val="00F9704C"/>
    <w:rsid w:val="00F97122"/>
    <w:rsid w:val="00F971FB"/>
    <w:rsid w:val="00F975CD"/>
    <w:rsid w:val="00F975D3"/>
    <w:rsid w:val="00F977A7"/>
    <w:rsid w:val="00F9789C"/>
    <w:rsid w:val="00F9791F"/>
    <w:rsid w:val="00F979EF"/>
    <w:rsid w:val="00F97C5D"/>
    <w:rsid w:val="00F97C98"/>
    <w:rsid w:val="00F97D8C"/>
    <w:rsid w:val="00F97E21"/>
    <w:rsid w:val="00FA01C3"/>
    <w:rsid w:val="00FA02B1"/>
    <w:rsid w:val="00FA03D2"/>
    <w:rsid w:val="00FA0557"/>
    <w:rsid w:val="00FA057E"/>
    <w:rsid w:val="00FA0713"/>
    <w:rsid w:val="00FA074D"/>
    <w:rsid w:val="00FA0876"/>
    <w:rsid w:val="00FA0A93"/>
    <w:rsid w:val="00FA0C45"/>
    <w:rsid w:val="00FA0C75"/>
    <w:rsid w:val="00FA0D0A"/>
    <w:rsid w:val="00FA0D2F"/>
    <w:rsid w:val="00FA0DDB"/>
    <w:rsid w:val="00FA0F80"/>
    <w:rsid w:val="00FA11AF"/>
    <w:rsid w:val="00FA11D0"/>
    <w:rsid w:val="00FA12DC"/>
    <w:rsid w:val="00FA1441"/>
    <w:rsid w:val="00FA147C"/>
    <w:rsid w:val="00FA156A"/>
    <w:rsid w:val="00FA157C"/>
    <w:rsid w:val="00FA15C4"/>
    <w:rsid w:val="00FA1685"/>
    <w:rsid w:val="00FA16D1"/>
    <w:rsid w:val="00FA16D2"/>
    <w:rsid w:val="00FA180D"/>
    <w:rsid w:val="00FA1813"/>
    <w:rsid w:val="00FA1AE6"/>
    <w:rsid w:val="00FA1B65"/>
    <w:rsid w:val="00FA1C21"/>
    <w:rsid w:val="00FA1CBD"/>
    <w:rsid w:val="00FA1DC5"/>
    <w:rsid w:val="00FA1E5D"/>
    <w:rsid w:val="00FA1E77"/>
    <w:rsid w:val="00FA20ED"/>
    <w:rsid w:val="00FA2156"/>
    <w:rsid w:val="00FA223A"/>
    <w:rsid w:val="00FA22AA"/>
    <w:rsid w:val="00FA2306"/>
    <w:rsid w:val="00FA244F"/>
    <w:rsid w:val="00FA24F9"/>
    <w:rsid w:val="00FA26E2"/>
    <w:rsid w:val="00FA272F"/>
    <w:rsid w:val="00FA2769"/>
    <w:rsid w:val="00FA2860"/>
    <w:rsid w:val="00FA28BA"/>
    <w:rsid w:val="00FA297B"/>
    <w:rsid w:val="00FA2A21"/>
    <w:rsid w:val="00FA2A54"/>
    <w:rsid w:val="00FA2A60"/>
    <w:rsid w:val="00FA2A61"/>
    <w:rsid w:val="00FA2ADD"/>
    <w:rsid w:val="00FA2B66"/>
    <w:rsid w:val="00FA2D87"/>
    <w:rsid w:val="00FA2DDD"/>
    <w:rsid w:val="00FA2DFB"/>
    <w:rsid w:val="00FA2E17"/>
    <w:rsid w:val="00FA2F0E"/>
    <w:rsid w:val="00FA2FD6"/>
    <w:rsid w:val="00FA3077"/>
    <w:rsid w:val="00FA3171"/>
    <w:rsid w:val="00FA31F2"/>
    <w:rsid w:val="00FA32AA"/>
    <w:rsid w:val="00FA3338"/>
    <w:rsid w:val="00FA3528"/>
    <w:rsid w:val="00FA3877"/>
    <w:rsid w:val="00FA3888"/>
    <w:rsid w:val="00FA39DA"/>
    <w:rsid w:val="00FA3BAC"/>
    <w:rsid w:val="00FA3BB1"/>
    <w:rsid w:val="00FA3C97"/>
    <w:rsid w:val="00FA3CBD"/>
    <w:rsid w:val="00FA3DE4"/>
    <w:rsid w:val="00FA3E7E"/>
    <w:rsid w:val="00FA3EF2"/>
    <w:rsid w:val="00FA402C"/>
    <w:rsid w:val="00FA41AE"/>
    <w:rsid w:val="00FA435A"/>
    <w:rsid w:val="00FA4395"/>
    <w:rsid w:val="00FA45A4"/>
    <w:rsid w:val="00FA46FF"/>
    <w:rsid w:val="00FA4765"/>
    <w:rsid w:val="00FA4857"/>
    <w:rsid w:val="00FA48C0"/>
    <w:rsid w:val="00FA48CC"/>
    <w:rsid w:val="00FA4A74"/>
    <w:rsid w:val="00FA4B78"/>
    <w:rsid w:val="00FA4BC9"/>
    <w:rsid w:val="00FA4C0E"/>
    <w:rsid w:val="00FA4CB8"/>
    <w:rsid w:val="00FA4E2D"/>
    <w:rsid w:val="00FA5096"/>
    <w:rsid w:val="00FA50C7"/>
    <w:rsid w:val="00FA5130"/>
    <w:rsid w:val="00FA52AE"/>
    <w:rsid w:val="00FA52F5"/>
    <w:rsid w:val="00FA5324"/>
    <w:rsid w:val="00FA534A"/>
    <w:rsid w:val="00FA5420"/>
    <w:rsid w:val="00FA54B8"/>
    <w:rsid w:val="00FA5674"/>
    <w:rsid w:val="00FA577E"/>
    <w:rsid w:val="00FA5952"/>
    <w:rsid w:val="00FA59E0"/>
    <w:rsid w:val="00FA5ACE"/>
    <w:rsid w:val="00FA5AF6"/>
    <w:rsid w:val="00FA5B17"/>
    <w:rsid w:val="00FA5C0C"/>
    <w:rsid w:val="00FA5C63"/>
    <w:rsid w:val="00FA5CB8"/>
    <w:rsid w:val="00FA5D6C"/>
    <w:rsid w:val="00FA5D86"/>
    <w:rsid w:val="00FA5DE1"/>
    <w:rsid w:val="00FA5EB9"/>
    <w:rsid w:val="00FA5EC0"/>
    <w:rsid w:val="00FA5FCA"/>
    <w:rsid w:val="00FA610B"/>
    <w:rsid w:val="00FA63C9"/>
    <w:rsid w:val="00FA646B"/>
    <w:rsid w:val="00FA64E2"/>
    <w:rsid w:val="00FA660E"/>
    <w:rsid w:val="00FA66F9"/>
    <w:rsid w:val="00FA67C3"/>
    <w:rsid w:val="00FA6973"/>
    <w:rsid w:val="00FA6A9B"/>
    <w:rsid w:val="00FA6ACB"/>
    <w:rsid w:val="00FA6AD2"/>
    <w:rsid w:val="00FA6C68"/>
    <w:rsid w:val="00FA6C89"/>
    <w:rsid w:val="00FA6E48"/>
    <w:rsid w:val="00FA6E54"/>
    <w:rsid w:val="00FA6FD7"/>
    <w:rsid w:val="00FA6FE8"/>
    <w:rsid w:val="00FA719A"/>
    <w:rsid w:val="00FA7251"/>
    <w:rsid w:val="00FA73D0"/>
    <w:rsid w:val="00FA73F1"/>
    <w:rsid w:val="00FA7429"/>
    <w:rsid w:val="00FA74BC"/>
    <w:rsid w:val="00FA7577"/>
    <w:rsid w:val="00FA75A1"/>
    <w:rsid w:val="00FA75E1"/>
    <w:rsid w:val="00FA75FB"/>
    <w:rsid w:val="00FA7664"/>
    <w:rsid w:val="00FA780C"/>
    <w:rsid w:val="00FA7859"/>
    <w:rsid w:val="00FA7994"/>
    <w:rsid w:val="00FA7BD7"/>
    <w:rsid w:val="00FA7E2C"/>
    <w:rsid w:val="00FA7EC0"/>
    <w:rsid w:val="00FA7F7A"/>
    <w:rsid w:val="00FA7FCB"/>
    <w:rsid w:val="00FB0011"/>
    <w:rsid w:val="00FB003B"/>
    <w:rsid w:val="00FB01D7"/>
    <w:rsid w:val="00FB034E"/>
    <w:rsid w:val="00FB0396"/>
    <w:rsid w:val="00FB040E"/>
    <w:rsid w:val="00FB0431"/>
    <w:rsid w:val="00FB04E7"/>
    <w:rsid w:val="00FB073E"/>
    <w:rsid w:val="00FB08D3"/>
    <w:rsid w:val="00FB0907"/>
    <w:rsid w:val="00FB0991"/>
    <w:rsid w:val="00FB09C9"/>
    <w:rsid w:val="00FB0A00"/>
    <w:rsid w:val="00FB0A17"/>
    <w:rsid w:val="00FB0A8D"/>
    <w:rsid w:val="00FB0ABC"/>
    <w:rsid w:val="00FB0C3B"/>
    <w:rsid w:val="00FB0C76"/>
    <w:rsid w:val="00FB0CF2"/>
    <w:rsid w:val="00FB0FF0"/>
    <w:rsid w:val="00FB114A"/>
    <w:rsid w:val="00FB1194"/>
    <w:rsid w:val="00FB11E6"/>
    <w:rsid w:val="00FB121A"/>
    <w:rsid w:val="00FB1320"/>
    <w:rsid w:val="00FB1384"/>
    <w:rsid w:val="00FB1399"/>
    <w:rsid w:val="00FB1451"/>
    <w:rsid w:val="00FB153D"/>
    <w:rsid w:val="00FB15EA"/>
    <w:rsid w:val="00FB16E1"/>
    <w:rsid w:val="00FB1743"/>
    <w:rsid w:val="00FB17EB"/>
    <w:rsid w:val="00FB186D"/>
    <w:rsid w:val="00FB188C"/>
    <w:rsid w:val="00FB190C"/>
    <w:rsid w:val="00FB1920"/>
    <w:rsid w:val="00FB19AF"/>
    <w:rsid w:val="00FB19F3"/>
    <w:rsid w:val="00FB1A1C"/>
    <w:rsid w:val="00FB1A8C"/>
    <w:rsid w:val="00FB1B89"/>
    <w:rsid w:val="00FB1BF0"/>
    <w:rsid w:val="00FB1DF7"/>
    <w:rsid w:val="00FB1E80"/>
    <w:rsid w:val="00FB1EC8"/>
    <w:rsid w:val="00FB201D"/>
    <w:rsid w:val="00FB222F"/>
    <w:rsid w:val="00FB22DA"/>
    <w:rsid w:val="00FB22F7"/>
    <w:rsid w:val="00FB232E"/>
    <w:rsid w:val="00FB2384"/>
    <w:rsid w:val="00FB2570"/>
    <w:rsid w:val="00FB2571"/>
    <w:rsid w:val="00FB25C8"/>
    <w:rsid w:val="00FB2771"/>
    <w:rsid w:val="00FB27A6"/>
    <w:rsid w:val="00FB27AA"/>
    <w:rsid w:val="00FB27CC"/>
    <w:rsid w:val="00FB281D"/>
    <w:rsid w:val="00FB283D"/>
    <w:rsid w:val="00FB29B1"/>
    <w:rsid w:val="00FB2A37"/>
    <w:rsid w:val="00FB2A54"/>
    <w:rsid w:val="00FB2DD0"/>
    <w:rsid w:val="00FB2EC5"/>
    <w:rsid w:val="00FB2F44"/>
    <w:rsid w:val="00FB2FF4"/>
    <w:rsid w:val="00FB31B3"/>
    <w:rsid w:val="00FB31CF"/>
    <w:rsid w:val="00FB3407"/>
    <w:rsid w:val="00FB3521"/>
    <w:rsid w:val="00FB3602"/>
    <w:rsid w:val="00FB3858"/>
    <w:rsid w:val="00FB3927"/>
    <w:rsid w:val="00FB3A1F"/>
    <w:rsid w:val="00FB3AC2"/>
    <w:rsid w:val="00FB3B8C"/>
    <w:rsid w:val="00FB3D12"/>
    <w:rsid w:val="00FB3D47"/>
    <w:rsid w:val="00FB3E94"/>
    <w:rsid w:val="00FB3EC7"/>
    <w:rsid w:val="00FB3EE3"/>
    <w:rsid w:val="00FB3F5E"/>
    <w:rsid w:val="00FB4085"/>
    <w:rsid w:val="00FB4095"/>
    <w:rsid w:val="00FB43FD"/>
    <w:rsid w:val="00FB45A6"/>
    <w:rsid w:val="00FB46E8"/>
    <w:rsid w:val="00FB474B"/>
    <w:rsid w:val="00FB4752"/>
    <w:rsid w:val="00FB4841"/>
    <w:rsid w:val="00FB4883"/>
    <w:rsid w:val="00FB4AEB"/>
    <w:rsid w:val="00FB4AED"/>
    <w:rsid w:val="00FB4B9B"/>
    <w:rsid w:val="00FB4CC7"/>
    <w:rsid w:val="00FB4D96"/>
    <w:rsid w:val="00FB4D9B"/>
    <w:rsid w:val="00FB4DB1"/>
    <w:rsid w:val="00FB4E1E"/>
    <w:rsid w:val="00FB4E4A"/>
    <w:rsid w:val="00FB4F6A"/>
    <w:rsid w:val="00FB5063"/>
    <w:rsid w:val="00FB5171"/>
    <w:rsid w:val="00FB51AD"/>
    <w:rsid w:val="00FB5338"/>
    <w:rsid w:val="00FB53CA"/>
    <w:rsid w:val="00FB5441"/>
    <w:rsid w:val="00FB5493"/>
    <w:rsid w:val="00FB555E"/>
    <w:rsid w:val="00FB5561"/>
    <w:rsid w:val="00FB5589"/>
    <w:rsid w:val="00FB579E"/>
    <w:rsid w:val="00FB58D1"/>
    <w:rsid w:val="00FB5973"/>
    <w:rsid w:val="00FB599E"/>
    <w:rsid w:val="00FB5B99"/>
    <w:rsid w:val="00FB5C01"/>
    <w:rsid w:val="00FB5CDE"/>
    <w:rsid w:val="00FB5D8F"/>
    <w:rsid w:val="00FB5DEA"/>
    <w:rsid w:val="00FB5E1A"/>
    <w:rsid w:val="00FB5EBA"/>
    <w:rsid w:val="00FB5F72"/>
    <w:rsid w:val="00FB60A5"/>
    <w:rsid w:val="00FB6233"/>
    <w:rsid w:val="00FB625E"/>
    <w:rsid w:val="00FB6266"/>
    <w:rsid w:val="00FB626E"/>
    <w:rsid w:val="00FB62B5"/>
    <w:rsid w:val="00FB630E"/>
    <w:rsid w:val="00FB637E"/>
    <w:rsid w:val="00FB63F6"/>
    <w:rsid w:val="00FB64FF"/>
    <w:rsid w:val="00FB65FE"/>
    <w:rsid w:val="00FB686C"/>
    <w:rsid w:val="00FB694A"/>
    <w:rsid w:val="00FB6A0D"/>
    <w:rsid w:val="00FB6BBD"/>
    <w:rsid w:val="00FB6CA2"/>
    <w:rsid w:val="00FB6CDD"/>
    <w:rsid w:val="00FB6D43"/>
    <w:rsid w:val="00FB6E70"/>
    <w:rsid w:val="00FB6F8C"/>
    <w:rsid w:val="00FB71CE"/>
    <w:rsid w:val="00FB721E"/>
    <w:rsid w:val="00FB72F7"/>
    <w:rsid w:val="00FB731A"/>
    <w:rsid w:val="00FB736E"/>
    <w:rsid w:val="00FB7475"/>
    <w:rsid w:val="00FB750F"/>
    <w:rsid w:val="00FB7511"/>
    <w:rsid w:val="00FB774A"/>
    <w:rsid w:val="00FB779F"/>
    <w:rsid w:val="00FB78AA"/>
    <w:rsid w:val="00FB78BB"/>
    <w:rsid w:val="00FB79F3"/>
    <w:rsid w:val="00FB7AD9"/>
    <w:rsid w:val="00FC01B7"/>
    <w:rsid w:val="00FC01CA"/>
    <w:rsid w:val="00FC020A"/>
    <w:rsid w:val="00FC025A"/>
    <w:rsid w:val="00FC03EB"/>
    <w:rsid w:val="00FC048E"/>
    <w:rsid w:val="00FC049F"/>
    <w:rsid w:val="00FC053C"/>
    <w:rsid w:val="00FC05BE"/>
    <w:rsid w:val="00FC06E1"/>
    <w:rsid w:val="00FC06E8"/>
    <w:rsid w:val="00FC0847"/>
    <w:rsid w:val="00FC08AA"/>
    <w:rsid w:val="00FC0A20"/>
    <w:rsid w:val="00FC0B00"/>
    <w:rsid w:val="00FC0CD5"/>
    <w:rsid w:val="00FC0F05"/>
    <w:rsid w:val="00FC0F85"/>
    <w:rsid w:val="00FC0FED"/>
    <w:rsid w:val="00FC1027"/>
    <w:rsid w:val="00FC1101"/>
    <w:rsid w:val="00FC1192"/>
    <w:rsid w:val="00FC1277"/>
    <w:rsid w:val="00FC1288"/>
    <w:rsid w:val="00FC132C"/>
    <w:rsid w:val="00FC135E"/>
    <w:rsid w:val="00FC146C"/>
    <w:rsid w:val="00FC14E2"/>
    <w:rsid w:val="00FC1504"/>
    <w:rsid w:val="00FC1577"/>
    <w:rsid w:val="00FC1580"/>
    <w:rsid w:val="00FC165B"/>
    <w:rsid w:val="00FC1706"/>
    <w:rsid w:val="00FC17AD"/>
    <w:rsid w:val="00FC1996"/>
    <w:rsid w:val="00FC1A3A"/>
    <w:rsid w:val="00FC1A4D"/>
    <w:rsid w:val="00FC1AE4"/>
    <w:rsid w:val="00FC1B41"/>
    <w:rsid w:val="00FC1CFE"/>
    <w:rsid w:val="00FC1E68"/>
    <w:rsid w:val="00FC241F"/>
    <w:rsid w:val="00FC245F"/>
    <w:rsid w:val="00FC2483"/>
    <w:rsid w:val="00FC248A"/>
    <w:rsid w:val="00FC2493"/>
    <w:rsid w:val="00FC24D3"/>
    <w:rsid w:val="00FC269B"/>
    <w:rsid w:val="00FC270B"/>
    <w:rsid w:val="00FC27B0"/>
    <w:rsid w:val="00FC27E4"/>
    <w:rsid w:val="00FC280F"/>
    <w:rsid w:val="00FC297C"/>
    <w:rsid w:val="00FC2993"/>
    <w:rsid w:val="00FC29C6"/>
    <w:rsid w:val="00FC2B14"/>
    <w:rsid w:val="00FC2BDD"/>
    <w:rsid w:val="00FC2C1B"/>
    <w:rsid w:val="00FC2C35"/>
    <w:rsid w:val="00FC2CAF"/>
    <w:rsid w:val="00FC2CF1"/>
    <w:rsid w:val="00FC2D47"/>
    <w:rsid w:val="00FC2D90"/>
    <w:rsid w:val="00FC2DB3"/>
    <w:rsid w:val="00FC2F1A"/>
    <w:rsid w:val="00FC305D"/>
    <w:rsid w:val="00FC3104"/>
    <w:rsid w:val="00FC33D9"/>
    <w:rsid w:val="00FC3490"/>
    <w:rsid w:val="00FC3568"/>
    <w:rsid w:val="00FC3640"/>
    <w:rsid w:val="00FC367C"/>
    <w:rsid w:val="00FC379B"/>
    <w:rsid w:val="00FC37B8"/>
    <w:rsid w:val="00FC37BF"/>
    <w:rsid w:val="00FC387C"/>
    <w:rsid w:val="00FC3A3F"/>
    <w:rsid w:val="00FC3B3F"/>
    <w:rsid w:val="00FC3D4E"/>
    <w:rsid w:val="00FC3D4F"/>
    <w:rsid w:val="00FC3D65"/>
    <w:rsid w:val="00FC3FA4"/>
    <w:rsid w:val="00FC4158"/>
    <w:rsid w:val="00FC41D4"/>
    <w:rsid w:val="00FC422D"/>
    <w:rsid w:val="00FC42B8"/>
    <w:rsid w:val="00FC43C7"/>
    <w:rsid w:val="00FC453E"/>
    <w:rsid w:val="00FC46F4"/>
    <w:rsid w:val="00FC4742"/>
    <w:rsid w:val="00FC478C"/>
    <w:rsid w:val="00FC49F6"/>
    <w:rsid w:val="00FC4A1F"/>
    <w:rsid w:val="00FC4A41"/>
    <w:rsid w:val="00FC4AF4"/>
    <w:rsid w:val="00FC4BC4"/>
    <w:rsid w:val="00FC4C94"/>
    <w:rsid w:val="00FC4DB7"/>
    <w:rsid w:val="00FC4DDC"/>
    <w:rsid w:val="00FC4DFB"/>
    <w:rsid w:val="00FC4E21"/>
    <w:rsid w:val="00FC5246"/>
    <w:rsid w:val="00FC5253"/>
    <w:rsid w:val="00FC52DB"/>
    <w:rsid w:val="00FC5365"/>
    <w:rsid w:val="00FC5428"/>
    <w:rsid w:val="00FC54CD"/>
    <w:rsid w:val="00FC55FF"/>
    <w:rsid w:val="00FC5684"/>
    <w:rsid w:val="00FC56ED"/>
    <w:rsid w:val="00FC5706"/>
    <w:rsid w:val="00FC5729"/>
    <w:rsid w:val="00FC5ACF"/>
    <w:rsid w:val="00FC5D5B"/>
    <w:rsid w:val="00FC5DCE"/>
    <w:rsid w:val="00FC5DE1"/>
    <w:rsid w:val="00FC5FF0"/>
    <w:rsid w:val="00FC607E"/>
    <w:rsid w:val="00FC6368"/>
    <w:rsid w:val="00FC64DC"/>
    <w:rsid w:val="00FC660D"/>
    <w:rsid w:val="00FC6685"/>
    <w:rsid w:val="00FC6830"/>
    <w:rsid w:val="00FC6843"/>
    <w:rsid w:val="00FC6924"/>
    <w:rsid w:val="00FC6A6B"/>
    <w:rsid w:val="00FC6AA2"/>
    <w:rsid w:val="00FC6B9C"/>
    <w:rsid w:val="00FC6BC3"/>
    <w:rsid w:val="00FC6C0A"/>
    <w:rsid w:val="00FC6C8C"/>
    <w:rsid w:val="00FC6E63"/>
    <w:rsid w:val="00FC6EA0"/>
    <w:rsid w:val="00FC6F03"/>
    <w:rsid w:val="00FC6F4E"/>
    <w:rsid w:val="00FC6FE9"/>
    <w:rsid w:val="00FC73F2"/>
    <w:rsid w:val="00FC7410"/>
    <w:rsid w:val="00FC75D6"/>
    <w:rsid w:val="00FC76CA"/>
    <w:rsid w:val="00FC77A0"/>
    <w:rsid w:val="00FC77A5"/>
    <w:rsid w:val="00FC77ED"/>
    <w:rsid w:val="00FC799C"/>
    <w:rsid w:val="00FC7AE4"/>
    <w:rsid w:val="00FC7C74"/>
    <w:rsid w:val="00FC7C7B"/>
    <w:rsid w:val="00FD0063"/>
    <w:rsid w:val="00FD0094"/>
    <w:rsid w:val="00FD0274"/>
    <w:rsid w:val="00FD02E3"/>
    <w:rsid w:val="00FD0372"/>
    <w:rsid w:val="00FD05AE"/>
    <w:rsid w:val="00FD06BA"/>
    <w:rsid w:val="00FD0708"/>
    <w:rsid w:val="00FD08AE"/>
    <w:rsid w:val="00FD0974"/>
    <w:rsid w:val="00FD0A86"/>
    <w:rsid w:val="00FD0AEC"/>
    <w:rsid w:val="00FD0B3E"/>
    <w:rsid w:val="00FD0C9B"/>
    <w:rsid w:val="00FD104A"/>
    <w:rsid w:val="00FD108E"/>
    <w:rsid w:val="00FD1259"/>
    <w:rsid w:val="00FD12A8"/>
    <w:rsid w:val="00FD12BF"/>
    <w:rsid w:val="00FD12F9"/>
    <w:rsid w:val="00FD1676"/>
    <w:rsid w:val="00FD167E"/>
    <w:rsid w:val="00FD1736"/>
    <w:rsid w:val="00FD17AB"/>
    <w:rsid w:val="00FD18B2"/>
    <w:rsid w:val="00FD18DD"/>
    <w:rsid w:val="00FD1A72"/>
    <w:rsid w:val="00FD1A80"/>
    <w:rsid w:val="00FD1BBF"/>
    <w:rsid w:val="00FD1BE6"/>
    <w:rsid w:val="00FD1C58"/>
    <w:rsid w:val="00FD1CCC"/>
    <w:rsid w:val="00FD1D2D"/>
    <w:rsid w:val="00FD1D78"/>
    <w:rsid w:val="00FD1DA1"/>
    <w:rsid w:val="00FD1E16"/>
    <w:rsid w:val="00FD1E36"/>
    <w:rsid w:val="00FD209C"/>
    <w:rsid w:val="00FD21D1"/>
    <w:rsid w:val="00FD237D"/>
    <w:rsid w:val="00FD24DF"/>
    <w:rsid w:val="00FD266C"/>
    <w:rsid w:val="00FD29B8"/>
    <w:rsid w:val="00FD2C98"/>
    <w:rsid w:val="00FD2D34"/>
    <w:rsid w:val="00FD2D93"/>
    <w:rsid w:val="00FD2DB7"/>
    <w:rsid w:val="00FD2F3F"/>
    <w:rsid w:val="00FD2F62"/>
    <w:rsid w:val="00FD3027"/>
    <w:rsid w:val="00FD3148"/>
    <w:rsid w:val="00FD31F0"/>
    <w:rsid w:val="00FD335B"/>
    <w:rsid w:val="00FD361E"/>
    <w:rsid w:val="00FD3720"/>
    <w:rsid w:val="00FD3796"/>
    <w:rsid w:val="00FD381D"/>
    <w:rsid w:val="00FD39E1"/>
    <w:rsid w:val="00FD39E9"/>
    <w:rsid w:val="00FD3A41"/>
    <w:rsid w:val="00FD3C94"/>
    <w:rsid w:val="00FD3CD4"/>
    <w:rsid w:val="00FD3CDE"/>
    <w:rsid w:val="00FD3E7B"/>
    <w:rsid w:val="00FD3E8B"/>
    <w:rsid w:val="00FD3F17"/>
    <w:rsid w:val="00FD3F91"/>
    <w:rsid w:val="00FD4076"/>
    <w:rsid w:val="00FD40CA"/>
    <w:rsid w:val="00FD4261"/>
    <w:rsid w:val="00FD42C6"/>
    <w:rsid w:val="00FD43A6"/>
    <w:rsid w:val="00FD43C1"/>
    <w:rsid w:val="00FD44DF"/>
    <w:rsid w:val="00FD44E0"/>
    <w:rsid w:val="00FD46D9"/>
    <w:rsid w:val="00FD4829"/>
    <w:rsid w:val="00FD4876"/>
    <w:rsid w:val="00FD49BC"/>
    <w:rsid w:val="00FD4A35"/>
    <w:rsid w:val="00FD4A7A"/>
    <w:rsid w:val="00FD4B7B"/>
    <w:rsid w:val="00FD4EA1"/>
    <w:rsid w:val="00FD4F96"/>
    <w:rsid w:val="00FD508A"/>
    <w:rsid w:val="00FD5116"/>
    <w:rsid w:val="00FD51F6"/>
    <w:rsid w:val="00FD5253"/>
    <w:rsid w:val="00FD5275"/>
    <w:rsid w:val="00FD5457"/>
    <w:rsid w:val="00FD55A0"/>
    <w:rsid w:val="00FD55E4"/>
    <w:rsid w:val="00FD5653"/>
    <w:rsid w:val="00FD585E"/>
    <w:rsid w:val="00FD5A22"/>
    <w:rsid w:val="00FD5A41"/>
    <w:rsid w:val="00FD5C49"/>
    <w:rsid w:val="00FD5C75"/>
    <w:rsid w:val="00FD5E5F"/>
    <w:rsid w:val="00FD615B"/>
    <w:rsid w:val="00FD622F"/>
    <w:rsid w:val="00FD627F"/>
    <w:rsid w:val="00FD62E3"/>
    <w:rsid w:val="00FD62FE"/>
    <w:rsid w:val="00FD631E"/>
    <w:rsid w:val="00FD63A8"/>
    <w:rsid w:val="00FD6412"/>
    <w:rsid w:val="00FD6570"/>
    <w:rsid w:val="00FD660A"/>
    <w:rsid w:val="00FD667F"/>
    <w:rsid w:val="00FD6853"/>
    <w:rsid w:val="00FD68BE"/>
    <w:rsid w:val="00FD6942"/>
    <w:rsid w:val="00FD6AEC"/>
    <w:rsid w:val="00FD6B2C"/>
    <w:rsid w:val="00FD6BA4"/>
    <w:rsid w:val="00FD6D84"/>
    <w:rsid w:val="00FD6E26"/>
    <w:rsid w:val="00FD6F4D"/>
    <w:rsid w:val="00FD6F6F"/>
    <w:rsid w:val="00FD7010"/>
    <w:rsid w:val="00FD709E"/>
    <w:rsid w:val="00FD7111"/>
    <w:rsid w:val="00FD72E1"/>
    <w:rsid w:val="00FD7358"/>
    <w:rsid w:val="00FD73F9"/>
    <w:rsid w:val="00FD74AF"/>
    <w:rsid w:val="00FD74D8"/>
    <w:rsid w:val="00FD74E0"/>
    <w:rsid w:val="00FD7505"/>
    <w:rsid w:val="00FD75AB"/>
    <w:rsid w:val="00FD767A"/>
    <w:rsid w:val="00FD7689"/>
    <w:rsid w:val="00FD792C"/>
    <w:rsid w:val="00FD79FF"/>
    <w:rsid w:val="00FD7A64"/>
    <w:rsid w:val="00FD7BAA"/>
    <w:rsid w:val="00FD7CC6"/>
    <w:rsid w:val="00FD7D66"/>
    <w:rsid w:val="00FD7F29"/>
    <w:rsid w:val="00FD7F35"/>
    <w:rsid w:val="00FE000D"/>
    <w:rsid w:val="00FE008E"/>
    <w:rsid w:val="00FE00CC"/>
    <w:rsid w:val="00FE01AA"/>
    <w:rsid w:val="00FE0222"/>
    <w:rsid w:val="00FE025E"/>
    <w:rsid w:val="00FE02C3"/>
    <w:rsid w:val="00FE03DF"/>
    <w:rsid w:val="00FE05AD"/>
    <w:rsid w:val="00FE0605"/>
    <w:rsid w:val="00FE0984"/>
    <w:rsid w:val="00FE0A19"/>
    <w:rsid w:val="00FE0A94"/>
    <w:rsid w:val="00FE0A95"/>
    <w:rsid w:val="00FE0B82"/>
    <w:rsid w:val="00FE0B8D"/>
    <w:rsid w:val="00FE0BE8"/>
    <w:rsid w:val="00FE0C2D"/>
    <w:rsid w:val="00FE0CB4"/>
    <w:rsid w:val="00FE0E4B"/>
    <w:rsid w:val="00FE0FA1"/>
    <w:rsid w:val="00FE1102"/>
    <w:rsid w:val="00FE112E"/>
    <w:rsid w:val="00FE1194"/>
    <w:rsid w:val="00FE11D6"/>
    <w:rsid w:val="00FE11E0"/>
    <w:rsid w:val="00FE13F6"/>
    <w:rsid w:val="00FE14C3"/>
    <w:rsid w:val="00FE181D"/>
    <w:rsid w:val="00FE18E1"/>
    <w:rsid w:val="00FE196A"/>
    <w:rsid w:val="00FE1989"/>
    <w:rsid w:val="00FE1C25"/>
    <w:rsid w:val="00FE1D20"/>
    <w:rsid w:val="00FE1EDF"/>
    <w:rsid w:val="00FE1FC0"/>
    <w:rsid w:val="00FE2041"/>
    <w:rsid w:val="00FE2056"/>
    <w:rsid w:val="00FE23DA"/>
    <w:rsid w:val="00FE2462"/>
    <w:rsid w:val="00FE263B"/>
    <w:rsid w:val="00FE278C"/>
    <w:rsid w:val="00FE298F"/>
    <w:rsid w:val="00FE2A27"/>
    <w:rsid w:val="00FE2BC2"/>
    <w:rsid w:val="00FE2C26"/>
    <w:rsid w:val="00FE2D09"/>
    <w:rsid w:val="00FE2EDE"/>
    <w:rsid w:val="00FE2F08"/>
    <w:rsid w:val="00FE2F51"/>
    <w:rsid w:val="00FE2F79"/>
    <w:rsid w:val="00FE2F9E"/>
    <w:rsid w:val="00FE3054"/>
    <w:rsid w:val="00FE3110"/>
    <w:rsid w:val="00FE31E7"/>
    <w:rsid w:val="00FE3318"/>
    <w:rsid w:val="00FE3324"/>
    <w:rsid w:val="00FE3385"/>
    <w:rsid w:val="00FE350D"/>
    <w:rsid w:val="00FE3797"/>
    <w:rsid w:val="00FE38DB"/>
    <w:rsid w:val="00FE38F6"/>
    <w:rsid w:val="00FE3A47"/>
    <w:rsid w:val="00FE3A91"/>
    <w:rsid w:val="00FE3B7A"/>
    <w:rsid w:val="00FE3C0C"/>
    <w:rsid w:val="00FE3C1B"/>
    <w:rsid w:val="00FE3DCB"/>
    <w:rsid w:val="00FE3DF0"/>
    <w:rsid w:val="00FE3EEE"/>
    <w:rsid w:val="00FE40F8"/>
    <w:rsid w:val="00FE41A9"/>
    <w:rsid w:val="00FE41F1"/>
    <w:rsid w:val="00FE4262"/>
    <w:rsid w:val="00FE427B"/>
    <w:rsid w:val="00FE443A"/>
    <w:rsid w:val="00FE4728"/>
    <w:rsid w:val="00FE4845"/>
    <w:rsid w:val="00FE4A2E"/>
    <w:rsid w:val="00FE4AE8"/>
    <w:rsid w:val="00FE4AED"/>
    <w:rsid w:val="00FE4D12"/>
    <w:rsid w:val="00FE4D40"/>
    <w:rsid w:val="00FE4DAA"/>
    <w:rsid w:val="00FE4DBF"/>
    <w:rsid w:val="00FE4EC6"/>
    <w:rsid w:val="00FE4F94"/>
    <w:rsid w:val="00FE501A"/>
    <w:rsid w:val="00FE506B"/>
    <w:rsid w:val="00FE50F6"/>
    <w:rsid w:val="00FE5263"/>
    <w:rsid w:val="00FE528E"/>
    <w:rsid w:val="00FE52BE"/>
    <w:rsid w:val="00FE53E4"/>
    <w:rsid w:val="00FE567E"/>
    <w:rsid w:val="00FE57D0"/>
    <w:rsid w:val="00FE5952"/>
    <w:rsid w:val="00FE5B14"/>
    <w:rsid w:val="00FE5B26"/>
    <w:rsid w:val="00FE5BC0"/>
    <w:rsid w:val="00FE5C43"/>
    <w:rsid w:val="00FE5C6F"/>
    <w:rsid w:val="00FE5D9F"/>
    <w:rsid w:val="00FE5E09"/>
    <w:rsid w:val="00FE5F52"/>
    <w:rsid w:val="00FE5FF3"/>
    <w:rsid w:val="00FE6207"/>
    <w:rsid w:val="00FE6213"/>
    <w:rsid w:val="00FE6334"/>
    <w:rsid w:val="00FE6754"/>
    <w:rsid w:val="00FE6855"/>
    <w:rsid w:val="00FE6989"/>
    <w:rsid w:val="00FE6AF5"/>
    <w:rsid w:val="00FE6B6D"/>
    <w:rsid w:val="00FE6D48"/>
    <w:rsid w:val="00FE6D66"/>
    <w:rsid w:val="00FE6F65"/>
    <w:rsid w:val="00FE6F6E"/>
    <w:rsid w:val="00FE700E"/>
    <w:rsid w:val="00FE714A"/>
    <w:rsid w:val="00FE7159"/>
    <w:rsid w:val="00FE7228"/>
    <w:rsid w:val="00FE7445"/>
    <w:rsid w:val="00FE7519"/>
    <w:rsid w:val="00FE7575"/>
    <w:rsid w:val="00FE760F"/>
    <w:rsid w:val="00FE7739"/>
    <w:rsid w:val="00FE783D"/>
    <w:rsid w:val="00FE7846"/>
    <w:rsid w:val="00FE7878"/>
    <w:rsid w:val="00FE78EB"/>
    <w:rsid w:val="00FE79D8"/>
    <w:rsid w:val="00FE7B76"/>
    <w:rsid w:val="00FE7B91"/>
    <w:rsid w:val="00FE7BCE"/>
    <w:rsid w:val="00FE7D33"/>
    <w:rsid w:val="00FE7D42"/>
    <w:rsid w:val="00FE7EFE"/>
    <w:rsid w:val="00FE7FDA"/>
    <w:rsid w:val="00FF006A"/>
    <w:rsid w:val="00FF00D7"/>
    <w:rsid w:val="00FF01BB"/>
    <w:rsid w:val="00FF0208"/>
    <w:rsid w:val="00FF03AF"/>
    <w:rsid w:val="00FF03D5"/>
    <w:rsid w:val="00FF0475"/>
    <w:rsid w:val="00FF07FC"/>
    <w:rsid w:val="00FF0A2E"/>
    <w:rsid w:val="00FF0ACC"/>
    <w:rsid w:val="00FF0AFB"/>
    <w:rsid w:val="00FF0B5F"/>
    <w:rsid w:val="00FF0BC4"/>
    <w:rsid w:val="00FF0C6C"/>
    <w:rsid w:val="00FF0CEF"/>
    <w:rsid w:val="00FF0E44"/>
    <w:rsid w:val="00FF0E56"/>
    <w:rsid w:val="00FF1008"/>
    <w:rsid w:val="00FF11B1"/>
    <w:rsid w:val="00FF147D"/>
    <w:rsid w:val="00FF14E9"/>
    <w:rsid w:val="00FF1578"/>
    <w:rsid w:val="00FF1755"/>
    <w:rsid w:val="00FF178E"/>
    <w:rsid w:val="00FF18C3"/>
    <w:rsid w:val="00FF1BD1"/>
    <w:rsid w:val="00FF1D2C"/>
    <w:rsid w:val="00FF1F63"/>
    <w:rsid w:val="00FF1FC8"/>
    <w:rsid w:val="00FF1FE4"/>
    <w:rsid w:val="00FF1FF2"/>
    <w:rsid w:val="00FF206E"/>
    <w:rsid w:val="00FF21BA"/>
    <w:rsid w:val="00FF22F0"/>
    <w:rsid w:val="00FF2407"/>
    <w:rsid w:val="00FF253E"/>
    <w:rsid w:val="00FF272A"/>
    <w:rsid w:val="00FF2A3B"/>
    <w:rsid w:val="00FF2B86"/>
    <w:rsid w:val="00FF2BC3"/>
    <w:rsid w:val="00FF2BC6"/>
    <w:rsid w:val="00FF2BF3"/>
    <w:rsid w:val="00FF2D38"/>
    <w:rsid w:val="00FF2E20"/>
    <w:rsid w:val="00FF2F45"/>
    <w:rsid w:val="00FF2FEC"/>
    <w:rsid w:val="00FF2FFB"/>
    <w:rsid w:val="00FF3119"/>
    <w:rsid w:val="00FF311A"/>
    <w:rsid w:val="00FF3325"/>
    <w:rsid w:val="00FF3481"/>
    <w:rsid w:val="00FF3543"/>
    <w:rsid w:val="00FF35EE"/>
    <w:rsid w:val="00FF3605"/>
    <w:rsid w:val="00FF3650"/>
    <w:rsid w:val="00FF3670"/>
    <w:rsid w:val="00FF36CD"/>
    <w:rsid w:val="00FF36F8"/>
    <w:rsid w:val="00FF3760"/>
    <w:rsid w:val="00FF39F5"/>
    <w:rsid w:val="00FF3A13"/>
    <w:rsid w:val="00FF3A52"/>
    <w:rsid w:val="00FF3B56"/>
    <w:rsid w:val="00FF3C28"/>
    <w:rsid w:val="00FF3DA1"/>
    <w:rsid w:val="00FF40F5"/>
    <w:rsid w:val="00FF416C"/>
    <w:rsid w:val="00FF4289"/>
    <w:rsid w:val="00FF4364"/>
    <w:rsid w:val="00FF43E6"/>
    <w:rsid w:val="00FF43EE"/>
    <w:rsid w:val="00FF442A"/>
    <w:rsid w:val="00FF4582"/>
    <w:rsid w:val="00FF468C"/>
    <w:rsid w:val="00FF4737"/>
    <w:rsid w:val="00FF4767"/>
    <w:rsid w:val="00FF4787"/>
    <w:rsid w:val="00FF47BC"/>
    <w:rsid w:val="00FF48CC"/>
    <w:rsid w:val="00FF4929"/>
    <w:rsid w:val="00FF4979"/>
    <w:rsid w:val="00FF4A1A"/>
    <w:rsid w:val="00FF4A8B"/>
    <w:rsid w:val="00FF4B2A"/>
    <w:rsid w:val="00FF4B64"/>
    <w:rsid w:val="00FF4E16"/>
    <w:rsid w:val="00FF4EA6"/>
    <w:rsid w:val="00FF509D"/>
    <w:rsid w:val="00FF50EB"/>
    <w:rsid w:val="00FF5150"/>
    <w:rsid w:val="00FF51BB"/>
    <w:rsid w:val="00FF5282"/>
    <w:rsid w:val="00FF5289"/>
    <w:rsid w:val="00FF528D"/>
    <w:rsid w:val="00FF5375"/>
    <w:rsid w:val="00FF54C6"/>
    <w:rsid w:val="00FF54DA"/>
    <w:rsid w:val="00FF5646"/>
    <w:rsid w:val="00FF574F"/>
    <w:rsid w:val="00FF57DF"/>
    <w:rsid w:val="00FF588A"/>
    <w:rsid w:val="00FF5897"/>
    <w:rsid w:val="00FF58D6"/>
    <w:rsid w:val="00FF597D"/>
    <w:rsid w:val="00FF59F0"/>
    <w:rsid w:val="00FF5A0C"/>
    <w:rsid w:val="00FF5A7B"/>
    <w:rsid w:val="00FF5C0F"/>
    <w:rsid w:val="00FF5C15"/>
    <w:rsid w:val="00FF5C45"/>
    <w:rsid w:val="00FF5C64"/>
    <w:rsid w:val="00FF5E1D"/>
    <w:rsid w:val="00FF5E22"/>
    <w:rsid w:val="00FF5F29"/>
    <w:rsid w:val="00FF5F74"/>
    <w:rsid w:val="00FF620E"/>
    <w:rsid w:val="00FF6287"/>
    <w:rsid w:val="00FF6294"/>
    <w:rsid w:val="00FF634B"/>
    <w:rsid w:val="00FF6389"/>
    <w:rsid w:val="00FF64A1"/>
    <w:rsid w:val="00FF6634"/>
    <w:rsid w:val="00FF66BA"/>
    <w:rsid w:val="00FF672A"/>
    <w:rsid w:val="00FF672C"/>
    <w:rsid w:val="00FF69F2"/>
    <w:rsid w:val="00FF6A1F"/>
    <w:rsid w:val="00FF6B3C"/>
    <w:rsid w:val="00FF6B9F"/>
    <w:rsid w:val="00FF6BC8"/>
    <w:rsid w:val="00FF6D2F"/>
    <w:rsid w:val="00FF6D47"/>
    <w:rsid w:val="00FF6DB0"/>
    <w:rsid w:val="00FF6E3D"/>
    <w:rsid w:val="00FF6E5D"/>
    <w:rsid w:val="00FF6F40"/>
    <w:rsid w:val="00FF6FD9"/>
    <w:rsid w:val="00FF700D"/>
    <w:rsid w:val="00FF70A7"/>
    <w:rsid w:val="00FF71BC"/>
    <w:rsid w:val="00FF7249"/>
    <w:rsid w:val="00FF7501"/>
    <w:rsid w:val="00FF7651"/>
    <w:rsid w:val="00FF7757"/>
    <w:rsid w:val="00FF7889"/>
    <w:rsid w:val="00FF795A"/>
    <w:rsid w:val="00FF79E0"/>
    <w:rsid w:val="00FF7A28"/>
    <w:rsid w:val="00FF7B9C"/>
    <w:rsid w:val="00FF7C8D"/>
    <w:rsid w:val="015B1667"/>
    <w:rsid w:val="01782F83"/>
    <w:rsid w:val="017E1C33"/>
    <w:rsid w:val="018FB70F"/>
    <w:rsid w:val="0195716E"/>
    <w:rsid w:val="0195890A"/>
    <w:rsid w:val="019B8171"/>
    <w:rsid w:val="01B5540F"/>
    <w:rsid w:val="01C993FD"/>
    <w:rsid w:val="01E85A98"/>
    <w:rsid w:val="01EB1516"/>
    <w:rsid w:val="01EBEA51"/>
    <w:rsid w:val="02081F4A"/>
    <w:rsid w:val="020D4850"/>
    <w:rsid w:val="021C4503"/>
    <w:rsid w:val="0240BB0D"/>
    <w:rsid w:val="024A4539"/>
    <w:rsid w:val="0251A7C7"/>
    <w:rsid w:val="026FEA3F"/>
    <w:rsid w:val="02A63B43"/>
    <w:rsid w:val="02BE0B24"/>
    <w:rsid w:val="02C74CF7"/>
    <w:rsid w:val="02D7D12D"/>
    <w:rsid w:val="02DF83DC"/>
    <w:rsid w:val="02E1A15E"/>
    <w:rsid w:val="02E5AFD5"/>
    <w:rsid w:val="02F0CB3C"/>
    <w:rsid w:val="02F3B6BD"/>
    <w:rsid w:val="033019F7"/>
    <w:rsid w:val="036B36A7"/>
    <w:rsid w:val="037EBBE5"/>
    <w:rsid w:val="03DDC0EF"/>
    <w:rsid w:val="03E4662E"/>
    <w:rsid w:val="0400242D"/>
    <w:rsid w:val="0424869C"/>
    <w:rsid w:val="04272DA3"/>
    <w:rsid w:val="04279D6D"/>
    <w:rsid w:val="04283331"/>
    <w:rsid w:val="0444333F"/>
    <w:rsid w:val="045ACDAD"/>
    <w:rsid w:val="046AFD4D"/>
    <w:rsid w:val="047408AB"/>
    <w:rsid w:val="0474DA27"/>
    <w:rsid w:val="04B981B4"/>
    <w:rsid w:val="04C2E573"/>
    <w:rsid w:val="04C8FA12"/>
    <w:rsid w:val="04CE3B8A"/>
    <w:rsid w:val="04E61F12"/>
    <w:rsid w:val="04EE8D5D"/>
    <w:rsid w:val="04F42FE3"/>
    <w:rsid w:val="0504940B"/>
    <w:rsid w:val="050B03E3"/>
    <w:rsid w:val="05722746"/>
    <w:rsid w:val="057EB428"/>
    <w:rsid w:val="05AD08C1"/>
    <w:rsid w:val="05AE70EC"/>
    <w:rsid w:val="05B92CE0"/>
    <w:rsid w:val="0639FA79"/>
    <w:rsid w:val="063AE9B7"/>
    <w:rsid w:val="069CFEF3"/>
    <w:rsid w:val="06CB05E6"/>
    <w:rsid w:val="06E0765B"/>
    <w:rsid w:val="06E6B925"/>
    <w:rsid w:val="06F80A66"/>
    <w:rsid w:val="071031AF"/>
    <w:rsid w:val="07263AD8"/>
    <w:rsid w:val="07264D1D"/>
    <w:rsid w:val="073CE9FA"/>
    <w:rsid w:val="0755BAB8"/>
    <w:rsid w:val="0755DFEA"/>
    <w:rsid w:val="07A4BB18"/>
    <w:rsid w:val="07AABB7A"/>
    <w:rsid w:val="07AF8F3A"/>
    <w:rsid w:val="07B8ADE8"/>
    <w:rsid w:val="07C00ECE"/>
    <w:rsid w:val="07E1291E"/>
    <w:rsid w:val="07F9A327"/>
    <w:rsid w:val="08301D86"/>
    <w:rsid w:val="086A806C"/>
    <w:rsid w:val="087E2B97"/>
    <w:rsid w:val="08896755"/>
    <w:rsid w:val="08BE4853"/>
    <w:rsid w:val="08E2B70B"/>
    <w:rsid w:val="090DE066"/>
    <w:rsid w:val="0912A5C8"/>
    <w:rsid w:val="094C9287"/>
    <w:rsid w:val="094CD212"/>
    <w:rsid w:val="097CA95E"/>
    <w:rsid w:val="0981A097"/>
    <w:rsid w:val="098F8889"/>
    <w:rsid w:val="099E6596"/>
    <w:rsid w:val="09B3AAA8"/>
    <w:rsid w:val="09B6F16D"/>
    <w:rsid w:val="09C109B8"/>
    <w:rsid w:val="09C5ACA6"/>
    <w:rsid w:val="09D457B9"/>
    <w:rsid w:val="09D49FB5"/>
    <w:rsid w:val="09DA669C"/>
    <w:rsid w:val="09E6C6E7"/>
    <w:rsid w:val="0A34E28D"/>
    <w:rsid w:val="0A3E5CB3"/>
    <w:rsid w:val="0A478E78"/>
    <w:rsid w:val="0A56F3F3"/>
    <w:rsid w:val="0A5C154D"/>
    <w:rsid w:val="0A61900B"/>
    <w:rsid w:val="0A702FB2"/>
    <w:rsid w:val="0A974EFF"/>
    <w:rsid w:val="0AAA6D39"/>
    <w:rsid w:val="0ADBDB1A"/>
    <w:rsid w:val="0AE3BEEB"/>
    <w:rsid w:val="0AF6994A"/>
    <w:rsid w:val="0B06DDEF"/>
    <w:rsid w:val="0B0F7F6A"/>
    <w:rsid w:val="0B117464"/>
    <w:rsid w:val="0B141088"/>
    <w:rsid w:val="0B258E8D"/>
    <w:rsid w:val="0B4AD703"/>
    <w:rsid w:val="0B5BF528"/>
    <w:rsid w:val="0B6DF470"/>
    <w:rsid w:val="0B8E8516"/>
    <w:rsid w:val="0B9D4C8E"/>
    <w:rsid w:val="0BD0E063"/>
    <w:rsid w:val="0BD1D121"/>
    <w:rsid w:val="0C072CBF"/>
    <w:rsid w:val="0C0BB59D"/>
    <w:rsid w:val="0C118573"/>
    <w:rsid w:val="0C64BD02"/>
    <w:rsid w:val="0C72A5F1"/>
    <w:rsid w:val="0C742E2E"/>
    <w:rsid w:val="0CA54C91"/>
    <w:rsid w:val="0CB3EFE5"/>
    <w:rsid w:val="0CBE4587"/>
    <w:rsid w:val="0CE2A50E"/>
    <w:rsid w:val="0CE460B9"/>
    <w:rsid w:val="0CF512C5"/>
    <w:rsid w:val="0CFEF782"/>
    <w:rsid w:val="0D0473CB"/>
    <w:rsid w:val="0D14AFFA"/>
    <w:rsid w:val="0D182D09"/>
    <w:rsid w:val="0D2DAD31"/>
    <w:rsid w:val="0D7019ED"/>
    <w:rsid w:val="0D854AA6"/>
    <w:rsid w:val="0D934DE0"/>
    <w:rsid w:val="0DB09656"/>
    <w:rsid w:val="0DC422D0"/>
    <w:rsid w:val="0DD876CD"/>
    <w:rsid w:val="0DDA5B97"/>
    <w:rsid w:val="0DEFF975"/>
    <w:rsid w:val="0DFFC19E"/>
    <w:rsid w:val="0E1DD27C"/>
    <w:rsid w:val="0E43544A"/>
    <w:rsid w:val="0E4FC046"/>
    <w:rsid w:val="0E62F539"/>
    <w:rsid w:val="0EAB0432"/>
    <w:rsid w:val="0EBF5C1A"/>
    <w:rsid w:val="0EC060B7"/>
    <w:rsid w:val="0EC899DB"/>
    <w:rsid w:val="0EE680EC"/>
    <w:rsid w:val="0F1A37BB"/>
    <w:rsid w:val="0F29535C"/>
    <w:rsid w:val="0F397D00"/>
    <w:rsid w:val="0F483C71"/>
    <w:rsid w:val="0F586053"/>
    <w:rsid w:val="0F8AADAF"/>
    <w:rsid w:val="0FB6D5D3"/>
    <w:rsid w:val="0FC58A83"/>
    <w:rsid w:val="0FCCEDF7"/>
    <w:rsid w:val="0FDE3588"/>
    <w:rsid w:val="0FEECE73"/>
    <w:rsid w:val="100870A4"/>
    <w:rsid w:val="100EAFDC"/>
    <w:rsid w:val="1075C3D1"/>
    <w:rsid w:val="1087364F"/>
    <w:rsid w:val="10893A9B"/>
    <w:rsid w:val="108B0EB1"/>
    <w:rsid w:val="109D164F"/>
    <w:rsid w:val="10B0587B"/>
    <w:rsid w:val="10CAB4A5"/>
    <w:rsid w:val="10CCDAE4"/>
    <w:rsid w:val="10D8FAA6"/>
    <w:rsid w:val="10E67C29"/>
    <w:rsid w:val="11173296"/>
    <w:rsid w:val="11268B4D"/>
    <w:rsid w:val="11274791"/>
    <w:rsid w:val="11509F54"/>
    <w:rsid w:val="1152B09E"/>
    <w:rsid w:val="11588969"/>
    <w:rsid w:val="1163C3C9"/>
    <w:rsid w:val="11C1B04F"/>
    <w:rsid w:val="11C9EEB6"/>
    <w:rsid w:val="11E275E1"/>
    <w:rsid w:val="11F66177"/>
    <w:rsid w:val="1208570E"/>
    <w:rsid w:val="12107C47"/>
    <w:rsid w:val="1218D1AB"/>
    <w:rsid w:val="122E85B4"/>
    <w:rsid w:val="122FFD2E"/>
    <w:rsid w:val="1285069D"/>
    <w:rsid w:val="128D4A01"/>
    <w:rsid w:val="12C51F52"/>
    <w:rsid w:val="12C9071A"/>
    <w:rsid w:val="12D53F31"/>
    <w:rsid w:val="13034201"/>
    <w:rsid w:val="131DA781"/>
    <w:rsid w:val="13276260"/>
    <w:rsid w:val="132A40D7"/>
    <w:rsid w:val="133C71DA"/>
    <w:rsid w:val="133D7177"/>
    <w:rsid w:val="133DA039"/>
    <w:rsid w:val="133E4242"/>
    <w:rsid w:val="134A2357"/>
    <w:rsid w:val="13545893"/>
    <w:rsid w:val="1355C621"/>
    <w:rsid w:val="1361444E"/>
    <w:rsid w:val="1362E919"/>
    <w:rsid w:val="13AD6493"/>
    <w:rsid w:val="1418A6FA"/>
    <w:rsid w:val="144E85B2"/>
    <w:rsid w:val="14643966"/>
    <w:rsid w:val="147ACE8D"/>
    <w:rsid w:val="148061A2"/>
    <w:rsid w:val="149C481B"/>
    <w:rsid w:val="14A401B8"/>
    <w:rsid w:val="14A7E16C"/>
    <w:rsid w:val="14A9F678"/>
    <w:rsid w:val="14AC59D1"/>
    <w:rsid w:val="14D44D18"/>
    <w:rsid w:val="14E6F9B9"/>
    <w:rsid w:val="14EFFF9E"/>
    <w:rsid w:val="152E6D59"/>
    <w:rsid w:val="15359707"/>
    <w:rsid w:val="155F602A"/>
    <w:rsid w:val="156C6266"/>
    <w:rsid w:val="157E78FA"/>
    <w:rsid w:val="158FC397"/>
    <w:rsid w:val="159535EC"/>
    <w:rsid w:val="15A3A426"/>
    <w:rsid w:val="15B669A1"/>
    <w:rsid w:val="15B6D584"/>
    <w:rsid w:val="15C29C38"/>
    <w:rsid w:val="15D86151"/>
    <w:rsid w:val="15E5DB11"/>
    <w:rsid w:val="160C65EF"/>
    <w:rsid w:val="165F5C67"/>
    <w:rsid w:val="167C5AB0"/>
    <w:rsid w:val="168E771E"/>
    <w:rsid w:val="169D5FD9"/>
    <w:rsid w:val="16AE6040"/>
    <w:rsid w:val="16B6CF78"/>
    <w:rsid w:val="16C77863"/>
    <w:rsid w:val="16CE7AA6"/>
    <w:rsid w:val="171DDAC8"/>
    <w:rsid w:val="1727564D"/>
    <w:rsid w:val="1728D543"/>
    <w:rsid w:val="1736EB0D"/>
    <w:rsid w:val="17492CC6"/>
    <w:rsid w:val="17640911"/>
    <w:rsid w:val="1779290B"/>
    <w:rsid w:val="17847C59"/>
    <w:rsid w:val="1788F8D8"/>
    <w:rsid w:val="1791646B"/>
    <w:rsid w:val="17A6F12A"/>
    <w:rsid w:val="17ABA431"/>
    <w:rsid w:val="17BED5E7"/>
    <w:rsid w:val="17CE2C4E"/>
    <w:rsid w:val="17DF7BEA"/>
    <w:rsid w:val="184C0255"/>
    <w:rsid w:val="1878CDF6"/>
    <w:rsid w:val="18A7A4D6"/>
    <w:rsid w:val="18B332D0"/>
    <w:rsid w:val="18BB6363"/>
    <w:rsid w:val="18BD91AC"/>
    <w:rsid w:val="18D19C91"/>
    <w:rsid w:val="18D8B0CC"/>
    <w:rsid w:val="18E38752"/>
    <w:rsid w:val="190CDD7F"/>
    <w:rsid w:val="1918D75A"/>
    <w:rsid w:val="19291345"/>
    <w:rsid w:val="19405620"/>
    <w:rsid w:val="194491A9"/>
    <w:rsid w:val="195954A9"/>
    <w:rsid w:val="19648020"/>
    <w:rsid w:val="196502C0"/>
    <w:rsid w:val="198325E8"/>
    <w:rsid w:val="198DEDDD"/>
    <w:rsid w:val="199036A8"/>
    <w:rsid w:val="19B640CB"/>
    <w:rsid w:val="19BEADF6"/>
    <w:rsid w:val="19CA3FD7"/>
    <w:rsid w:val="19D7CAA6"/>
    <w:rsid w:val="19EDF8C8"/>
    <w:rsid w:val="19EFDFC7"/>
    <w:rsid w:val="1A0916B4"/>
    <w:rsid w:val="1A2D4A99"/>
    <w:rsid w:val="1A468B8C"/>
    <w:rsid w:val="1A5AECC1"/>
    <w:rsid w:val="1A729789"/>
    <w:rsid w:val="1A8BB95A"/>
    <w:rsid w:val="1A8F6799"/>
    <w:rsid w:val="1A91788C"/>
    <w:rsid w:val="1A93C0E7"/>
    <w:rsid w:val="1AAFEC7A"/>
    <w:rsid w:val="1AB5BB44"/>
    <w:rsid w:val="1AB7F272"/>
    <w:rsid w:val="1AF5CB35"/>
    <w:rsid w:val="1B0117F1"/>
    <w:rsid w:val="1B157450"/>
    <w:rsid w:val="1B5CD576"/>
    <w:rsid w:val="1B5FC8F6"/>
    <w:rsid w:val="1B7D1CFB"/>
    <w:rsid w:val="1B86278C"/>
    <w:rsid w:val="1BA59DA7"/>
    <w:rsid w:val="1BD528A0"/>
    <w:rsid w:val="1BE80DD1"/>
    <w:rsid w:val="1C3DA492"/>
    <w:rsid w:val="1C457882"/>
    <w:rsid w:val="1C5D3424"/>
    <w:rsid w:val="1C716250"/>
    <w:rsid w:val="1C895095"/>
    <w:rsid w:val="1CA52DCD"/>
    <w:rsid w:val="1CCD9A4A"/>
    <w:rsid w:val="1CDD25C7"/>
    <w:rsid w:val="1CDE6A4B"/>
    <w:rsid w:val="1D1D206F"/>
    <w:rsid w:val="1D5D3DCB"/>
    <w:rsid w:val="1D946541"/>
    <w:rsid w:val="1D974411"/>
    <w:rsid w:val="1DAC4BC8"/>
    <w:rsid w:val="1DCBDC18"/>
    <w:rsid w:val="1E0A1743"/>
    <w:rsid w:val="1E18FB0E"/>
    <w:rsid w:val="1E20800F"/>
    <w:rsid w:val="1E28DA61"/>
    <w:rsid w:val="1E393298"/>
    <w:rsid w:val="1E8E4C97"/>
    <w:rsid w:val="1EADA358"/>
    <w:rsid w:val="1EE24C8A"/>
    <w:rsid w:val="1EE2F39C"/>
    <w:rsid w:val="1F06652E"/>
    <w:rsid w:val="1F1BAE88"/>
    <w:rsid w:val="1F35AD08"/>
    <w:rsid w:val="1F4477EA"/>
    <w:rsid w:val="1F592C73"/>
    <w:rsid w:val="1F81AAC6"/>
    <w:rsid w:val="1FD7F2FB"/>
    <w:rsid w:val="200604E9"/>
    <w:rsid w:val="201580E9"/>
    <w:rsid w:val="2026C29D"/>
    <w:rsid w:val="202DCA52"/>
    <w:rsid w:val="202F4C0A"/>
    <w:rsid w:val="2051E643"/>
    <w:rsid w:val="2055CB5C"/>
    <w:rsid w:val="2055FB75"/>
    <w:rsid w:val="206AAA4F"/>
    <w:rsid w:val="206B970B"/>
    <w:rsid w:val="206DAA34"/>
    <w:rsid w:val="20A9D407"/>
    <w:rsid w:val="20AA359C"/>
    <w:rsid w:val="20AD261F"/>
    <w:rsid w:val="20AEDFBF"/>
    <w:rsid w:val="20CB3FB8"/>
    <w:rsid w:val="20DCEFA0"/>
    <w:rsid w:val="20E38A6A"/>
    <w:rsid w:val="20FD63CE"/>
    <w:rsid w:val="2106D933"/>
    <w:rsid w:val="2129ECB7"/>
    <w:rsid w:val="21408A20"/>
    <w:rsid w:val="2144C2DA"/>
    <w:rsid w:val="214833D3"/>
    <w:rsid w:val="2162A68C"/>
    <w:rsid w:val="2176D902"/>
    <w:rsid w:val="219D799E"/>
    <w:rsid w:val="21B52165"/>
    <w:rsid w:val="21C62CB7"/>
    <w:rsid w:val="221A382A"/>
    <w:rsid w:val="222B469A"/>
    <w:rsid w:val="222B5272"/>
    <w:rsid w:val="2248A8E3"/>
    <w:rsid w:val="224D4506"/>
    <w:rsid w:val="2253DF14"/>
    <w:rsid w:val="225BF61A"/>
    <w:rsid w:val="227A558F"/>
    <w:rsid w:val="22AD5E1F"/>
    <w:rsid w:val="22B529CC"/>
    <w:rsid w:val="22BE1EE1"/>
    <w:rsid w:val="22DD847A"/>
    <w:rsid w:val="22FEFE4A"/>
    <w:rsid w:val="230A0692"/>
    <w:rsid w:val="234AC1DE"/>
    <w:rsid w:val="23758B5D"/>
    <w:rsid w:val="237E70A7"/>
    <w:rsid w:val="23836A5C"/>
    <w:rsid w:val="239C20BB"/>
    <w:rsid w:val="23A40E88"/>
    <w:rsid w:val="23ACB49C"/>
    <w:rsid w:val="23CE1BCE"/>
    <w:rsid w:val="23DA15B7"/>
    <w:rsid w:val="2413B238"/>
    <w:rsid w:val="2421B6CA"/>
    <w:rsid w:val="242DE580"/>
    <w:rsid w:val="243D1398"/>
    <w:rsid w:val="24567D77"/>
    <w:rsid w:val="245F3CE1"/>
    <w:rsid w:val="24A51F4C"/>
    <w:rsid w:val="24AC8B22"/>
    <w:rsid w:val="24BDB6B4"/>
    <w:rsid w:val="24C4C922"/>
    <w:rsid w:val="25155637"/>
    <w:rsid w:val="251F4E6A"/>
    <w:rsid w:val="253563AC"/>
    <w:rsid w:val="25435C03"/>
    <w:rsid w:val="259271B5"/>
    <w:rsid w:val="25AFF482"/>
    <w:rsid w:val="25F55853"/>
    <w:rsid w:val="25FB99BA"/>
    <w:rsid w:val="261A1CCA"/>
    <w:rsid w:val="26372462"/>
    <w:rsid w:val="2656E387"/>
    <w:rsid w:val="26882334"/>
    <w:rsid w:val="268D52DC"/>
    <w:rsid w:val="2703437C"/>
    <w:rsid w:val="27269C51"/>
    <w:rsid w:val="2762E1DA"/>
    <w:rsid w:val="2764F43E"/>
    <w:rsid w:val="276FD291"/>
    <w:rsid w:val="278CDE96"/>
    <w:rsid w:val="2792D3CA"/>
    <w:rsid w:val="27AEB7B8"/>
    <w:rsid w:val="27D26DDE"/>
    <w:rsid w:val="28037299"/>
    <w:rsid w:val="280671E6"/>
    <w:rsid w:val="280EBAD0"/>
    <w:rsid w:val="2824FD1C"/>
    <w:rsid w:val="2839E5B0"/>
    <w:rsid w:val="28404614"/>
    <w:rsid w:val="286D52F6"/>
    <w:rsid w:val="287C7D7B"/>
    <w:rsid w:val="287E15E5"/>
    <w:rsid w:val="288AECA4"/>
    <w:rsid w:val="28AF9451"/>
    <w:rsid w:val="28B1B7CD"/>
    <w:rsid w:val="28D03DEB"/>
    <w:rsid w:val="28DA795B"/>
    <w:rsid w:val="28E5D808"/>
    <w:rsid w:val="28FA54C3"/>
    <w:rsid w:val="29165E7B"/>
    <w:rsid w:val="2923930F"/>
    <w:rsid w:val="292DDC23"/>
    <w:rsid w:val="296C54E5"/>
    <w:rsid w:val="296FE821"/>
    <w:rsid w:val="2977A4F3"/>
    <w:rsid w:val="29EEE2C5"/>
    <w:rsid w:val="29F9DB69"/>
    <w:rsid w:val="2A0805CA"/>
    <w:rsid w:val="2A36D9EA"/>
    <w:rsid w:val="2A497B48"/>
    <w:rsid w:val="2AA3F826"/>
    <w:rsid w:val="2AB64616"/>
    <w:rsid w:val="2B3D6487"/>
    <w:rsid w:val="2B5C57E0"/>
    <w:rsid w:val="2B715BDA"/>
    <w:rsid w:val="2B891B11"/>
    <w:rsid w:val="2BD28337"/>
    <w:rsid w:val="2BE4E4DA"/>
    <w:rsid w:val="2BEF920B"/>
    <w:rsid w:val="2BF38C8E"/>
    <w:rsid w:val="2C0FB3CD"/>
    <w:rsid w:val="2C14771E"/>
    <w:rsid w:val="2C27D42B"/>
    <w:rsid w:val="2C300339"/>
    <w:rsid w:val="2C39F840"/>
    <w:rsid w:val="2CABFB7C"/>
    <w:rsid w:val="2CB88961"/>
    <w:rsid w:val="2CCC0E2E"/>
    <w:rsid w:val="2CDA8103"/>
    <w:rsid w:val="2D362F6F"/>
    <w:rsid w:val="2D48E43E"/>
    <w:rsid w:val="2D4F0034"/>
    <w:rsid w:val="2D5571F0"/>
    <w:rsid w:val="2DBC5624"/>
    <w:rsid w:val="2E06DF19"/>
    <w:rsid w:val="2E24A910"/>
    <w:rsid w:val="2E2FB385"/>
    <w:rsid w:val="2E701E77"/>
    <w:rsid w:val="2E8449FF"/>
    <w:rsid w:val="2E88191E"/>
    <w:rsid w:val="2E9178B2"/>
    <w:rsid w:val="2EB35AAA"/>
    <w:rsid w:val="2EB5EC9A"/>
    <w:rsid w:val="2ECD1E81"/>
    <w:rsid w:val="2ECD4D75"/>
    <w:rsid w:val="2EE1AA6C"/>
    <w:rsid w:val="2EFC0C0E"/>
    <w:rsid w:val="2F47548F"/>
    <w:rsid w:val="2F69C35B"/>
    <w:rsid w:val="2F76F931"/>
    <w:rsid w:val="2FA4A191"/>
    <w:rsid w:val="2FB59CEA"/>
    <w:rsid w:val="2FCB618D"/>
    <w:rsid w:val="30069D64"/>
    <w:rsid w:val="301B44B5"/>
    <w:rsid w:val="301D74E0"/>
    <w:rsid w:val="303C5987"/>
    <w:rsid w:val="304B1C79"/>
    <w:rsid w:val="306FD53F"/>
    <w:rsid w:val="3070A36D"/>
    <w:rsid w:val="307CBBBC"/>
    <w:rsid w:val="30AE4360"/>
    <w:rsid w:val="30BA9122"/>
    <w:rsid w:val="30D0ED5F"/>
    <w:rsid w:val="311AE594"/>
    <w:rsid w:val="311BB05B"/>
    <w:rsid w:val="312CAA0C"/>
    <w:rsid w:val="3132A18E"/>
    <w:rsid w:val="3136BE6F"/>
    <w:rsid w:val="313796E7"/>
    <w:rsid w:val="313E1E9B"/>
    <w:rsid w:val="314DCBBA"/>
    <w:rsid w:val="3167D752"/>
    <w:rsid w:val="31962851"/>
    <w:rsid w:val="31D7FF4F"/>
    <w:rsid w:val="31DA7B18"/>
    <w:rsid w:val="31E9CC48"/>
    <w:rsid w:val="323A0A13"/>
    <w:rsid w:val="32433157"/>
    <w:rsid w:val="32500AEE"/>
    <w:rsid w:val="325A68AF"/>
    <w:rsid w:val="326B45CC"/>
    <w:rsid w:val="326B90A8"/>
    <w:rsid w:val="329CD54F"/>
    <w:rsid w:val="32C1913A"/>
    <w:rsid w:val="32D102EB"/>
    <w:rsid w:val="32EFAAD2"/>
    <w:rsid w:val="32EFC37B"/>
    <w:rsid w:val="32F01D09"/>
    <w:rsid w:val="32F9C56C"/>
    <w:rsid w:val="32FCC284"/>
    <w:rsid w:val="33104B59"/>
    <w:rsid w:val="332F4CF6"/>
    <w:rsid w:val="333360FF"/>
    <w:rsid w:val="334A4EBD"/>
    <w:rsid w:val="33521A49"/>
    <w:rsid w:val="3374DD9F"/>
    <w:rsid w:val="3376CF26"/>
    <w:rsid w:val="338805A9"/>
    <w:rsid w:val="33AEDE75"/>
    <w:rsid w:val="33D9CBBB"/>
    <w:rsid w:val="33DFC6C0"/>
    <w:rsid w:val="34122ED4"/>
    <w:rsid w:val="34323AD2"/>
    <w:rsid w:val="3444C426"/>
    <w:rsid w:val="3446A719"/>
    <w:rsid w:val="345B94AC"/>
    <w:rsid w:val="3463FD9D"/>
    <w:rsid w:val="346D0F48"/>
    <w:rsid w:val="3472D87C"/>
    <w:rsid w:val="348D3478"/>
    <w:rsid w:val="34BC72B7"/>
    <w:rsid w:val="34C9DB06"/>
    <w:rsid w:val="34CD8314"/>
    <w:rsid w:val="34E59F7B"/>
    <w:rsid w:val="34F46816"/>
    <w:rsid w:val="34F86937"/>
    <w:rsid w:val="35046DF8"/>
    <w:rsid w:val="3505A271"/>
    <w:rsid w:val="3506A9BD"/>
    <w:rsid w:val="35327DD7"/>
    <w:rsid w:val="3533434A"/>
    <w:rsid w:val="35546CEE"/>
    <w:rsid w:val="358E2A0A"/>
    <w:rsid w:val="35CEA295"/>
    <w:rsid w:val="35E622C5"/>
    <w:rsid w:val="35F656C1"/>
    <w:rsid w:val="36382270"/>
    <w:rsid w:val="364D744E"/>
    <w:rsid w:val="3657EC57"/>
    <w:rsid w:val="3660A911"/>
    <w:rsid w:val="3662F1FD"/>
    <w:rsid w:val="3665731D"/>
    <w:rsid w:val="367B4E18"/>
    <w:rsid w:val="36A17120"/>
    <w:rsid w:val="36DC1950"/>
    <w:rsid w:val="36F88B86"/>
    <w:rsid w:val="36FBC3BE"/>
    <w:rsid w:val="36FBCBA3"/>
    <w:rsid w:val="3704E34A"/>
    <w:rsid w:val="37228DD7"/>
    <w:rsid w:val="3741230B"/>
    <w:rsid w:val="374C6708"/>
    <w:rsid w:val="374E4BA4"/>
    <w:rsid w:val="375A63BA"/>
    <w:rsid w:val="376FE2D7"/>
    <w:rsid w:val="3777361F"/>
    <w:rsid w:val="378ACD24"/>
    <w:rsid w:val="379E60FA"/>
    <w:rsid w:val="37A7340E"/>
    <w:rsid w:val="37A814D2"/>
    <w:rsid w:val="37D097EF"/>
    <w:rsid w:val="37D3234D"/>
    <w:rsid w:val="37D6DE6B"/>
    <w:rsid w:val="37F1B203"/>
    <w:rsid w:val="37F220D8"/>
    <w:rsid w:val="3813AF54"/>
    <w:rsid w:val="382A863E"/>
    <w:rsid w:val="38986EA1"/>
    <w:rsid w:val="38A1B7E9"/>
    <w:rsid w:val="38AA737F"/>
    <w:rsid w:val="38C01D5D"/>
    <w:rsid w:val="39309766"/>
    <w:rsid w:val="39513640"/>
    <w:rsid w:val="3958E50C"/>
    <w:rsid w:val="396A20B1"/>
    <w:rsid w:val="397DA19C"/>
    <w:rsid w:val="39B95BF6"/>
    <w:rsid w:val="39BFB254"/>
    <w:rsid w:val="39C084C3"/>
    <w:rsid w:val="39C38B7A"/>
    <w:rsid w:val="39E9D65D"/>
    <w:rsid w:val="3A303AA8"/>
    <w:rsid w:val="3AA8B0A3"/>
    <w:rsid w:val="3AAE7F07"/>
    <w:rsid w:val="3AE73D78"/>
    <w:rsid w:val="3AE8C091"/>
    <w:rsid w:val="3AF7011B"/>
    <w:rsid w:val="3B2F3023"/>
    <w:rsid w:val="3B30CD9D"/>
    <w:rsid w:val="3B582377"/>
    <w:rsid w:val="3B5CE872"/>
    <w:rsid w:val="3B76ECD2"/>
    <w:rsid w:val="3B826286"/>
    <w:rsid w:val="3B9BE951"/>
    <w:rsid w:val="3BA43AB5"/>
    <w:rsid w:val="3BCFE13E"/>
    <w:rsid w:val="3BD0ED36"/>
    <w:rsid w:val="3BDFED88"/>
    <w:rsid w:val="3BE40B7A"/>
    <w:rsid w:val="3C31B809"/>
    <w:rsid w:val="3C4A4E64"/>
    <w:rsid w:val="3C507739"/>
    <w:rsid w:val="3C52B9C2"/>
    <w:rsid w:val="3C5A3F70"/>
    <w:rsid w:val="3C69E57C"/>
    <w:rsid w:val="3C7D1775"/>
    <w:rsid w:val="3C81BEB3"/>
    <w:rsid w:val="3CA28F2A"/>
    <w:rsid w:val="3CC77F2F"/>
    <w:rsid w:val="3CD24146"/>
    <w:rsid w:val="3CD42C08"/>
    <w:rsid w:val="3CDD3F18"/>
    <w:rsid w:val="3CEBDADD"/>
    <w:rsid w:val="3D3A8A45"/>
    <w:rsid w:val="3D75D3B2"/>
    <w:rsid w:val="3D8E31C6"/>
    <w:rsid w:val="3DA4E57C"/>
    <w:rsid w:val="3DBE5572"/>
    <w:rsid w:val="3DBEFA8C"/>
    <w:rsid w:val="3DD11D49"/>
    <w:rsid w:val="3DDB610C"/>
    <w:rsid w:val="3DFDCCBC"/>
    <w:rsid w:val="3E1EA06B"/>
    <w:rsid w:val="3E515566"/>
    <w:rsid w:val="3E558B2B"/>
    <w:rsid w:val="3E5F4717"/>
    <w:rsid w:val="3E647316"/>
    <w:rsid w:val="3E6F8F01"/>
    <w:rsid w:val="3E83F53E"/>
    <w:rsid w:val="3E96FC38"/>
    <w:rsid w:val="3E9E05A0"/>
    <w:rsid w:val="3EA47CA1"/>
    <w:rsid w:val="3EB1E279"/>
    <w:rsid w:val="3EDE8D63"/>
    <w:rsid w:val="3EF01BCF"/>
    <w:rsid w:val="3EF5A339"/>
    <w:rsid w:val="3F044EEB"/>
    <w:rsid w:val="3F24ACFF"/>
    <w:rsid w:val="3F24B23E"/>
    <w:rsid w:val="3F5A2ECC"/>
    <w:rsid w:val="3F61F580"/>
    <w:rsid w:val="3F6657D2"/>
    <w:rsid w:val="3F66AA27"/>
    <w:rsid w:val="3F733594"/>
    <w:rsid w:val="3F8D2CD0"/>
    <w:rsid w:val="3FA0B9BB"/>
    <w:rsid w:val="3FA3E41E"/>
    <w:rsid w:val="3FB0F6D0"/>
    <w:rsid w:val="3FDA6343"/>
    <w:rsid w:val="3FE46343"/>
    <w:rsid w:val="40458194"/>
    <w:rsid w:val="405A15AD"/>
    <w:rsid w:val="405DAA86"/>
    <w:rsid w:val="4062B43C"/>
    <w:rsid w:val="40644108"/>
    <w:rsid w:val="4070E65C"/>
    <w:rsid w:val="408FE50D"/>
    <w:rsid w:val="40957EB6"/>
    <w:rsid w:val="40BFC069"/>
    <w:rsid w:val="40EB4633"/>
    <w:rsid w:val="40EE6971"/>
    <w:rsid w:val="4101E0CD"/>
    <w:rsid w:val="411555EF"/>
    <w:rsid w:val="417AC863"/>
    <w:rsid w:val="419B5880"/>
    <w:rsid w:val="41BE9EAF"/>
    <w:rsid w:val="41BEE8EB"/>
    <w:rsid w:val="41D03768"/>
    <w:rsid w:val="41F3FEB1"/>
    <w:rsid w:val="41FF6C52"/>
    <w:rsid w:val="42110AEC"/>
    <w:rsid w:val="42214F41"/>
    <w:rsid w:val="426047D2"/>
    <w:rsid w:val="428488E7"/>
    <w:rsid w:val="42CBD048"/>
    <w:rsid w:val="42CBD7FF"/>
    <w:rsid w:val="431AC75A"/>
    <w:rsid w:val="43263D4B"/>
    <w:rsid w:val="432E0A08"/>
    <w:rsid w:val="4339AED8"/>
    <w:rsid w:val="4340CEB3"/>
    <w:rsid w:val="4348788D"/>
    <w:rsid w:val="438EAB44"/>
    <w:rsid w:val="439BDCEE"/>
    <w:rsid w:val="439C60D4"/>
    <w:rsid w:val="439E5F24"/>
    <w:rsid w:val="43F4CDB5"/>
    <w:rsid w:val="442C2524"/>
    <w:rsid w:val="444BEA68"/>
    <w:rsid w:val="445ABB38"/>
    <w:rsid w:val="4470E439"/>
    <w:rsid w:val="44A37932"/>
    <w:rsid w:val="44C1F5FD"/>
    <w:rsid w:val="4510F3FE"/>
    <w:rsid w:val="4515511E"/>
    <w:rsid w:val="45203DCD"/>
    <w:rsid w:val="454D8BF8"/>
    <w:rsid w:val="456282B9"/>
    <w:rsid w:val="45AFB9B7"/>
    <w:rsid w:val="45E59D57"/>
    <w:rsid w:val="45EABE16"/>
    <w:rsid w:val="46223F46"/>
    <w:rsid w:val="464E5F09"/>
    <w:rsid w:val="4652D424"/>
    <w:rsid w:val="46AA78E0"/>
    <w:rsid w:val="46CBEA22"/>
    <w:rsid w:val="46F3368E"/>
    <w:rsid w:val="473DA1C6"/>
    <w:rsid w:val="473ED1AD"/>
    <w:rsid w:val="475765E6"/>
    <w:rsid w:val="4762A01A"/>
    <w:rsid w:val="4764DB4F"/>
    <w:rsid w:val="47875C37"/>
    <w:rsid w:val="47DD1419"/>
    <w:rsid w:val="47E1228C"/>
    <w:rsid w:val="47E3A47C"/>
    <w:rsid w:val="47F0954A"/>
    <w:rsid w:val="4848ECCD"/>
    <w:rsid w:val="4867C62D"/>
    <w:rsid w:val="4875F9A1"/>
    <w:rsid w:val="487EAF12"/>
    <w:rsid w:val="48AD8E44"/>
    <w:rsid w:val="48B61646"/>
    <w:rsid w:val="48C72355"/>
    <w:rsid w:val="48D9E49C"/>
    <w:rsid w:val="48DA871E"/>
    <w:rsid w:val="48DAA20E"/>
    <w:rsid w:val="4900F6D0"/>
    <w:rsid w:val="49233482"/>
    <w:rsid w:val="492894A4"/>
    <w:rsid w:val="492AFC52"/>
    <w:rsid w:val="493A4AE4"/>
    <w:rsid w:val="493DD8CB"/>
    <w:rsid w:val="49476B86"/>
    <w:rsid w:val="495E507B"/>
    <w:rsid w:val="49C05049"/>
    <w:rsid w:val="49D1519B"/>
    <w:rsid w:val="49F3027A"/>
    <w:rsid w:val="4A11E735"/>
    <w:rsid w:val="4A41CCBE"/>
    <w:rsid w:val="4A6E5A42"/>
    <w:rsid w:val="4A70DB42"/>
    <w:rsid w:val="4A9F631B"/>
    <w:rsid w:val="4AAEF087"/>
    <w:rsid w:val="4AD7F141"/>
    <w:rsid w:val="4B14E199"/>
    <w:rsid w:val="4B2937FC"/>
    <w:rsid w:val="4B2AC91D"/>
    <w:rsid w:val="4B2D24C7"/>
    <w:rsid w:val="4B46F1EA"/>
    <w:rsid w:val="4B5E501C"/>
    <w:rsid w:val="4B74F743"/>
    <w:rsid w:val="4B9DD0C9"/>
    <w:rsid w:val="4BC6D414"/>
    <w:rsid w:val="4BE71CCF"/>
    <w:rsid w:val="4C2673E0"/>
    <w:rsid w:val="4C2D6259"/>
    <w:rsid w:val="4C4AEE82"/>
    <w:rsid w:val="4C9D495E"/>
    <w:rsid w:val="4CACACB2"/>
    <w:rsid w:val="4CCF8F74"/>
    <w:rsid w:val="4CD24B5A"/>
    <w:rsid w:val="4D0B48B6"/>
    <w:rsid w:val="4D25FE6E"/>
    <w:rsid w:val="4D469AED"/>
    <w:rsid w:val="4D549E69"/>
    <w:rsid w:val="4D72F36E"/>
    <w:rsid w:val="4D8A3ADC"/>
    <w:rsid w:val="4D91C9F3"/>
    <w:rsid w:val="4D9C1BA1"/>
    <w:rsid w:val="4DACE3F0"/>
    <w:rsid w:val="4DB37499"/>
    <w:rsid w:val="4DBCE646"/>
    <w:rsid w:val="4DC5501B"/>
    <w:rsid w:val="4DD6B000"/>
    <w:rsid w:val="4DE69DF1"/>
    <w:rsid w:val="4DE74250"/>
    <w:rsid w:val="4DFB7ACF"/>
    <w:rsid w:val="4E03DE1E"/>
    <w:rsid w:val="4E0E17CD"/>
    <w:rsid w:val="4E40AB1A"/>
    <w:rsid w:val="4E40FD24"/>
    <w:rsid w:val="4E42E42F"/>
    <w:rsid w:val="4E616D0A"/>
    <w:rsid w:val="4E7B9A21"/>
    <w:rsid w:val="4E8BC674"/>
    <w:rsid w:val="4EA39BBD"/>
    <w:rsid w:val="4EB3F0BC"/>
    <w:rsid w:val="4EE4B82D"/>
    <w:rsid w:val="4EFA010D"/>
    <w:rsid w:val="4F39D42A"/>
    <w:rsid w:val="4F408A35"/>
    <w:rsid w:val="4F6DD847"/>
    <w:rsid w:val="4F749412"/>
    <w:rsid w:val="4F7FC4C6"/>
    <w:rsid w:val="4F8805F2"/>
    <w:rsid w:val="4FE15566"/>
    <w:rsid w:val="4FE6385E"/>
    <w:rsid w:val="4FFBA814"/>
    <w:rsid w:val="5010747E"/>
    <w:rsid w:val="50226563"/>
    <w:rsid w:val="50277334"/>
    <w:rsid w:val="5028C37D"/>
    <w:rsid w:val="506180D2"/>
    <w:rsid w:val="50683B2F"/>
    <w:rsid w:val="50854AEC"/>
    <w:rsid w:val="50ABD72D"/>
    <w:rsid w:val="50B4BA00"/>
    <w:rsid w:val="50BA9C66"/>
    <w:rsid w:val="50E390A8"/>
    <w:rsid w:val="50EBD61E"/>
    <w:rsid w:val="50F886B0"/>
    <w:rsid w:val="510CB5CF"/>
    <w:rsid w:val="510CC0D0"/>
    <w:rsid w:val="51257E3A"/>
    <w:rsid w:val="513B23D2"/>
    <w:rsid w:val="5150B127"/>
    <w:rsid w:val="515893E0"/>
    <w:rsid w:val="515F312C"/>
    <w:rsid w:val="518959C3"/>
    <w:rsid w:val="518A5454"/>
    <w:rsid w:val="51A4902D"/>
    <w:rsid w:val="51A6E772"/>
    <w:rsid w:val="51B1C624"/>
    <w:rsid w:val="51F5A97B"/>
    <w:rsid w:val="520677FD"/>
    <w:rsid w:val="520BD456"/>
    <w:rsid w:val="520D4457"/>
    <w:rsid w:val="520F5D24"/>
    <w:rsid w:val="521176E1"/>
    <w:rsid w:val="522667E3"/>
    <w:rsid w:val="524B6565"/>
    <w:rsid w:val="52556B4E"/>
    <w:rsid w:val="525DD40F"/>
    <w:rsid w:val="528DA228"/>
    <w:rsid w:val="528F0094"/>
    <w:rsid w:val="52A08F88"/>
    <w:rsid w:val="52C57208"/>
    <w:rsid w:val="52E01824"/>
    <w:rsid w:val="52E0E145"/>
    <w:rsid w:val="5304D3CE"/>
    <w:rsid w:val="533EE77A"/>
    <w:rsid w:val="53507149"/>
    <w:rsid w:val="5385581A"/>
    <w:rsid w:val="539DA78F"/>
    <w:rsid w:val="53CDE8FB"/>
    <w:rsid w:val="53DBF94B"/>
    <w:rsid w:val="53F1593D"/>
    <w:rsid w:val="543AB8DB"/>
    <w:rsid w:val="5449508A"/>
    <w:rsid w:val="547E09D9"/>
    <w:rsid w:val="548A43C4"/>
    <w:rsid w:val="54C6898C"/>
    <w:rsid w:val="54C6B341"/>
    <w:rsid w:val="54D72CEB"/>
    <w:rsid w:val="54E76C9E"/>
    <w:rsid w:val="54E85A1F"/>
    <w:rsid w:val="54F92E8C"/>
    <w:rsid w:val="5501297E"/>
    <w:rsid w:val="55398854"/>
    <w:rsid w:val="553AA56E"/>
    <w:rsid w:val="554621CB"/>
    <w:rsid w:val="5547B0F8"/>
    <w:rsid w:val="554A2CA2"/>
    <w:rsid w:val="55558213"/>
    <w:rsid w:val="556416CA"/>
    <w:rsid w:val="556F8857"/>
    <w:rsid w:val="5574B069"/>
    <w:rsid w:val="55AEEF5A"/>
    <w:rsid w:val="55DAEEDB"/>
    <w:rsid w:val="55E0893F"/>
    <w:rsid w:val="55E9CB80"/>
    <w:rsid w:val="5601A7C6"/>
    <w:rsid w:val="56299AE5"/>
    <w:rsid w:val="5648C77B"/>
    <w:rsid w:val="566E7CDF"/>
    <w:rsid w:val="569A96F0"/>
    <w:rsid w:val="56B1F628"/>
    <w:rsid w:val="56BF54BE"/>
    <w:rsid w:val="56BF848B"/>
    <w:rsid w:val="56C05011"/>
    <w:rsid w:val="56DB57FA"/>
    <w:rsid w:val="56E97987"/>
    <w:rsid w:val="56F435B6"/>
    <w:rsid w:val="571F2F77"/>
    <w:rsid w:val="57228DA1"/>
    <w:rsid w:val="57325C65"/>
    <w:rsid w:val="575915A5"/>
    <w:rsid w:val="57890B88"/>
    <w:rsid w:val="578CEAB0"/>
    <w:rsid w:val="57E80E80"/>
    <w:rsid w:val="57F2E4AA"/>
    <w:rsid w:val="5813C759"/>
    <w:rsid w:val="58182CF7"/>
    <w:rsid w:val="58219342"/>
    <w:rsid w:val="58717764"/>
    <w:rsid w:val="58798CD1"/>
    <w:rsid w:val="587C2250"/>
    <w:rsid w:val="587DB66A"/>
    <w:rsid w:val="5884E442"/>
    <w:rsid w:val="58B9ABBD"/>
    <w:rsid w:val="58E8FE2A"/>
    <w:rsid w:val="59006E7A"/>
    <w:rsid w:val="5912D921"/>
    <w:rsid w:val="5924D221"/>
    <w:rsid w:val="5937938B"/>
    <w:rsid w:val="59404735"/>
    <w:rsid w:val="5985C2D3"/>
    <w:rsid w:val="59902DFC"/>
    <w:rsid w:val="5992BC18"/>
    <w:rsid w:val="59C692AE"/>
    <w:rsid w:val="5A235615"/>
    <w:rsid w:val="5A2B0BCA"/>
    <w:rsid w:val="5A698557"/>
    <w:rsid w:val="5A982191"/>
    <w:rsid w:val="5AAD5657"/>
    <w:rsid w:val="5AB308F1"/>
    <w:rsid w:val="5B0DCAEE"/>
    <w:rsid w:val="5B1713AC"/>
    <w:rsid w:val="5B19F8D5"/>
    <w:rsid w:val="5B286239"/>
    <w:rsid w:val="5B7A3451"/>
    <w:rsid w:val="5BAA8A74"/>
    <w:rsid w:val="5BC5A6C3"/>
    <w:rsid w:val="5BE608D4"/>
    <w:rsid w:val="5BF7CCB4"/>
    <w:rsid w:val="5BFB9BD3"/>
    <w:rsid w:val="5C128E44"/>
    <w:rsid w:val="5C23840D"/>
    <w:rsid w:val="5C4ED952"/>
    <w:rsid w:val="5C4FA28A"/>
    <w:rsid w:val="5C63A909"/>
    <w:rsid w:val="5C7AF043"/>
    <w:rsid w:val="5C80C503"/>
    <w:rsid w:val="5C9D0331"/>
    <w:rsid w:val="5CAC4CE7"/>
    <w:rsid w:val="5CB0704D"/>
    <w:rsid w:val="5CB29885"/>
    <w:rsid w:val="5CBDE048"/>
    <w:rsid w:val="5CC6110C"/>
    <w:rsid w:val="5CFECD89"/>
    <w:rsid w:val="5D050501"/>
    <w:rsid w:val="5D19F892"/>
    <w:rsid w:val="5D28CABD"/>
    <w:rsid w:val="5D301E3F"/>
    <w:rsid w:val="5D44E5E6"/>
    <w:rsid w:val="5D524796"/>
    <w:rsid w:val="5D8249E2"/>
    <w:rsid w:val="5DED3E21"/>
    <w:rsid w:val="5DF99BC8"/>
    <w:rsid w:val="5E152F4A"/>
    <w:rsid w:val="5E1C1051"/>
    <w:rsid w:val="5E476BA4"/>
    <w:rsid w:val="5E5081AA"/>
    <w:rsid w:val="5E538C4A"/>
    <w:rsid w:val="5E61F6C4"/>
    <w:rsid w:val="5EAACFD0"/>
    <w:rsid w:val="5ECC84F3"/>
    <w:rsid w:val="5ED127E4"/>
    <w:rsid w:val="5EE1F098"/>
    <w:rsid w:val="5EE8639A"/>
    <w:rsid w:val="5F03F848"/>
    <w:rsid w:val="5F15875B"/>
    <w:rsid w:val="5F2E02D8"/>
    <w:rsid w:val="5F32CD80"/>
    <w:rsid w:val="5F562CFC"/>
    <w:rsid w:val="5F7B484B"/>
    <w:rsid w:val="5FB34819"/>
    <w:rsid w:val="5FD8A6F1"/>
    <w:rsid w:val="5FFEC460"/>
    <w:rsid w:val="600B1B6C"/>
    <w:rsid w:val="6037F9CA"/>
    <w:rsid w:val="60506C4C"/>
    <w:rsid w:val="6066929E"/>
    <w:rsid w:val="608D4F8F"/>
    <w:rsid w:val="60A3871D"/>
    <w:rsid w:val="60BC1E88"/>
    <w:rsid w:val="60BE4727"/>
    <w:rsid w:val="60C38540"/>
    <w:rsid w:val="6109C780"/>
    <w:rsid w:val="6117B9F5"/>
    <w:rsid w:val="6122AF06"/>
    <w:rsid w:val="619CF90E"/>
    <w:rsid w:val="61CA3DCF"/>
    <w:rsid w:val="61F1CA19"/>
    <w:rsid w:val="6202EE62"/>
    <w:rsid w:val="620885EF"/>
    <w:rsid w:val="620E80C5"/>
    <w:rsid w:val="62137D24"/>
    <w:rsid w:val="62392E95"/>
    <w:rsid w:val="6271D098"/>
    <w:rsid w:val="6276BEAC"/>
    <w:rsid w:val="629C822A"/>
    <w:rsid w:val="62A573D7"/>
    <w:rsid w:val="62AB9F82"/>
    <w:rsid w:val="62D2DEB7"/>
    <w:rsid w:val="62E63768"/>
    <w:rsid w:val="6326BA47"/>
    <w:rsid w:val="635D1D95"/>
    <w:rsid w:val="638C2216"/>
    <w:rsid w:val="638EA540"/>
    <w:rsid w:val="63A0B80D"/>
    <w:rsid w:val="63A15858"/>
    <w:rsid w:val="63D56AD5"/>
    <w:rsid w:val="63DCF608"/>
    <w:rsid w:val="6402CD6E"/>
    <w:rsid w:val="64053317"/>
    <w:rsid w:val="6457D791"/>
    <w:rsid w:val="645A9CEC"/>
    <w:rsid w:val="6481B6D5"/>
    <w:rsid w:val="6496ED30"/>
    <w:rsid w:val="64A1AA53"/>
    <w:rsid w:val="64B538A5"/>
    <w:rsid w:val="65039DF8"/>
    <w:rsid w:val="650A707E"/>
    <w:rsid w:val="65249CEE"/>
    <w:rsid w:val="65376CB4"/>
    <w:rsid w:val="653FFF12"/>
    <w:rsid w:val="659E239B"/>
    <w:rsid w:val="65A61B17"/>
    <w:rsid w:val="65A971EF"/>
    <w:rsid w:val="65BD1530"/>
    <w:rsid w:val="6600C2CD"/>
    <w:rsid w:val="660BB742"/>
    <w:rsid w:val="660E1944"/>
    <w:rsid w:val="66338F34"/>
    <w:rsid w:val="665CC8A0"/>
    <w:rsid w:val="66706A31"/>
    <w:rsid w:val="667A61FB"/>
    <w:rsid w:val="669B1A92"/>
    <w:rsid w:val="669B260C"/>
    <w:rsid w:val="66A3BB37"/>
    <w:rsid w:val="66C26130"/>
    <w:rsid w:val="6714C74A"/>
    <w:rsid w:val="67290C37"/>
    <w:rsid w:val="67391066"/>
    <w:rsid w:val="6777F0B9"/>
    <w:rsid w:val="67893796"/>
    <w:rsid w:val="67A7985D"/>
    <w:rsid w:val="67A8C76A"/>
    <w:rsid w:val="67E04275"/>
    <w:rsid w:val="67E85C8C"/>
    <w:rsid w:val="67ECCF35"/>
    <w:rsid w:val="67FC6081"/>
    <w:rsid w:val="68075D5C"/>
    <w:rsid w:val="681B1288"/>
    <w:rsid w:val="6821E1F0"/>
    <w:rsid w:val="683F8CA5"/>
    <w:rsid w:val="684E92CE"/>
    <w:rsid w:val="68678192"/>
    <w:rsid w:val="6870E8D1"/>
    <w:rsid w:val="6883F07F"/>
    <w:rsid w:val="68861C6C"/>
    <w:rsid w:val="68C447E7"/>
    <w:rsid w:val="690035D9"/>
    <w:rsid w:val="690F26E3"/>
    <w:rsid w:val="691BDF69"/>
    <w:rsid w:val="69208225"/>
    <w:rsid w:val="693829B8"/>
    <w:rsid w:val="694AE58D"/>
    <w:rsid w:val="69565EF6"/>
    <w:rsid w:val="696991EC"/>
    <w:rsid w:val="696EF8E0"/>
    <w:rsid w:val="6978B70C"/>
    <w:rsid w:val="697CC1E7"/>
    <w:rsid w:val="698B0F89"/>
    <w:rsid w:val="6996C037"/>
    <w:rsid w:val="699BBE5F"/>
    <w:rsid w:val="69BE9F04"/>
    <w:rsid w:val="69E0E1EF"/>
    <w:rsid w:val="69F8E229"/>
    <w:rsid w:val="6A17223D"/>
    <w:rsid w:val="6A29436C"/>
    <w:rsid w:val="6A438017"/>
    <w:rsid w:val="6A6B3690"/>
    <w:rsid w:val="6AC67E47"/>
    <w:rsid w:val="6ACB7282"/>
    <w:rsid w:val="6B26F399"/>
    <w:rsid w:val="6B300802"/>
    <w:rsid w:val="6B556358"/>
    <w:rsid w:val="6B6915DB"/>
    <w:rsid w:val="6B6DC04F"/>
    <w:rsid w:val="6B74E0AE"/>
    <w:rsid w:val="6B795876"/>
    <w:rsid w:val="6B7C427C"/>
    <w:rsid w:val="6B8C1620"/>
    <w:rsid w:val="6BB1A36C"/>
    <w:rsid w:val="6BB25F2E"/>
    <w:rsid w:val="6BC36D74"/>
    <w:rsid w:val="6BC81DFF"/>
    <w:rsid w:val="6BDF1EDD"/>
    <w:rsid w:val="6BFC4272"/>
    <w:rsid w:val="6C03A141"/>
    <w:rsid w:val="6C0CB17B"/>
    <w:rsid w:val="6C16943C"/>
    <w:rsid w:val="6C1C7340"/>
    <w:rsid w:val="6C5BC7EE"/>
    <w:rsid w:val="6C71A775"/>
    <w:rsid w:val="6C94C079"/>
    <w:rsid w:val="6CC486B7"/>
    <w:rsid w:val="6CE90A0A"/>
    <w:rsid w:val="6CF133B9"/>
    <w:rsid w:val="6D2005DC"/>
    <w:rsid w:val="6D3A3ADD"/>
    <w:rsid w:val="6D63C070"/>
    <w:rsid w:val="6D739972"/>
    <w:rsid w:val="6D7638C5"/>
    <w:rsid w:val="6D7E3D1C"/>
    <w:rsid w:val="6DC8C641"/>
    <w:rsid w:val="6DE2C4D5"/>
    <w:rsid w:val="6E026F3E"/>
    <w:rsid w:val="6E0B4926"/>
    <w:rsid w:val="6E0F87F5"/>
    <w:rsid w:val="6E15798F"/>
    <w:rsid w:val="6E627F8D"/>
    <w:rsid w:val="6E69AC39"/>
    <w:rsid w:val="6E6C9E24"/>
    <w:rsid w:val="6E736B7B"/>
    <w:rsid w:val="6E76940A"/>
    <w:rsid w:val="6E7A3F24"/>
    <w:rsid w:val="6EA15F97"/>
    <w:rsid w:val="6ED60B3E"/>
    <w:rsid w:val="6EDDE726"/>
    <w:rsid w:val="6EE0C3E1"/>
    <w:rsid w:val="6EE3352A"/>
    <w:rsid w:val="6EEF30AA"/>
    <w:rsid w:val="6EF31A83"/>
    <w:rsid w:val="6F16AB00"/>
    <w:rsid w:val="6F23758D"/>
    <w:rsid w:val="6F456450"/>
    <w:rsid w:val="6F491A43"/>
    <w:rsid w:val="6F53B2E7"/>
    <w:rsid w:val="6F91363F"/>
    <w:rsid w:val="6F95803A"/>
    <w:rsid w:val="6FA0168B"/>
    <w:rsid w:val="6FB6634C"/>
    <w:rsid w:val="6FC13608"/>
    <w:rsid w:val="6FE333EC"/>
    <w:rsid w:val="70158381"/>
    <w:rsid w:val="7016FBF6"/>
    <w:rsid w:val="701E7AC5"/>
    <w:rsid w:val="7059F2B3"/>
    <w:rsid w:val="7089D4F6"/>
    <w:rsid w:val="70912FE0"/>
    <w:rsid w:val="70CA7C9B"/>
    <w:rsid w:val="7102AF67"/>
    <w:rsid w:val="711CB08C"/>
    <w:rsid w:val="7125979F"/>
    <w:rsid w:val="7144C214"/>
    <w:rsid w:val="714CF88C"/>
    <w:rsid w:val="715CE450"/>
    <w:rsid w:val="716F686B"/>
    <w:rsid w:val="718A3C8D"/>
    <w:rsid w:val="71952F1E"/>
    <w:rsid w:val="71A6BBCF"/>
    <w:rsid w:val="71B764F9"/>
    <w:rsid w:val="7201B9D8"/>
    <w:rsid w:val="7212116F"/>
    <w:rsid w:val="722DAED6"/>
    <w:rsid w:val="722FB379"/>
    <w:rsid w:val="723698BC"/>
    <w:rsid w:val="7239B0B7"/>
    <w:rsid w:val="72533A51"/>
    <w:rsid w:val="72A060E3"/>
    <w:rsid w:val="72C4FBF1"/>
    <w:rsid w:val="72FBA063"/>
    <w:rsid w:val="730F7CDB"/>
    <w:rsid w:val="73109233"/>
    <w:rsid w:val="732C0A1F"/>
    <w:rsid w:val="73302463"/>
    <w:rsid w:val="7352A1B7"/>
    <w:rsid w:val="735F472F"/>
    <w:rsid w:val="7369A4C8"/>
    <w:rsid w:val="739CE63A"/>
    <w:rsid w:val="73AF0556"/>
    <w:rsid w:val="73C1325A"/>
    <w:rsid w:val="73F08A67"/>
    <w:rsid w:val="73FCDA34"/>
    <w:rsid w:val="740486F8"/>
    <w:rsid w:val="740D5EF6"/>
    <w:rsid w:val="74782114"/>
    <w:rsid w:val="74C20B6F"/>
    <w:rsid w:val="74CCFF47"/>
    <w:rsid w:val="74D2F7B6"/>
    <w:rsid w:val="7502C8E1"/>
    <w:rsid w:val="7521A4D4"/>
    <w:rsid w:val="752DE446"/>
    <w:rsid w:val="753584F2"/>
    <w:rsid w:val="753BE5AA"/>
    <w:rsid w:val="75720144"/>
    <w:rsid w:val="7572D733"/>
    <w:rsid w:val="757EDDF7"/>
    <w:rsid w:val="75B93D09"/>
    <w:rsid w:val="75DB4F3E"/>
    <w:rsid w:val="75EA281E"/>
    <w:rsid w:val="75F0140B"/>
    <w:rsid w:val="75F53485"/>
    <w:rsid w:val="761E7493"/>
    <w:rsid w:val="76368302"/>
    <w:rsid w:val="7639F795"/>
    <w:rsid w:val="7640AAE5"/>
    <w:rsid w:val="7645DA77"/>
    <w:rsid w:val="7648D587"/>
    <w:rsid w:val="768058BD"/>
    <w:rsid w:val="76944EAC"/>
    <w:rsid w:val="76E679F8"/>
    <w:rsid w:val="76E741F2"/>
    <w:rsid w:val="77668FE5"/>
    <w:rsid w:val="77963613"/>
    <w:rsid w:val="77C3831A"/>
    <w:rsid w:val="77C7FEDB"/>
    <w:rsid w:val="77C922C6"/>
    <w:rsid w:val="77CB3774"/>
    <w:rsid w:val="77E4546F"/>
    <w:rsid w:val="7813BF78"/>
    <w:rsid w:val="7855EBBB"/>
    <w:rsid w:val="785BD5FA"/>
    <w:rsid w:val="787D2AC0"/>
    <w:rsid w:val="78987821"/>
    <w:rsid w:val="789C5269"/>
    <w:rsid w:val="78B3B021"/>
    <w:rsid w:val="790924A8"/>
    <w:rsid w:val="798CA238"/>
    <w:rsid w:val="7992EC8B"/>
    <w:rsid w:val="79A3539C"/>
    <w:rsid w:val="79B13FB3"/>
    <w:rsid w:val="79F8337B"/>
    <w:rsid w:val="7A0BE25C"/>
    <w:rsid w:val="7A515FC4"/>
    <w:rsid w:val="7A67731E"/>
    <w:rsid w:val="7A8A7E76"/>
    <w:rsid w:val="7AB17494"/>
    <w:rsid w:val="7AD01CA7"/>
    <w:rsid w:val="7AFA214E"/>
    <w:rsid w:val="7AFE26E1"/>
    <w:rsid w:val="7B036049"/>
    <w:rsid w:val="7B28F0F3"/>
    <w:rsid w:val="7B2FA8C1"/>
    <w:rsid w:val="7B3FB425"/>
    <w:rsid w:val="7B56B819"/>
    <w:rsid w:val="7BB9953D"/>
    <w:rsid w:val="7BCD2E39"/>
    <w:rsid w:val="7BFADFE0"/>
    <w:rsid w:val="7C184C94"/>
    <w:rsid w:val="7C22D111"/>
    <w:rsid w:val="7C3749CB"/>
    <w:rsid w:val="7C3D3A9B"/>
    <w:rsid w:val="7C472DFD"/>
    <w:rsid w:val="7C530753"/>
    <w:rsid w:val="7CA6778D"/>
    <w:rsid w:val="7CB25FBD"/>
    <w:rsid w:val="7CD816DB"/>
    <w:rsid w:val="7D318B4A"/>
    <w:rsid w:val="7D3A9474"/>
    <w:rsid w:val="7D567387"/>
    <w:rsid w:val="7D834893"/>
    <w:rsid w:val="7D94D729"/>
    <w:rsid w:val="7DA54B84"/>
    <w:rsid w:val="7DB4C262"/>
    <w:rsid w:val="7DC05507"/>
    <w:rsid w:val="7DDDE646"/>
    <w:rsid w:val="7DE5585B"/>
    <w:rsid w:val="7E334395"/>
    <w:rsid w:val="7E45590F"/>
    <w:rsid w:val="7E90DEE2"/>
    <w:rsid w:val="7EBE8D5B"/>
    <w:rsid w:val="7EC3ADE3"/>
    <w:rsid w:val="7F197867"/>
    <w:rsid w:val="7F2CA783"/>
    <w:rsid w:val="7F585D37"/>
    <w:rsid w:val="7FBE161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A59CE"/>
  <w15:chartTrackingRefBased/>
  <w15:docId w15:val="{3604D519-5609-4664-9809-EC044EF4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9DD"/>
    <w:pPr>
      <w:suppressAutoHyphens/>
      <w:autoSpaceDE w:val="0"/>
      <w:autoSpaceDN w:val="0"/>
      <w:adjustRightInd w:val="0"/>
      <w:spacing w:after="120" w:line="260" w:lineRule="atLeast"/>
      <w:textAlignment w:val="center"/>
    </w:pPr>
    <w:rPr>
      <w:rFonts w:ascii="Roboto" w:hAnsi="Roboto" w:cs="Roboto-Light"/>
      <w:color w:val="5C626C"/>
      <w:sz w:val="18"/>
      <w:szCs w:val="22"/>
      <w:lang w:val="en-GB"/>
    </w:rPr>
  </w:style>
  <w:style w:type="paragraph" w:styleId="Heading1">
    <w:name w:val="heading 1"/>
    <w:basedOn w:val="Normal"/>
    <w:next w:val="Normal"/>
    <w:link w:val="Heading1Char"/>
    <w:uiPriority w:val="9"/>
    <w:qFormat/>
    <w:rsid w:val="00E55662"/>
    <w:pPr>
      <w:keepNext/>
      <w:keepLines/>
      <w:spacing w:before="60"/>
      <w:outlineLvl w:val="0"/>
    </w:pPr>
    <w:rPr>
      <w:rFonts w:ascii="Merriweather-Regular" w:eastAsiaTheme="majorEastAsia" w:hAnsi="Merriweather-Regular" w:cstheme="majorBidi"/>
      <w:color w:val="008142" w:themeColor="accent5"/>
      <w:sz w:val="40"/>
      <w:szCs w:val="32"/>
    </w:rPr>
  </w:style>
  <w:style w:type="paragraph" w:styleId="Heading2">
    <w:name w:val="heading 2"/>
    <w:basedOn w:val="Normal"/>
    <w:next w:val="Normal"/>
    <w:link w:val="Heading2Char"/>
    <w:uiPriority w:val="9"/>
    <w:unhideWhenUsed/>
    <w:qFormat/>
    <w:rsid w:val="00FA73D0"/>
    <w:pPr>
      <w:keepNext/>
      <w:keepLines/>
      <w:spacing w:before="240" w:after="60"/>
      <w:outlineLvl w:val="1"/>
    </w:pPr>
    <w:rPr>
      <w:rFonts w:eastAsiaTheme="majorEastAsia" w:cstheme="majorBidi"/>
      <w:color w:val="171717" w:themeColor="background2" w:themeShade="1A"/>
      <w:sz w:val="24"/>
      <w:szCs w:val="26"/>
      <w:lang w:eastAsia="en-AU"/>
    </w:rPr>
  </w:style>
  <w:style w:type="paragraph" w:styleId="Heading3">
    <w:name w:val="heading 3"/>
    <w:basedOn w:val="Normal"/>
    <w:next w:val="Normal"/>
    <w:link w:val="Heading3Char"/>
    <w:uiPriority w:val="9"/>
    <w:unhideWhenUsed/>
    <w:qFormat/>
    <w:rsid w:val="009F46B4"/>
    <w:pPr>
      <w:keepNext/>
      <w:keepLines/>
      <w:spacing w:before="120" w:after="60"/>
      <w:outlineLvl w:val="2"/>
    </w:pPr>
    <w:rPr>
      <w:rFonts w:eastAsiaTheme="majorEastAsia" w:cstheme="majorBidi"/>
      <w:b/>
      <w:color w:val="171717" w:themeColor="background2" w:themeShade="1A"/>
      <w:szCs w:val="24"/>
    </w:rPr>
  </w:style>
  <w:style w:type="paragraph" w:styleId="Heading4">
    <w:name w:val="heading 4"/>
    <w:basedOn w:val="Normal"/>
    <w:next w:val="Normal"/>
    <w:link w:val="Heading4Char"/>
    <w:uiPriority w:val="9"/>
    <w:unhideWhenUsed/>
    <w:qFormat/>
    <w:rsid w:val="00FD39E1"/>
    <w:pPr>
      <w:spacing w:after="60"/>
      <w:outlineLvl w:val="3"/>
    </w:pPr>
    <w:rPr>
      <w:rFonts w:ascii="Roboto-Bold" w:hAnsi="Roboto-Bold"/>
      <w:color w:val="5B626C"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89C"/>
    <w:pPr>
      <w:tabs>
        <w:tab w:val="center" w:pos="4680"/>
        <w:tab w:val="right" w:pos="9360"/>
      </w:tabs>
    </w:pPr>
  </w:style>
  <w:style w:type="character" w:customStyle="1" w:styleId="HeaderChar">
    <w:name w:val="Header Char"/>
    <w:basedOn w:val="DefaultParagraphFont"/>
    <w:link w:val="Header"/>
    <w:uiPriority w:val="99"/>
    <w:rsid w:val="0051589C"/>
  </w:style>
  <w:style w:type="paragraph" w:styleId="Footer">
    <w:name w:val="footer"/>
    <w:basedOn w:val="Normal"/>
    <w:link w:val="FooterChar"/>
    <w:uiPriority w:val="99"/>
    <w:unhideWhenUsed/>
    <w:rsid w:val="003A26B9"/>
    <w:pPr>
      <w:spacing w:line="240" w:lineRule="auto"/>
    </w:pPr>
    <w:rPr>
      <w:sz w:val="16"/>
      <w:szCs w:val="16"/>
      <w:lang w:eastAsia="en-AU"/>
    </w:rPr>
  </w:style>
  <w:style w:type="character" w:customStyle="1" w:styleId="FooterChar">
    <w:name w:val="Footer Char"/>
    <w:basedOn w:val="DefaultParagraphFont"/>
    <w:link w:val="Footer"/>
    <w:uiPriority w:val="99"/>
    <w:rsid w:val="003A26B9"/>
    <w:rPr>
      <w:rFonts w:ascii="Roboto-Light" w:hAnsi="Roboto-Light" w:cs="Roboto-Light"/>
      <w:color w:val="000000"/>
      <w:sz w:val="16"/>
      <w:szCs w:val="16"/>
      <w:lang w:val="en-GB" w:eastAsia="en-AU"/>
    </w:rPr>
  </w:style>
  <w:style w:type="paragraph" w:customStyle="1" w:styleId="NMHCIntroParagraph">
    <w:name w:val="NMHC Intro Paragraph"/>
    <w:basedOn w:val="Normal"/>
    <w:qFormat/>
    <w:rsid w:val="006049DD"/>
    <w:pPr>
      <w:spacing w:before="60" w:after="300"/>
    </w:pPr>
    <w:rPr>
      <w:rFonts w:ascii="Merriweather-Regular" w:hAnsi="Merriweather-Regular"/>
      <w:sz w:val="28"/>
    </w:rPr>
  </w:style>
  <w:style w:type="character" w:styleId="PageNumber">
    <w:name w:val="page number"/>
    <w:basedOn w:val="DefaultParagraphFont"/>
    <w:uiPriority w:val="99"/>
    <w:unhideWhenUsed/>
    <w:rsid w:val="00A60BB3"/>
    <w:rPr>
      <w:rFonts w:ascii="Roboto-Bold" w:hAnsi="Roboto-Bold"/>
      <w:color w:val="008143"/>
      <w:sz w:val="16"/>
    </w:rPr>
  </w:style>
  <w:style w:type="character" w:styleId="Hyperlink">
    <w:name w:val="Hyperlink"/>
    <w:basedOn w:val="DefaultParagraphFont"/>
    <w:uiPriority w:val="99"/>
    <w:unhideWhenUsed/>
    <w:rsid w:val="00F91D13"/>
    <w:rPr>
      <w:color w:val="5C626C"/>
      <w:u w:val="single"/>
    </w:rPr>
  </w:style>
  <w:style w:type="character" w:styleId="UnresolvedMention">
    <w:name w:val="Unresolved Mention"/>
    <w:basedOn w:val="DefaultParagraphFont"/>
    <w:uiPriority w:val="99"/>
    <w:semiHidden/>
    <w:unhideWhenUsed/>
    <w:rsid w:val="00BB42C8"/>
    <w:rPr>
      <w:color w:val="605E5C"/>
      <w:shd w:val="clear" w:color="auto" w:fill="E1DFDD"/>
    </w:rPr>
  </w:style>
  <w:style w:type="character" w:styleId="FollowedHyperlink">
    <w:name w:val="FollowedHyperlink"/>
    <w:basedOn w:val="DefaultParagraphFont"/>
    <w:uiPriority w:val="99"/>
    <w:semiHidden/>
    <w:unhideWhenUsed/>
    <w:rsid w:val="00BE4872"/>
    <w:rPr>
      <w:color w:val="008142" w:themeColor="accent5"/>
      <w:u w:val="single"/>
    </w:rPr>
  </w:style>
  <w:style w:type="paragraph" w:customStyle="1" w:styleId="NMHCABN">
    <w:name w:val="NMHC_ABN"/>
    <w:basedOn w:val="Normal"/>
    <w:uiPriority w:val="99"/>
    <w:rsid w:val="006C2580"/>
    <w:pPr>
      <w:tabs>
        <w:tab w:val="left" w:pos="454"/>
      </w:tabs>
      <w:suppressAutoHyphens w:val="0"/>
      <w:spacing w:after="0"/>
      <w:jc w:val="right"/>
    </w:pPr>
    <w:rPr>
      <w:rFonts w:ascii="Roboto-Regular" w:hAnsi="Roboto-Regular" w:cs="Roboto-Regular"/>
      <w:spacing w:val="-1"/>
      <w:sz w:val="14"/>
      <w:szCs w:val="14"/>
      <w14:textFill>
        <w14:solidFill>
          <w14:srgbClr w14:val="5C626C">
            <w14:alpha w14:val="25000"/>
          </w14:srgbClr>
        </w14:solidFill>
      </w14:textFill>
    </w:rPr>
  </w:style>
  <w:style w:type="paragraph" w:customStyle="1" w:styleId="NMHCNamestyle">
    <w:name w:val="NMHC Namestyle"/>
    <w:basedOn w:val="Normal"/>
    <w:uiPriority w:val="99"/>
    <w:rsid w:val="00803754"/>
    <w:pPr>
      <w:spacing w:after="0"/>
    </w:pPr>
    <w:rPr>
      <w:rFonts w:ascii="Roboto-Medium" w:hAnsi="Roboto-Medium" w:cs="Roboto-Medium"/>
      <w:sz w:val="16"/>
      <w:szCs w:val="16"/>
    </w:rPr>
  </w:style>
  <w:style w:type="character" w:customStyle="1" w:styleId="Heading1Char">
    <w:name w:val="Heading 1 Char"/>
    <w:basedOn w:val="DefaultParagraphFont"/>
    <w:link w:val="Heading1"/>
    <w:uiPriority w:val="9"/>
    <w:rsid w:val="00E55662"/>
    <w:rPr>
      <w:rFonts w:ascii="Merriweather-Regular" w:eastAsiaTheme="majorEastAsia" w:hAnsi="Merriweather-Regular" w:cstheme="majorBidi"/>
      <w:color w:val="008142" w:themeColor="accent5"/>
      <w:sz w:val="40"/>
      <w:szCs w:val="32"/>
      <w:lang w:val="en-GB"/>
    </w:rPr>
  </w:style>
  <w:style w:type="character" w:customStyle="1" w:styleId="Heading2Char">
    <w:name w:val="Heading 2 Char"/>
    <w:basedOn w:val="DefaultParagraphFont"/>
    <w:link w:val="Heading2"/>
    <w:uiPriority w:val="9"/>
    <w:rsid w:val="00FA73D0"/>
    <w:rPr>
      <w:rFonts w:ascii="Roboto" w:eastAsiaTheme="majorEastAsia" w:hAnsi="Roboto" w:cstheme="majorBidi"/>
      <w:color w:val="171717" w:themeColor="background2" w:themeShade="1A"/>
      <w:szCs w:val="26"/>
      <w:lang w:val="en-GB" w:eastAsia="en-AU"/>
    </w:rPr>
  </w:style>
  <w:style w:type="character" w:customStyle="1" w:styleId="Heading3Char">
    <w:name w:val="Heading 3 Char"/>
    <w:basedOn w:val="DefaultParagraphFont"/>
    <w:link w:val="Heading3"/>
    <w:uiPriority w:val="9"/>
    <w:rsid w:val="009F46B4"/>
    <w:rPr>
      <w:rFonts w:ascii="Roboto" w:eastAsiaTheme="majorEastAsia" w:hAnsi="Roboto" w:cstheme="majorBidi"/>
      <w:b/>
      <w:color w:val="171717" w:themeColor="background2" w:themeShade="1A"/>
      <w:sz w:val="18"/>
      <w:lang w:val="en-GB"/>
    </w:rPr>
  </w:style>
  <w:style w:type="paragraph" w:customStyle="1" w:styleId="NoParagraphStyle">
    <w:name w:val="[No Paragraph Style]"/>
    <w:rsid w:val="00000B8A"/>
    <w:pPr>
      <w:autoSpaceDE w:val="0"/>
      <w:autoSpaceDN w:val="0"/>
      <w:adjustRightInd w:val="0"/>
      <w:spacing w:line="288" w:lineRule="auto"/>
      <w:textAlignment w:val="center"/>
    </w:pPr>
    <w:rPr>
      <w:rFonts w:ascii="MinionPro-Regular" w:hAnsi="MinionPro-Regular" w:cs="MinionPro-Regular"/>
      <w:color w:val="000000"/>
      <w:lang w:val="en-US"/>
    </w:rPr>
  </w:style>
  <w:style w:type="paragraph" w:customStyle="1" w:styleId="NMHCCoverByline">
    <w:name w:val="NMHC_Cover_Byline"/>
    <w:qFormat/>
    <w:rsid w:val="00A60BB3"/>
    <w:pPr>
      <w:spacing w:line="480" w:lineRule="exact"/>
    </w:pPr>
    <w:rPr>
      <w:rFonts w:ascii="MerriweatherLight" w:hAnsi="MerriweatherLight" w:cs="Roboto-Light"/>
      <w:i/>
      <w:iCs/>
      <w:color w:val="545A60"/>
      <w:sz w:val="44"/>
      <w:szCs w:val="44"/>
    </w:rPr>
  </w:style>
  <w:style w:type="paragraph" w:customStyle="1" w:styleId="Folio-DocumentNameFOLIO">
    <w:name w:val="Folio - Document Name (FOLIO)"/>
    <w:basedOn w:val="NoParagraphStyle"/>
    <w:uiPriority w:val="99"/>
    <w:rsid w:val="00737032"/>
    <w:pPr>
      <w:suppressAutoHyphens/>
      <w:spacing w:line="180" w:lineRule="atLeast"/>
    </w:pPr>
    <w:rPr>
      <w:rFonts w:ascii="Merriweather-Regular" w:hAnsi="Merriweather-Regular" w:cs="Merriweather"/>
      <w:color w:val="5C626C"/>
      <w:spacing w:val="-4"/>
      <w:sz w:val="18"/>
      <w:szCs w:val="18"/>
      <w:lang w:val="en-GB"/>
    </w:rPr>
  </w:style>
  <w:style w:type="numbering" w:customStyle="1" w:styleId="CurrentList2">
    <w:name w:val="Current List2"/>
    <w:uiPriority w:val="99"/>
    <w:rsid w:val="008E5F2F"/>
    <w:pPr>
      <w:numPr>
        <w:numId w:val="3"/>
      </w:numPr>
    </w:pPr>
  </w:style>
  <w:style w:type="paragraph" w:styleId="BodyText">
    <w:name w:val="Body Text"/>
    <w:basedOn w:val="Normal"/>
    <w:link w:val="BodyTextChar"/>
    <w:uiPriority w:val="99"/>
    <w:semiHidden/>
    <w:unhideWhenUsed/>
    <w:rsid w:val="0086622E"/>
  </w:style>
  <w:style w:type="character" w:customStyle="1" w:styleId="BodyTextChar">
    <w:name w:val="Body Text Char"/>
    <w:basedOn w:val="DefaultParagraphFont"/>
    <w:link w:val="BodyText"/>
    <w:uiPriority w:val="99"/>
    <w:semiHidden/>
    <w:rsid w:val="0086622E"/>
    <w:rPr>
      <w:rFonts w:ascii="Roboto-Light" w:hAnsi="Roboto-Light" w:cs="Roboto-Light"/>
      <w:color w:val="000000"/>
      <w:sz w:val="22"/>
      <w:szCs w:val="22"/>
      <w:lang w:val="en-GB"/>
    </w:rPr>
  </w:style>
  <w:style w:type="character" w:customStyle="1" w:styleId="Heading4Char">
    <w:name w:val="Heading 4 Char"/>
    <w:basedOn w:val="DefaultParagraphFont"/>
    <w:link w:val="Heading4"/>
    <w:uiPriority w:val="9"/>
    <w:rsid w:val="00FD39E1"/>
    <w:rPr>
      <w:rFonts w:ascii="Roboto-Bold" w:hAnsi="Roboto-Bold" w:cs="Roboto-Light"/>
      <w:color w:val="5B626C" w:themeColor="text1"/>
      <w:sz w:val="18"/>
      <w:szCs w:val="22"/>
      <w:lang w:val="en-GB"/>
    </w:rPr>
  </w:style>
  <w:style w:type="numbering" w:customStyle="1" w:styleId="CurrentList1">
    <w:name w:val="Current List1"/>
    <w:uiPriority w:val="99"/>
    <w:rsid w:val="00425001"/>
  </w:style>
  <w:style w:type="paragraph" w:customStyle="1" w:styleId="NMHCCoverTitle">
    <w:name w:val="NMHC_Cover_Title"/>
    <w:basedOn w:val="Normal"/>
    <w:qFormat/>
    <w:rsid w:val="00A60BB3"/>
    <w:pPr>
      <w:spacing w:after="0" w:line="240" w:lineRule="auto"/>
    </w:pPr>
    <w:rPr>
      <w:rFonts w:ascii="Merriweather" w:hAnsi="Merriweather"/>
      <w:color w:val="008143"/>
      <w:sz w:val="100"/>
      <w:lang w:val="en-AU"/>
    </w:rPr>
  </w:style>
  <w:style w:type="table" w:styleId="TableGrid">
    <w:name w:val="Table Grid"/>
    <w:aliases w:val="Table Acronyms"/>
    <w:basedOn w:val="TableNormal"/>
    <w:uiPriority w:val="39"/>
    <w:rsid w:val="00FB4752"/>
    <w:rPr>
      <w:rFonts w:ascii="Roboto Light" w:hAnsi="Roboto Light"/>
    </w:rPr>
    <w:tblPr>
      <w:tblBorders>
        <w:bottom w:val="single" w:sz="4" w:space="0" w:color="008143"/>
        <w:insideH w:val="single" w:sz="4" w:space="0" w:color="008143"/>
      </w:tblBorders>
      <w:tblCellMar>
        <w:top w:w="85" w:type="dxa"/>
        <w:left w:w="85" w:type="dxa"/>
        <w:bottom w:w="85" w:type="dxa"/>
        <w:right w:w="85" w:type="dxa"/>
      </w:tblCellMar>
    </w:tblPr>
  </w:style>
  <w:style w:type="paragraph" w:customStyle="1" w:styleId="NMHCTableName">
    <w:name w:val="NMHC_Table_Name"/>
    <w:basedOn w:val="Heading4"/>
    <w:qFormat/>
    <w:rsid w:val="00263A40"/>
    <w:pPr>
      <w:spacing w:after="240"/>
    </w:pPr>
    <w:rPr>
      <w:rFonts w:ascii="Roboto" w:hAnsi="Roboto"/>
    </w:rPr>
  </w:style>
  <w:style w:type="paragraph" w:customStyle="1" w:styleId="NMHCTableHeaderRow">
    <w:name w:val="NMHC Table Header Row"/>
    <w:basedOn w:val="Normal"/>
    <w:qFormat/>
    <w:rsid w:val="00EA0EAC"/>
    <w:pPr>
      <w:spacing w:after="0" w:line="220" w:lineRule="atLeast"/>
    </w:pPr>
    <w:rPr>
      <w:rFonts w:ascii="Roboto-Bold" w:hAnsi="Roboto-Bold"/>
      <w:color w:val="FFFFFF" w:themeColor="background1"/>
    </w:rPr>
  </w:style>
  <w:style w:type="paragraph" w:customStyle="1" w:styleId="NMHCTableSubheaderRow">
    <w:name w:val="NMHC_Table_Subheader_Row"/>
    <w:basedOn w:val="NMHCTableHeaderRow"/>
    <w:qFormat/>
    <w:rsid w:val="00B40501"/>
    <w:rPr>
      <w:color w:val="008143"/>
    </w:rPr>
  </w:style>
  <w:style w:type="numbering" w:customStyle="1" w:styleId="CurrentList3">
    <w:name w:val="Current List3"/>
    <w:uiPriority w:val="99"/>
    <w:rsid w:val="008E5F2F"/>
  </w:style>
  <w:style w:type="paragraph" w:customStyle="1" w:styleId="NMHCTableNormal">
    <w:name w:val="NMHC_Table_Normal"/>
    <w:basedOn w:val="Normal"/>
    <w:qFormat/>
    <w:rsid w:val="000704BA"/>
    <w:pPr>
      <w:spacing w:after="0" w:line="240" w:lineRule="auto"/>
    </w:pPr>
  </w:style>
  <w:style w:type="paragraph" w:customStyle="1" w:styleId="NMHCTableFootnote">
    <w:name w:val="NMHC_Table_Footnote"/>
    <w:basedOn w:val="Normal"/>
    <w:qFormat/>
    <w:rsid w:val="00C9413B"/>
    <w:pPr>
      <w:spacing w:after="0"/>
    </w:pPr>
    <w:rPr>
      <w:color w:val="171717" w:themeColor="background2" w:themeShade="1A"/>
      <w:sz w:val="16"/>
    </w:rPr>
  </w:style>
  <w:style w:type="character" w:styleId="PlaceholderText">
    <w:name w:val="Placeholder Text"/>
    <w:basedOn w:val="DefaultParagraphFont"/>
    <w:uiPriority w:val="99"/>
    <w:semiHidden/>
    <w:rsid w:val="00A94618"/>
    <w:rPr>
      <w:color w:val="666666"/>
    </w:rPr>
  </w:style>
  <w:style w:type="paragraph" w:customStyle="1" w:styleId="NMHCCoverDate">
    <w:name w:val="NMHC_Cover_Date"/>
    <w:qFormat/>
    <w:rsid w:val="008E4492"/>
    <w:pPr>
      <w:spacing w:line="1100" w:lineRule="exact"/>
    </w:pPr>
    <w:rPr>
      <w:rFonts w:ascii="Merriweather-Regular" w:hAnsi="Merriweather-Regular" w:cs="Roboto-Light"/>
      <w:color w:val="9A9C9F"/>
      <w:sz w:val="100"/>
      <w:szCs w:val="22"/>
    </w:rPr>
  </w:style>
  <w:style w:type="table" w:customStyle="1" w:styleId="NMHCTableNavy">
    <w:name w:val="NMHC Table (Navy)"/>
    <w:basedOn w:val="TableNormal"/>
    <w:uiPriority w:val="99"/>
    <w:rsid w:val="00C9413B"/>
    <w:rPr>
      <w:rFonts w:ascii="Roboto Light" w:hAnsi="Roboto Light"/>
    </w:rPr>
    <w:tblPr>
      <w:tblBorders>
        <w:bottom w:val="single" w:sz="4" w:space="0" w:color="9A9C9F"/>
        <w:insideH w:val="single" w:sz="4" w:space="0" w:color="9A9C9F"/>
        <w:insideV w:val="single" w:sz="4" w:space="0" w:color="9A9C9F"/>
      </w:tblBorders>
    </w:tblPr>
    <w:tcPr>
      <w:vAlign w:val="center"/>
    </w:tcPr>
    <w:tblStylePr w:type="firstRow">
      <w:rPr>
        <w:rFonts w:ascii="Adobe Garamond Pro" w:hAnsi="Adobe Garamond Pro"/>
        <w:b/>
        <w:i w:val="0"/>
        <w:color w:val="FFFFFF" w:themeColor="background1"/>
        <w:sz w:val="20"/>
      </w:rPr>
      <w:tblPr/>
      <w:tcPr>
        <w:tcBorders>
          <w:insideV w:val="single" w:sz="4" w:space="0" w:color="FFFFFF" w:themeColor="background1"/>
        </w:tcBorders>
        <w:shd w:val="clear" w:color="auto" w:fill="008143"/>
      </w:tcPr>
    </w:tblStylePr>
    <w:tblStylePr w:type="firstCol">
      <w:pPr>
        <w:jc w:val="left"/>
      </w:pPr>
    </w:tblStylePr>
  </w:style>
  <w:style w:type="paragraph" w:customStyle="1" w:styleId="NMHCTableHighlightRow">
    <w:name w:val="NMHC_Table_Highlight_Row"/>
    <w:qFormat/>
    <w:rsid w:val="00A60BB3"/>
    <w:rPr>
      <w:rFonts w:ascii="Roboto" w:hAnsi="Roboto" w:cs="Roboto-Light"/>
      <w:b/>
      <w:bCs/>
      <w:color w:val="008143"/>
      <w:sz w:val="16"/>
      <w:szCs w:val="22"/>
      <w:lang w:val="en-GB"/>
    </w:rPr>
  </w:style>
  <w:style w:type="paragraph" w:customStyle="1" w:styleId="NMHCPullquote">
    <w:name w:val="NMHC_Pullquote"/>
    <w:basedOn w:val="Normal"/>
    <w:qFormat/>
    <w:rsid w:val="00765396"/>
    <w:pPr>
      <w:ind w:left="851" w:right="851"/>
    </w:pPr>
    <w:rPr>
      <w:i/>
      <w:iCs/>
      <w:color w:val="008143"/>
    </w:rPr>
  </w:style>
  <w:style w:type="table" w:customStyle="1" w:styleId="NMHCTablePullquote">
    <w:name w:val="NMHC_Table_Pullquote"/>
    <w:basedOn w:val="TableNormal"/>
    <w:uiPriority w:val="99"/>
    <w:rsid w:val="005D53E7"/>
    <w:rPr>
      <w:rFonts w:ascii="Roboto" w:hAnsi="Roboto"/>
      <w:color w:val="292D78"/>
      <w:sz w:val="20"/>
    </w:rPr>
    <w:tblPr>
      <w:tblBorders>
        <w:right w:val="single" w:sz="48" w:space="0" w:color="008143"/>
      </w:tblBorders>
      <w:tblCellMar>
        <w:top w:w="170" w:type="dxa"/>
        <w:left w:w="170" w:type="dxa"/>
        <w:bottom w:w="170" w:type="dxa"/>
        <w:right w:w="170" w:type="dxa"/>
      </w:tblCellMar>
    </w:tblPr>
    <w:tcPr>
      <w:shd w:val="clear" w:color="auto" w:fill="F9F9E5"/>
    </w:tcPr>
  </w:style>
  <w:style w:type="paragraph" w:customStyle="1" w:styleId="NMHCPullquoteHighlightBox">
    <w:name w:val="NMHC_Pullquote_Highlight_Box"/>
    <w:basedOn w:val="Normal"/>
    <w:qFormat/>
    <w:rsid w:val="005D53E7"/>
    <w:pPr>
      <w:keepNext/>
      <w:spacing w:after="0" w:line="260" w:lineRule="exact"/>
      <w:textAlignment w:val="baseline"/>
    </w:pPr>
    <w:rPr>
      <w:b/>
      <w:bCs/>
      <w:color w:val="008143"/>
    </w:rPr>
  </w:style>
  <w:style w:type="table" w:customStyle="1" w:styleId="NMHCTableSideColumn">
    <w:name w:val="NMHC_Table_Side_Column"/>
    <w:basedOn w:val="NMHCTableNavy"/>
    <w:uiPriority w:val="99"/>
    <w:rsid w:val="00C9413B"/>
    <w:tblPr/>
    <w:tblStylePr w:type="firstRow">
      <w:rPr>
        <w:rFonts w:ascii="Adobe Garamond Pro Bold" w:hAnsi="Adobe Garamond Pro Bold"/>
        <w:b/>
        <w:i w:val="0"/>
        <w:color w:val="FFFFFF" w:themeColor="background1"/>
        <w:sz w:val="20"/>
      </w:rPr>
      <w:tblPr/>
      <w:tcPr>
        <w:tcBorders>
          <w:insideV w:val="single" w:sz="4" w:space="0" w:color="FFFFFF" w:themeColor="background1"/>
        </w:tcBorders>
        <w:shd w:val="clear" w:color="auto" w:fill="008143"/>
      </w:tcPr>
    </w:tblStylePr>
    <w:tblStylePr w:type="firstCol">
      <w:pPr>
        <w:jc w:val="left"/>
      </w:pPr>
      <w:tblPr/>
      <w:tcPr>
        <w:shd w:val="clear" w:color="auto" w:fill="F9F9E5"/>
      </w:tcPr>
    </w:tblStylePr>
  </w:style>
  <w:style w:type="paragraph" w:customStyle="1" w:styleId="Heading1White">
    <w:name w:val="Heading 1 White"/>
    <w:basedOn w:val="Heading1"/>
    <w:qFormat/>
    <w:rsid w:val="00503DF8"/>
    <w:rPr>
      <w:color w:val="FFFFFF" w:themeColor="background1"/>
    </w:rPr>
  </w:style>
  <w:style w:type="paragraph" w:customStyle="1" w:styleId="NMHCIntroParagraphWhite">
    <w:name w:val="NMHC Intro Paragraph White"/>
    <w:basedOn w:val="NMHCIntroParagraph"/>
    <w:qFormat/>
    <w:rsid w:val="00A60BB3"/>
    <w:rPr>
      <w:color w:val="FFFFFF" w:themeColor="background1"/>
    </w:rPr>
  </w:style>
  <w:style w:type="paragraph" w:customStyle="1" w:styleId="NormalWhite">
    <w:name w:val="Normal White"/>
    <w:basedOn w:val="Normal"/>
    <w:qFormat/>
    <w:rsid w:val="00912425"/>
    <w:rPr>
      <w:color w:val="FFFFFF" w:themeColor="background1"/>
    </w:rPr>
  </w:style>
  <w:style w:type="paragraph" w:customStyle="1" w:styleId="NMHCBackCoverWebsite">
    <w:name w:val="NMHC_BackCover_Website"/>
    <w:basedOn w:val="Normal"/>
    <w:qFormat/>
    <w:rsid w:val="00A60BB3"/>
    <w:rPr>
      <w:b/>
      <w:bCs/>
      <w:color w:val="008143"/>
      <w:sz w:val="20"/>
      <w:szCs w:val="20"/>
      <w:lang w:val="en-AU"/>
    </w:rPr>
  </w:style>
  <w:style w:type="paragraph" w:customStyle="1" w:styleId="NMHCAppendixHeading">
    <w:name w:val="NMHC_Appendix Heading"/>
    <w:qFormat/>
    <w:rsid w:val="00323FAA"/>
    <w:rPr>
      <w:rFonts w:ascii="Merriweather" w:hAnsi="Merriweather" w:cs="Roboto-Light"/>
      <w:bCs/>
      <w:color w:val="008143"/>
      <w:sz w:val="80"/>
      <w:szCs w:val="22"/>
    </w:rPr>
  </w:style>
  <w:style w:type="paragraph" w:customStyle="1" w:styleId="NMHCAppendixByline">
    <w:name w:val="NMHC_Appendix_Byline"/>
    <w:qFormat/>
    <w:rsid w:val="00BD2A6B"/>
    <w:rPr>
      <w:rFonts w:ascii="Merriweather" w:hAnsi="Merriweather" w:cs="Roboto-Light"/>
      <w:bCs/>
      <w:color w:val="545A60"/>
      <w:sz w:val="40"/>
      <w:szCs w:val="40"/>
    </w:rPr>
  </w:style>
  <w:style w:type="paragraph" w:styleId="TOCHeading">
    <w:name w:val="TOC Heading"/>
    <w:basedOn w:val="Heading1"/>
    <w:next w:val="Normal"/>
    <w:uiPriority w:val="39"/>
    <w:unhideWhenUsed/>
    <w:qFormat/>
    <w:rsid w:val="00254862"/>
    <w:pPr>
      <w:suppressAutoHyphens w:val="0"/>
      <w:autoSpaceDE/>
      <w:autoSpaceDN/>
      <w:adjustRightInd/>
      <w:spacing w:before="480" w:after="0" w:line="276" w:lineRule="auto"/>
      <w:textAlignment w:val="auto"/>
      <w:outlineLvl w:val="9"/>
    </w:pPr>
    <w:rPr>
      <w:rFonts w:ascii="Merriweather" w:hAnsi="Merriweather"/>
      <w:bCs/>
      <w:color w:val="545A60"/>
      <w:szCs w:val="28"/>
      <w:lang w:val="en-US"/>
    </w:rPr>
  </w:style>
  <w:style w:type="paragraph" w:styleId="TOC1">
    <w:name w:val="toc 1"/>
    <w:basedOn w:val="Normal"/>
    <w:next w:val="NoParagraphStyle"/>
    <w:autoRedefine/>
    <w:uiPriority w:val="39"/>
    <w:unhideWhenUsed/>
    <w:rsid w:val="00FB6266"/>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254862"/>
    <w:pPr>
      <w:spacing w:before="120" w:after="0"/>
      <w:ind w:left="180"/>
    </w:pPr>
    <w:rPr>
      <w:rFonts w:asciiTheme="minorHAnsi" w:hAnsiTheme="minorHAnsi" w:cstheme="minorHAnsi"/>
      <w:b/>
      <w:bCs/>
      <w:sz w:val="22"/>
    </w:rPr>
  </w:style>
  <w:style w:type="paragraph" w:styleId="TOC3">
    <w:name w:val="toc 3"/>
    <w:basedOn w:val="Normal"/>
    <w:next w:val="Normal"/>
    <w:autoRedefine/>
    <w:uiPriority w:val="39"/>
    <w:unhideWhenUsed/>
    <w:rsid w:val="000B0D84"/>
    <w:pPr>
      <w:spacing w:after="0"/>
      <w:ind w:left="360"/>
    </w:pPr>
    <w:rPr>
      <w:rFonts w:asciiTheme="minorHAnsi" w:hAnsiTheme="minorHAnsi" w:cstheme="minorHAnsi"/>
      <w:sz w:val="20"/>
      <w:szCs w:val="20"/>
    </w:rPr>
  </w:style>
  <w:style w:type="paragraph" w:styleId="TOC4">
    <w:name w:val="toc 4"/>
    <w:basedOn w:val="Normal"/>
    <w:next w:val="Normal"/>
    <w:autoRedefine/>
    <w:uiPriority w:val="39"/>
    <w:unhideWhenUsed/>
    <w:rsid w:val="004B25A9"/>
    <w:pPr>
      <w:spacing w:after="0"/>
      <w:ind w:left="540"/>
    </w:pPr>
    <w:rPr>
      <w:rFonts w:asciiTheme="minorHAnsi" w:hAnsiTheme="minorHAnsi" w:cstheme="minorHAnsi"/>
      <w:sz w:val="20"/>
      <w:szCs w:val="20"/>
    </w:rPr>
  </w:style>
  <w:style w:type="paragraph" w:styleId="TOC5">
    <w:name w:val="toc 5"/>
    <w:basedOn w:val="Normal"/>
    <w:next w:val="Normal"/>
    <w:autoRedefine/>
    <w:uiPriority w:val="39"/>
    <w:unhideWhenUsed/>
    <w:rsid w:val="004B25A9"/>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4B25A9"/>
    <w:pPr>
      <w:spacing w:after="0"/>
      <w:ind w:left="900"/>
    </w:pPr>
    <w:rPr>
      <w:rFonts w:asciiTheme="minorHAnsi" w:hAnsiTheme="minorHAnsi" w:cstheme="minorHAnsi"/>
      <w:sz w:val="20"/>
      <w:szCs w:val="20"/>
    </w:rPr>
  </w:style>
  <w:style w:type="paragraph" w:styleId="TOC7">
    <w:name w:val="toc 7"/>
    <w:basedOn w:val="Normal"/>
    <w:next w:val="Normal"/>
    <w:autoRedefine/>
    <w:uiPriority w:val="39"/>
    <w:unhideWhenUsed/>
    <w:rsid w:val="004B25A9"/>
    <w:pPr>
      <w:spacing w:after="0"/>
      <w:ind w:left="1080"/>
    </w:pPr>
    <w:rPr>
      <w:rFonts w:asciiTheme="minorHAnsi" w:hAnsiTheme="minorHAnsi" w:cstheme="minorHAnsi"/>
      <w:sz w:val="20"/>
      <w:szCs w:val="20"/>
    </w:rPr>
  </w:style>
  <w:style w:type="paragraph" w:styleId="TOC8">
    <w:name w:val="toc 8"/>
    <w:basedOn w:val="Normal"/>
    <w:next w:val="Normal"/>
    <w:autoRedefine/>
    <w:uiPriority w:val="39"/>
    <w:unhideWhenUsed/>
    <w:rsid w:val="004B25A9"/>
    <w:pPr>
      <w:spacing w:after="0"/>
      <w:ind w:left="1260"/>
    </w:pPr>
    <w:rPr>
      <w:rFonts w:asciiTheme="minorHAnsi" w:hAnsiTheme="minorHAnsi" w:cstheme="minorHAnsi"/>
      <w:sz w:val="20"/>
      <w:szCs w:val="20"/>
    </w:rPr>
  </w:style>
  <w:style w:type="paragraph" w:styleId="TOC9">
    <w:name w:val="toc 9"/>
    <w:basedOn w:val="Normal"/>
    <w:next w:val="Normal"/>
    <w:autoRedefine/>
    <w:uiPriority w:val="39"/>
    <w:unhideWhenUsed/>
    <w:rsid w:val="004B25A9"/>
    <w:pPr>
      <w:spacing w:after="0"/>
      <w:ind w:left="1440"/>
    </w:pPr>
    <w:rPr>
      <w:rFonts w:asciiTheme="minorHAnsi" w:hAnsiTheme="minorHAnsi" w:cstheme="minorHAnsi"/>
      <w:sz w:val="20"/>
      <w:szCs w:val="20"/>
    </w:rPr>
  </w:style>
  <w:style w:type="paragraph" w:styleId="ListNumber">
    <w:name w:val="List Number"/>
    <w:basedOn w:val="Normal"/>
    <w:uiPriority w:val="99"/>
    <w:unhideWhenUsed/>
    <w:rsid w:val="003A26B9"/>
    <w:pPr>
      <w:numPr>
        <w:numId w:val="1"/>
      </w:numPr>
      <w:ind w:left="284" w:hanging="284"/>
      <w:contextualSpacing/>
    </w:pPr>
  </w:style>
  <w:style w:type="paragraph" w:styleId="ListBullet">
    <w:name w:val="List Bullet"/>
    <w:basedOn w:val="Normal"/>
    <w:uiPriority w:val="99"/>
    <w:unhideWhenUsed/>
    <w:rsid w:val="006049DD"/>
    <w:pPr>
      <w:numPr>
        <w:numId w:val="81"/>
      </w:numPr>
      <w:suppressAutoHyphens w:val="0"/>
      <w:autoSpaceDE/>
      <w:autoSpaceDN/>
      <w:adjustRightInd/>
      <w:spacing w:after="80"/>
      <w:contextualSpacing/>
      <w:textAlignment w:val="auto"/>
    </w:pPr>
    <w:rPr>
      <w:rFonts w:eastAsia="Times New Roman" w:cs="Segoe UI"/>
      <w:szCs w:val="18"/>
      <w:lang w:val="en-AU" w:eastAsia="en-AU"/>
    </w:rPr>
  </w:style>
  <w:style w:type="paragraph" w:styleId="ListBullet2">
    <w:name w:val="List Bullet 2"/>
    <w:basedOn w:val="Normal"/>
    <w:uiPriority w:val="99"/>
    <w:unhideWhenUsed/>
    <w:rsid w:val="006049DD"/>
    <w:pPr>
      <w:numPr>
        <w:numId w:val="2"/>
      </w:numPr>
      <w:tabs>
        <w:tab w:val="left" w:pos="567"/>
      </w:tabs>
      <w:spacing w:after="60"/>
      <w:ind w:left="567" w:hanging="283"/>
    </w:pPr>
  </w:style>
  <w:style w:type="numbering" w:customStyle="1" w:styleId="CurrentList4">
    <w:name w:val="Current List4"/>
    <w:uiPriority w:val="99"/>
    <w:rsid w:val="00A60BB3"/>
    <w:pPr>
      <w:numPr>
        <w:numId w:val="6"/>
      </w:numPr>
    </w:pPr>
  </w:style>
  <w:style w:type="numbering" w:customStyle="1" w:styleId="CurrentList5">
    <w:name w:val="Current List5"/>
    <w:uiPriority w:val="99"/>
    <w:rsid w:val="00A60BB3"/>
    <w:pPr>
      <w:numPr>
        <w:numId w:val="4"/>
      </w:numPr>
    </w:pPr>
  </w:style>
  <w:style w:type="numbering" w:customStyle="1" w:styleId="CurrentList6">
    <w:name w:val="Current List6"/>
    <w:uiPriority w:val="99"/>
    <w:rsid w:val="00DC2A3F"/>
    <w:pPr>
      <w:numPr>
        <w:numId w:val="5"/>
      </w:numPr>
    </w:pPr>
  </w:style>
  <w:style w:type="paragraph" w:customStyle="1" w:styleId="NMHCAppendixHeadingSmaller">
    <w:name w:val="NMHC_Appendix_Heading_Smaller"/>
    <w:basedOn w:val="Heading1"/>
    <w:qFormat/>
    <w:rsid w:val="00323FAA"/>
    <w:pPr>
      <w:suppressAutoHyphens w:val="0"/>
      <w:autoSpaceDE/>
      <w:autoSpaceDN/>
      <w:adjustRightInd/>
      <w:spacing w:after="60" w:line="240" w:lineRule="auto"/>
      <w:textAlignment w:val="auto"/>
    </w:pPr>
    <w:rPr>
      <w:color w:val="008143"/>
      <w:sz w:val="28"/>
    </w:rPr>
  </w:style>
  <w:style w:type="paragraph" w:customStyle="1" w:styleId="NMHCAcronymAbbreviation">
    <w:name w:val="NMHC Acronym Abbreviation"/>
    <w:basedOn w:val="Normal"/>
    <w:qFormat/>
    <w:rsid w:val="00FB4752"/>
    <w:pPr>
      <w:spacing w:after="0" w:line="240" w:lineRule="auto"/>
      <w:jc w:val="right"/>
    </w:pPr>
    <w:rPr>
      <w:b/>
      <w:color w:val="008143"/>
    </w:rPr>
  </w:style>
  <w:style w:type="paragraph" w:customStyle="1" w:styleId="NMHCNormalAcronymbAbbreviations">
    <w:name w:val="NMHC Normal Acronymb Abbreviations"/>
    <w:basedOn w:val="Normal"/>
    <w:qFormat/>
    <w:rsid w:val="00FB4752"/>
    <w:pPr>
      <w:spacing w:after="0" w:line="240" w:lineRule="auto"/>
    </w:pPr>
  </w:style>
  <w:style w:type="paragraph" w:customStyle="1" w:styleId="NMHCGlossarySubheading">
    <w:name w:val="NMHC Glossary Subheading"/>
    <w:qFormat/>
    <w:rsid w:val="00FB4752"/>
    <w:rPr>
      <w:rFonts w:ascii="Roboto" w:eastAsiaTheme="majorEastAsia" w:hAnsi="Roboto" w:cstheme="majorBidi"/>
      <w:b/>
      <w:color w:val="008143"/>
      <w:sz w:val="18"/>
      <w:lang w:val="en-GB"/>
    </w:rPr>
  </w:style>
  <w:style w:type="paragraph" w:styleId="Caption">
    <w:name w:val="caption"/>
    <w:basedOn w:val="Normal"/>
    <w:next w:val="Normal"/>
    <w:uiPriority w:val="35"/>
    <w:unhideWhenUsed/>
    <w:qFormat/>
    <w:rsid w:val="005D53E7"/>
    <w:pPr>
      <w:spacing w:after="320" w:line="240" w:lineRule="auto"/>
    </w:pPr>
    <w:rPr>
      <w:i/>
      <w:iCs/>
      <w:color w:val="171717" w:themeColor="background2" w:themeShade="1A"/>
      <w:szCs w:val="18"/>
    </w:rPr>
  </w:style>
  <w:style w:type="paragraph" w:customStyle="1" w:styleId="NormalBeforeBullet">
    <w:name w:val="NormalBeforeBullet"/>
    <w:basedOn w:val="Normal"/>
    <w:qFormat/>
    <w:rsid w:val="00F2118F"/>
    <w:pPr>
      <w:keepNext/>
      <w:suppressAutoHyphens w:val="0"/>
      <w:autoSpaceDE/>
      <w:autoSpaceDN/>
      <w:adjustRightInd/>
      <w:spacing w:after="60"/>
      <w:textAlignment w:val="auto"/>
    </w:pPr>
    <w:rPr>
      <w:rFonts w:eastAsia="Times New Roman" w:cs="Times New Roman"/>
      <w:szCs w:val="20"/>
      <w:lang w:val="en-AU"/>
    </w:rPr>
  </w:style>
  <w:style w:type="character" w:customStyle="1" w:styleId="NMHCHyperlinkCharacter">
    <w:name w:val="NMHC_Hyperlink_Character"/>
    <w:basedOn w:val="DefaultParagraphFont"/>
    <w:uiPriority w:val="1"/>
    <w:qFormat/>
    <w:rsid w:val="00340874"/>
    <w:rPr>
      <w:rFonts w:ascii="Roboto Medium" w:hAnsi="Roboto Medium"/>
      <w:b w:val="0"/>
      <w:i w:val="0"/>
      <w:color w:val="008143"/>
      <w:u w:val="single"/>
    </w:rPr>
  </w:style>
  <w:style w:type="paragraph" w:customStyle="1" w:styleId="NMHCCoverTitleSmall">
    <w:name w:val="NMHC_Cover_Title_Small"/>
    <w:basedOn w:val="NMHCCoverTitle"/>
    <w:qFormat/>
    <w:rsid w:val="00823B91"/>
    <w:rPr>
      <w:sz w:val="48"/>
    </w:rPr>
  </w:style>
  <w:style w:type="paragraph" w:customStyle="1" w:styleId="NMHCCoverDateSmall">
    <w:name w:val="NMHC_Cover_Date_Small"/>
    <w:basedOn w:val="NMHCCoverDate"/>
    <w:qFormat/>
    <w:rsid w:val="00823B91"/>
    <w:pPr>
      <w:spacing w:line="240" w:lineRule="auto"/>
    </w:pPr>
    <w:rPr>
      <w:sz w:val="48"/>
    </w:rPr>
  </w:style>
  <w:style w:type="paragraph" w:customStyle="1" w:styleId="NMHCCoverBylineSmall">
    <w:name w:val="NMHC_Cover_Byline_Small"/>
    <w:basedOn w:val="NMHCCoverByline"/>
    <w:qFormat/>
    <w:rsid w:val="00823B91"/>
    <w:rPr>
      <w:sz w:val="28"/>
    </w:rPr>
  </w:style>
  <w:style w:type="character" w:styleId="FootnoteReference">
    <w:name w:val="footnote reference"/>
    <w:basedOn w:val="DefaultParagraphFont"/>
    <w:uiPriority w:val="99"/>
    <w:semiHidden/>
    <w:unhideWhenUsed/>
    <w:rsid w:val="00681CBF"/>
    <w:rPr>
      <w:vertAlign w:val="superscript"/>
    </w:rPr>
  </w:style>
  <w:style w:type="paragraph" w:customStyle="1" w:styleId="paragraph">
    <w:name w:val="paragraph"/>
    <w:basedOn w:val="Normal"/>
    <w:rsid w:val="00FB65FE"/>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val="en-AU" w:eastAsia="en-AU"/>
    </w:rPr>
  </w:style>
  <w:style w:type="character" w:customStyle="1" w:styleId="normaltextrun">
    <w:name w:val="normaltextrun"/>
    <w:basedOn w:val="DefaultParagraphFont"/>
    <w:rsid w:val="00FB65FE"/>
  </w:style>
  <w:style w:type="character" w:customStyle="1" w:styleId="eop">
    <w:name w:val="eop"/>
    <w:basedOn w:val="DefaultParagraphFont"/>
    <w:rsid w:val="00FB65FE"/>
  </w:style>
  <w:style w:type="character" w:styleId="CommentReference">
    <w:name w:val="annotation reference"/>
    <w:basedOn w:val="DefaultParagraphFont"/>
    <w:uiPriority w:val="99"/>
    <w:unhideWhenUsed/>
    <w:rsid w:val="00040F00"/>
    <w:rPr>
      <w:sz w:val="16"/>
      <w:szCs w:val="16"/>
    </w:rPr>
  </w:style>
  <w:style w:type="paragraph" w:styleId="CommentText">
    <w:name w:val="annotation text"/>
    <w:basedOn w:val="Normal"/>
    <w:link w:val="CommentTextChar"/>
    <w:uiPriority w:val="99"/>
    <w:unhideWhenUsed/>
    <w:rsid w:val="00040F00"/>
    <w:pPr>
      <w:spacing w:line="240" w:lineRule="auto"/>
    </w:pPr>
    <w:rPr>
      <w:sz w:val="20"/>
      <w:szCs w:val="20"/>
    </w:rPr>
  </w:style>
  <w:style w:type="character" w:customStyle="1" w:styleId="CommentTextChar">
    <w:name w:val="Comment Text Char"/>
    <w:basedOn w:val="DefaultParagraphFont"/>
    <w:link w:val="CommentText"/>
    <w:uiPriority w:val="99"/>
    <w:rsid w:val="00040F00"/>
    <w:rPr>
      <w:rFonts w:ascii="Roboto-Light" w:hAnsi="Roboto-Light" w:cs="Roboto-Light"/>
      <w:color w:val="000000"/>
      <w:sz w:val="20"/>
      <w:szCs w:val="20"/>
      <w:lang w:val="en-GB"/>
    </w:rPr>
  </w:style>
  <w:style w:type="paragraph" w:styleId="CommentSubject">
    <w:name w:val="annotation subject"/>
    <w:basedOn w:val="CommentText"/>
    <w:next w:val="CommentText"/>
    <w:link w:val="CommentSubjectChar"/>
    <w:uiPriority w:val="99"/>
    <w:semiHidden/>
    <w:unhideWhenUsed/>
    <w:rsid w:val="00040F00"/>
    <w:rPr>
      <w:b/>
      <w:bCs/>
    </w:rPr>
  </w:style>
  <w:style w:type="character" w:customStyle="1" w:styleId="CommentSubjectChar">
    <w:name w:val="Comment Subject Char"/>
    <w:basedOn w:val="CommentTextChar"/>
    <w:link w:val="CommentSubject"/>
    <w:uiPriority w:val="99"/>
    <w:semiHidden/>
    <w:rsid w:val="00040F00"/>
    <w:rPr>
      <w:rFonts w:ascii="Roboto-Light" w:hAnsi="Roboto-Light" w:cs="Roboto-Light"/>
      <w:b/>
      <w:bCs/>
      <w:color w:val="000000"/>
      <w:sz w:val="20"/>
      <w:szCs w:val="20"/>
      <w:lang w:val="en-GB"/>
    </w:rPr>
  </w:style>
  <w:style w:type="paragraph" w:customStyle="1" w:styleId="note">
    <w:name w:val="note"/>
    <w:basedOn w:val="Normal"/>
    <w:rsid w:val="001D5A5A"/>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val="en-AU" w:eastAsia="en-AU"/>
    </w:rPr>
  </w:style>
  <w:style w:type="paragraph" w:customStyle="1" w:styleId="pf0">
    <w:name w:val="pf0"/>
    <w:basedOn w:val="Normal"/>
    <w:rsid w:val="00D2095C"/>
    <w:pPr>
      <w:suppressAutoHyphens w:val="0"/>
      <w:autoSpaceDE/>
      <w:autoSpaceDN/>
      <w:adjustRightInd/>
      <w:spacing w:before="100" w:beforeAutospacing="1" w:after="100" w:afterAutospacing="1" w:line="240" w:lineRule="auto"/>
      <w:ind w:left="720"/>
      <w:textAlignment w:val="auto"/>
    </w:pPr>
    <w:rPr>
      <w:rFonts w:ascii="Times New Roman" w:eastAsia="Times New Roman" w:hAnsi="Times New Roman" w:cs="Times New Roman"/>
      <w:color w:val="auto"/>
      <w:sz w:val="24"/>
      <w:szCs w:val="24"/>
      <w:lang w:val="en-AU" w:eastAsia="en-AU"/>
    </w:rPr>
  </w:style>
  <w:style w:type="character" w:customStyle="1" w:styleId="cf01">
    <w:name w:val="cf01"/>
    <w:basedOn w:val="DefaultParagraphFont"/>
    <w:rsid w:val="00D2095C"/>
    <w:rPr>
      <w:rFonts w:ascii="Segoe UI" w:hAnsi="Segoe UI" w:cs="Segoe UI" w:hint="default"/>
      <w:sz w:val="18"/>
      <w:szCs w:val="18"/>
      <w:shd w:val="clear" w:color="auto" w:fill="FFFF00"/>
    </w:rPr>
  </w:style>
  <w:style w:type="paragraph" w:styleId="FootnoteText">
    <w:name w:val="footnote text"/>
    <w:aliases w:val="Footnote Text 6.5"/>
    <w:basedOn w:val="Normal"/>
    <w:link w:val="FootnoteTextChar"/>
    <w:uiPriority w:val="99"/>
    <w:unhideWhenUsed/>
    <w:rsid w:val="00526E44"/>
    <w:pPr>
      <w:spacing w:after="0" w:line="240" w:lineRule="auto"/>
    </w:pPr>
    <w:rPr>
      <w:sz w:val="13"/>
      <w:szCs w:val="20"/>
    </w:rPr>
  </w:style>
  <w:style w:type="character" w:customStyle="1" w:styleId="FootnoteTextChar">
    <w:name w:val="Footnote Text Char"/>
    <w:aliases w:val="Footnote Text 6.5 Char"/>
    <w:basedOn w:val="DefaultParagraphFont"/>
    <w:link w:val="FootnoteText"/>
    <w:uiPriority w:val="99"/>
    <w:rsid w:val="00526E44"/>
    <w:rPr>
      <w:rFonts w:ascii="Roboto Light" w:hAnsi="Roboto Light" w:cs="Roboto-Light"/>
      <w:color w:val="545A60" w:themeColor="accent3"/>
      <w:sz w:val="13"/>
      <w:szCs w:val="20"/>
      <w:lang w:val="en-GB"/>
    </w:rPr>
  </w:style>
  <w:style w:type="character" w:styleId="Mention">
    <w:name w:val="Mention"/>
    <w:basedOn w:val="DefaultParagraphFont"/>
    <w:uiPriority w:val="99"/>
    <w:unhideWhenUsed/>
    <w:rsid w:val="00A02E50"/>
    <w:rPr>
      <w:color w:val="2B579A"/>
      <w:spacing w:val="0"/>
      <w:shd w:val="clear" w:color="auto" w:fill="E1DFDD"/>
    </w:rPr>
  </w:style>
  <w:style w:type="paragraph" w:styleId="Revision">
    <w:name w:val="Revision"/>
    <w:hidden/>
    <w:uiPriority w:val="99"/>
    <w:semiHidden/>
    <w:rsid w:val="00F61D2A"/>
    <w:rPr>
      <w:rFonts w:ascii="Roboto-Light" w:hAnsi="Roboto-Light" w:cs="Roboto-Light"/>
      <w:color w:val="000000"/>
      <w:sz w:val="18"/>
      <w:szCs w:val="22"/>
      <w:lang w:val="en-GB"/>
    </w:rPr>
  </w:style>
  <w:style w:type="character" w:styleId="Strong">
    <w:name w:val="Strong"/>
    <w:basedOn w:val="DefaultParagraphFont"/>
    <w:uiPriority w:val="22"/>
    <w:qFormat/>
    <w:rsid w:val="000C077B"/>
    <w:rPr>
      <w:b/>
      <w:bCs/>
    </w:rPr>
  </w:style>
  <w:style w:type="character" w:styleId="Emphasis">
    <w:name w:val="Emphasis"/>
    <w:basedOn w:val="DefaultParagraphFont"/>
    <w:uiPriority w:val="20"/>
    <w:qFormat/>
    <w:rsid w:val="00AB641F"/>
    <w:rPr>
      <w:i/>
      <w:iCs/>
    </w:rPr>
  </w:style>
  <w:style w:type="paragraph" w:styleId="EndnoteText">
    <w:name w:val="endnote text"/>
    <w:basedOn w:val="Normal"/>
    <w:link w:val="EndnoteTextChar"/>
    <w:uiPriority w:val="99"/>
    <w:unhideWhenUsed/>
    <w:rsid w:val="00A64F1D"/>
    <w:pPr>
      <w:spacing w:after="0" w:line="240" w:lineRule="auto"/>
    </w:pPr>
    <w:rPr>
      <w:sz w:val="20"/>
      <w:szCs w:val="20"/>
    </w:rPr>
  </w:style>
  <w:style w:type="character" w:customStyle="1" w:styleId="EndnoteTextChar">
    <w:name w:val="Endnote Text Char"/>
    <w:basedOn w:val="DefaultParagraphFont"/>
    <w:link w:val="EndnoteText"/>
    <w:uiPriority w:val="99"/>
    <w:rsid w:val="00A64F1D"/>
    <w:rPr>
      <w:rFonts w:ascii="Roboto-Light" w:hAnsi="Roboto-Light" w:cs="Roboto-Light"/>
      <w:color w:val="000000"/>
      <w:sz w:val="20"/>
      <w:szCs w:val="20"/>
      <w:lang w:val="en-GB"/>
    </w:rPr>
  </w:style>
  <w:style w:type="character" w:styleId="EndnoteReference">
    <w:name w:val="endnote reference"/>
    <w:basedOn w:val="DefaultParagraphFont"/>
    <w:uiPriority w:val="99"/>
    <w:semiHidden/>
    <w:unhideWhenUsed/>
    <w:rsid w:val="00A64F1D"/>
    <w:rPr>
      <w:vertAlign w:val="superscript"/>
    </w:rPr>
  </w:style>
  <w:style w:type="paragraph" w:customStyle="1" w:styleId="CommentText1">
    <w:name w:val="Comment Text1"/>
    <w:basedOn w:val="Normal"/>
    <w:next w:val="CommentText"/>
    <w:uiPriority w:val="99"/>
    <w:unhideWhenUsed/>
    <w:rsid w:val="00B12F17"/>
    <w:pPr>
      <w:spacing w:line="240" w:lineRule="auto"/>
    </w:pPr>
    <w:rPr>
      <w:rFonts w:eastAsiaTheme="minorEastAsia"/>
      <w:sz w:val="20"/>
      <w:szCs w:val="20"/>
      <w:lang w:eastAsia="ja-JP"/>
    </w:rPr>
  </w:style>
  <w:style w:type="character" w:customStyle="1" w:styleId="ref-title">
    <w:name w:val="ref-title"/>
    <w:basedOn w:val="DefaultParagraphFont"/>
    <w:rsid w:val="00E725F9"/>
  </w:style>
  <w:style w:type="character" w:customStyle="1" w:styleId="ref-journal">
    <w:name w:val="ref-journal"/>
    <w:basedOn w:val="DefaultParagraphFont"/>
    <w:rsid w:val="00E725F9"/>
  </w:style>
  <w:style w:type="character" w:customStyle="1" w:styleId="ref-vol">
    <w:name w:val="ref-vol"/>
    <w:basedOn w:val="DefaultParagraphFont"/>
    <w:rsid w:val="00E725F9"/>
  </w:style>
  <w:style w:type="paragraph" w:styleId="NormalWeb">
    <w:name w:val="Normal (Web)"/>
    <w:basedOn w:val="Normal"/>
    <w:uiPriority w:val="99"/>
    <w:semiHidden/>
    <w:unhideWhenUsed/>
    <w:rsid w:val="00325F3F"/>
    <w:rPr>
      <w:rFonts w:ascii="Times New Roman" w:hAnsi="Times New Roman" w:cs="Times New Roman"/>
      <w:sz w:val="24"/>
      <w:szCs w:val="24"/>
    </w:rPr>
  </w:style>
  <w:style w:type="paragraph" w:customStyle="1" w:styleId="DomainNumber">
    <w:name w:val="Domain Number"/>
    <w:basedOn w:val="Normal"/>
    <w:qFormat/>
    <w:rsid w:val="0092443A"/>
    <w:rPr>
      <w:color w:val="545A60"/>
      <w:sz w:val="28"/>
      <w:lang w:val="en-AU"/>
    </w:rPr>
  </w:style>
  <w:style w:type="character" w:customStyle="1" w:styleId="cf11">
    <w:name w:val="cf11"/>
    <w:basedOn w:val="DefaultParagraphFont"/>
    <w:rsid w:val="00E6066E"/>
    <w:rPr>
      <w:rFonts w:ascii="Segoe UI" w:hAnsi="Segoe UI" w:cs="Segoe UI" w:hint="default"/>
      <w:sz w:val="18"/>
      <w:szCs w:val="18"/>
    </w:rPr>
  </w:style>
  <w:style w:type="table" w:customStyle="1" w:styleId="NMHCTableNavy1">
    <w:name w:val="NMHC Table (Navy)1"/>
    <w:basedOn w:val="TableNormal"/>
    <w:uiPriority w:val="99"/>
    <w:rsid w:val="00D61BE6"/>
    <w:rPr>
      <w:rFonts w:ascii="Roboto Light" w:hAnsi="Roboto Light"/>
    </w:rPr>
    <w:tblPr>
      <w:tblBorders>
        <w:bottom w:val="single" w:sz="4" w:space="0" w:color="9A9C9F"/>
        <w:insideH w:val="single" w:sz="4" w:space="0" w:color="9A9C9F"/>
        <w:insideV w:val="single" w:sz="4" w:space="0" w:color="9A9C9F"/>
      </w:tblBorders>
    </w:tblPr>
    <w:tcPr>
      <w:vAlign w:val="center"/>
    </w:tcPr>
    <w:tblStylePr w:type="firstRow">
      <w:rPr>
        <w:rFonts w:ascii="Adobe Garamond Pro" w:hAnsi="Adobe Garamond Pro"/>
        <w:b/>
        <w:i w:val="0"/>
        <w:color w:val="FFFFFF" w:themeColor="background1"/>
        <w:sz w:val="20"/>
      </w:rPr>
      <w:tblPr/>
      <w:tcPr>
        <w:tcBorders>
          <w:insideV w:val="single" w:sz="4" w:space="0" w:color="FFFFFF" w:themeColor="background1"/>
        </w:tcBorders>
        <w:shd w:val="clear" w:color="auto" w:fill="008143"/>
      </w:tcPr>
    </w:tblStylePr>
    <w:tblStylePr w:type="firstCol">
      <w:pPr>
        <w:jc w:val="left"/>
      </w:pPr>
    </w:tblStylePr>
  </w:style>
  <w:style w:type="paragraph" w:styleId="Quote">
    <w:name w:val="Quote"/>
    <w:basedOn w:val="Normal"/>
    <w:next w:val="Normal"/>
    <w:link w:val="QuoteChar"/>
    <w:uiPriority w:val="29"/>
    <w:qFormat/>
    <w:rsid w:val="00431464"/>
    <w:pPr>
      <w:spacing w:before="200" w:after="160"/>
      <w:ind w:left="864" w:right="864"/>
      <w:jc w:val="center"/>
    </w:pPr>
    <w:rPr>
      <w:i/>
      <w:iCs/>
      <w:color w:val="808894" w:themeColor="text1" w:themeTint="BF"/>
    </w:rPr>
  </w:style>
  <w:style w:type="character" w:customStyle="1" w:styleId="QuoteChar">
    <w:name w:val="Quote Char"/>
    <w:basedOn w:val="DefaultParagraphFont"/>
    <w:link w:val="Quote"/>
    <w:uiPriority w:val="29"/>
    <w:rsid w:val="00431464"/>
    <w:rPr>
      <w:rFonts w:ascii="Roboto-Light" w:hAnsi="Roboto-Light" w:cs="Roboto-Light"/>
      <w:i/>
      <w:iCs/>
      <w:color w:val="808894" w:themeColor="text1" w:themeTint="BF"/>
      <w:sz w:val="18"/>
      <w:szCs w:val="22"/>
      <w:lang w:val="en-GB"/>
    </w:rPr>
  </w:style>
  <w:style w:type="paragraph" w:customStyle="1" w:styleId="DomainName">
    <w:name w:val="Domain Name"/>
    <w:qFormat/>
    <w:rsid w:val="009C373F"/>
    <w:rPr>
      <w:rFonts w:ascii="Merriweather" w:hAnsi="Merriweather" w:cs="Roboto-Light"/>
      <w:b/>
      <w:color w:val="FFFFFF" w:themeColor="background1"/>
      <w:sz w:val="28"/>
      <w:szCs w:val="22"/>
    </w:rPr>
  </w:style>
  <w:style w:type="character" w:customStyle="1" w:styleId="superscript">
    <w:name w:val="superscript"/>
    <w:basedOn w:val="DefaultParagraphFont"/>
    <w:rsid w:val="009C373F"/>
  </w:style>
  <w:style w:type="paragraph" w:styleId="Subtitle">
    <w:name w:val="Subtitle"/>
    <w:basedOn w:val="Normal"/>
    <w:next w:val="Normal"/>
    <w:link w:val="SubtitleChar"/>
    <w:uiPriority w:val="11"/>
    <w:qFormat/>
    <w:rsid w:val="009C373F"/>
    <w:pPr>
      <w:numPr>
        <w:ilvl w:val="1"/>
      </w:numPr>
    </w:pPr>
    <w:rPr>
      <w:rFonts w:asciiTheme="minorHAnsi" w:eastAsiaTheme="majorEastAsia" w:hAnsiTheme="minorHAnsi" w:cstheme="majorBidi"/>
      <w:color w:val="9198A2" w:themeColor="text1" w:themeTint="A6"/>
      <w:spacing w:val="15"/>
      <w:sz w:val="28"/>
      <w:szCs w:val="28"/>
    </w:rPr>
  </w:style>
  <w:style w:type="character" w:customStyle="1" w:styleId="SubtitleChar">
    <w:name w:val="Subtitle Char"/>
    <w:basedOn w:val="DefaultParagraphFont"/>
    <w:link w:val="Subtitle"/>
    <w:uiPriority w:val="11"/>
    <w:rsid w:val="009C373F"/>
    <w:rPr>
      <w:rFonts w:eastAsiaTheme="majorEastAsia" w:cstheme="majorBidi"/>
      <w:color w:val="9198A2" w:themeColor="text1" w:themeTint="A6"/>
      <w:spacing w:val="15"/>
      <w:sz w:val="28"/>
      <w:szCs w:val="28"/>
      <w:lang w:val="en-GB"/>
    </w:rPr>
  </w:style>
  <w:style w:type="character" w:customStyle="1" w:styleId="scxw93947035">
    <w:name w:val="scxw93947035"/>
    <w:basedOn w:val="DefaultParagraphFont"/>
    <w:rsid w:val="009C373F"/>
  </w:style>
  <w:style w:type="table" w:customStyle="1" w:styleId="NMHCTableNavy2">
    <w:name w:val="NMHC Table (Navy)2"/>
    <w:basedOn w:val="TableNormal"/>
    <w:uiPriority w:val="99"/>
    <w:rsid w:val="009C373F"/>
    <w:rPr>
      <w:rFonts w:ascii="Roboto Light" w:hAnsi="Roboto Light"/>
    </w:rPr>
    <w:tblPr>
      <w:tblBorders>
        <w:bottom w:val="single" w:sz="4" w:space="0" w:color="9A9C9F"/>
        <w:insideH w:val="single" w:sz="4" w:space="0" w:color="9A9C9F"/>
        <w:insideV w:val="single" w:sz="4" w:space="0" w:color="9A9C9F"/>
      </w:tblBorders>
    </w:tblPr>
    <w:tcPr>
      <w:vAlign w:val="center"/>
    </w:tcPr>
    <w:tblStylePr w:type="firstRow">
      <w:rPr>
        <w:rFonts w:ascii="Adobe Garamond Pro" w:hAnsi="Adobe Garamond Pro"/>
        <w:b/>
        <w:i w:val="0"/>
        <w:color w:val="FFFFFF" w:themeColor="background1"/>
        <w:sz w:val="20"/>
      </w:rPr>
      <w:tblPr/>
      <w:tcPr>
        <w:tcBorders>
          <w:insideV w:val="single" w:sz="4" w:space="0" w:color="FFFFFF" w:themeColor="background1"/>
        </w:tcBorders>
        <w:shd w:val="clear" w:color="auto" w:fill="008143"/>
      </w:tcPr>
    </w:tblStylePr>
    <w:tblStylePr w:type="firstCol">
      <w:pPr>
        <w:jc w:val="left"/>
      </w:pPr>
    </w:tblStylePr>
  </w:style>
  <w:style w:type="table" w:customStyle="1" w:styleId="NMHCTableSideColumn1">
    <w:name w:val="NMHC_Table_Side_Column1"/>
    <w:basedOn w:val="NMHCTableNavy"/>
    <w:uiPriority w:val="99"/>
    <w:rsid w:val="009C373F"/>
    <w:tblPr/>
    <w:tblStylePr w:type="firstRow">
      <w:rPr>
        <w:rFonts w:ascii="Acciona ExtraLight" w:hAnsi="Acciona ExtraLight"/>
        <w:b/>
        <w:i w:val="0"/>
        <w:color w:val="FFFFFF" w:themeColor="background1"/>
        <w:sz w:val="20"/>
      </w:rPr>
      <w:tblPr/>
      <w:tcPr>
        <w:tcBorders>
          <w:insideV w:val="single" w:sz="4" w:space="0" w:color="FFFFFF" w:themeColor="background1"/>
        </w:tcBorders>
        <w:shd w:val="clear" w:color="auto" w:fill="008143"/>
      </w:tcPr>
    </w:tblStylePr>
    <w:tblStylePr w:type="firstCol">
      <w:pPr>
        <w:jc w:val="left"/>
      </w:pPr>
      <w:tblPr/>
      <w:tcPr>
        <w:shd w:val="clear" w:color="auto" w:fill="F9F9E5"/>
      </w:tcPr>
    </w:tblStylePr>
  </w:style>
  <w:style w:type="table" w:customStyle="1" w:styleId="NMHCTableNavy11">
    <w:name w:val="NMHC Table (Navy)11"/>
    <w:basedOn w:val="TableNormal"/>
    <w:uiPriority w:val="99"/>
    <w:rsid w:val="009C373F"/>
    <w:rPr>
      <w:rFonts w:ascii="Roboto Light" w:hAnsi="Roboto Light"/>
    </w:rPr>
    <w:tblPr>
      <w:tblBorders>
        <w:bottom w:val="single" w:sz="4" w:space="0" w:color="9A9C9F"/>
        <w:insideH w:val="single" w:sz="4" w:space="0" w:color="9A9C9F"/>
        <w:insideV w:val="single" w:sz="4" w:space="0" w:color="9A9C9F"/>
      </w:tblBorders>
    </w:tblPr>
    <w:tcPr>
      <w:vAlign w:val="center"/>
    </w:tcPr>
    <w:tblStylePr w:type="firstRow">
      <w:rPr>
        <w:rFonts w:ascii="Adobe Garamond Pro" w:hAnsi="Adobe Garamond Pro"/>
        <w:b/>
        <w:i w:val="0"/>
        <w:color w:val="FFFFFF" w:themeColor="background1"/>
        <w:sz w:val="20"/>
      </w:rPr>
      <w:tblPr/>
      <w:tcPr>
        <w:tcBorders>
          <w:insideV w:val="single" w:sz="4" w:space="0" w:color="FFFFFF" w:themeColor="background1"/>
        </w:tcBorders>
        <w:shd w:val="clear" w:color="auto" w:fill="008143"/>
      </w:tcPr>
    </w:tblStylePr>
    <w:tblStylePr w:type="firstCol">
      <w:pPr>
        <w:jc w:val="left"/>
      </w:pPr>
    </w:tblStylePr>
  </w:style>
  <w:style w:type="numbering" w:customStyle="1" w:styleId="CurrentList7">
    <w:name w:val="Current List7"/>
    <w:uiPriority w:val="99"/>
    <w:rsid w:val="006407F7"/>
    <w:pPr>
      <w:numPr>
        <w:numId w:val="80"/>
      </w:numPr>
    </w:pPr>
  </w:style>
  <w:style w:type="paragraph" w:styleId="ListParagraph">
    <w:name w:val="List Paragraph"/>
    <w:aliases w:val="List Paragraph1,List Paragraph11,Recommendation,First level bullet point,Body text,standard lewis,Lists,Bullet point,Body Text1,NAST Quote,Bullets,CV text,Dot pt,F5 List Paragraph,FooterText,L,List Paragraph111,List Paragraph2,列,Table tex"/>
    <w:basedOn w:val="Normal"/>
    <w:link w:val="ListParagraphChar"/>
    <w:uiPriority w:val="34"/>
    <w:qFormat/>
    <w:rsid w:val="009C1A77"/>
    <w:pPr>
      <w:spacing w:after="240"/>
      <w:ind w:left="170" w:hanging="170"/>
      <w:contextualSpacing/>
    </w:pPr>
  </w:style>
  <w:style w:type="character" w:customStyle="1" w:styleId="ListParagraphChar">
    <w:name w:val="List Paragraph Char"/>
    <w:aliases w:val="List Paragraph1 Char,List Paragraph11 Char,Recommendation Char,First level bullet point Char,Body text Char,standard lewis Char,Lists Char,Bullet point Char,Body Text1 Char,NAST Quote Char,Bullets Char,CV text Char,Dot pt Char,L Char"/>
    <w:link w:val="ListParagraph"/>
    <w:uiPriority w:val="34"/>
    <w:qFormat/>
    <w:locked/>
    <w:rsid w:val="009C1A77"/>
    <w:rPr>
      <w:rFonts w:ascii="Roboto-Light" w:hAnsi="Roboto-Light" w:cs="Roboto-Light"/>
      <w:color w:val="000000"/>
      <w:sz w:val="18"/>
      <w:szCs w:val="22"/>
      <w:lang w:val="en-GB"/>
    </w:rPr>
  </w:style>
  <w:style w:type="character" w:customStyle="1" w:styleId="AIHWbodytextChar">
    <w:name w:val="AIHW body text Char"/>
    <w:link w:val="AIHWbodytext"/>
    <w:locked/>
    <w:rsid w:val="00B55D93"/>
    <w:rPr>
      <w:rFonts w:ascii="Arial" w:hAnsi="Arial" w:cs="Arial"/>
      <w:szCs w:val="20"/>
    </w:rPr>
  </w:style>
  <w:style w:type="paragraph" w:customStyle="1" w:styleId="AIHWbodytext">
    <w:name w:val="AIHW body text"/>
    <w:basedOn w:val="Normal"/>
    <w:link w:val="AIHWbodytextChar"/>
    <w:qFormat/>
    <w:rsid w:val="00B55D93"/>
    <w:pPr>
      <w:suppressAutoHyphens w:val="0"/>
      <w:autoSpaceDE/>
      <w:autoSpaceDN/>
      <w:adjustRightInd/>
      <w:spacing w:before="120"/>
      <w:textAlignment w:val="auto"/>
    </w:pPr>
    <w:rPr>
      <w:rFonts w:ascii="Arial" w:hAnsi="Arial" w:cs="Arial"/>
      <w:color w:val="auto"/>
      <w:sz w:val="24"/>
      <w:szCs w:val="20"/>
      <w:lang w:val="en-AU"/>
    </w:rPr>
  </w:style>
  <w:style w:type="paragraph" w:customStyle="1" w:styleId="GuidingQuestion">
    <w:name w:val="Guiding Question"/>
    <w:basedOn w:val="Heading3"/>
    <w:qFormat/>
    <w:rsid w:val="00AC7182"/>
    <w:pPr>
      <w:pBdr>
        <w:bottom w:val="single" w:sz="4" w:space="1" w:color="auto"/>
      </w:pBdr>
      <w:jc w:val="right"/>
    </w:pPr>
    <w:rPr>
      <w:rFonts w:ascii="Merriweather 18pt" w:hAnsi="Merriweather 18pt"/>
    </w:rPr>
  </w:style>
  <w:style w:type="paragraph" w:styleId="NoSpacing">
    <w:name w:val="No Spacing"/>
    <w:link w:val="NoSpacingChar"/>
    <w:uiPriority w:val="1"/>
    <w:qFormat/>
    <w:rsid w:val="006214A2"/>
    <w:rPr>
      <w:rFonts w:eastAsiaTheme="minorEastAsia"/>
      <w:sz w:val="22"/>
      <w:szCs w:val="22"/>
      <w:lang w:val="en-US" w:eastAsia="zh-CN"/>
    </w:rPr>
  </w:style>
  <w:style w:type="character" w:customStyle="1" w:styleId="NoSpacingChar">
    <w:name w:val="No Spacing Char"/>
    <w:basedOn w:val="DefaultParagraphFont"/>
    <w:link w:val="NoSpacing"/>
    <w:uiPriority w:val="1"/>
    <w:rsid w:val="006214A2"/>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562389">
      <w:bodyDiv w:val="1"/>
      <w:marLeft w:val="0"/>
      <w:marRight w:val="0"/>
      <w:marTop w:val="0"/>
      <w:marBottom w:val="0"/>
      <w:divBdr>
        <w:top w:val="none" w:sz="0" w:space="0" w:color="auto"/>
        <w:left w:val="none" w:sz="0" w:space="0" w:color="auto"/>
        <w:bottom w:val="none" w:sz="0" w:space="0" w:color="auto"/>
        <w:right w:val="none" w:sz="0" w:space="0" w:color="auto"/>
      </w:divBdr>
    </w:div>
    <w:div w:id="10298023">
      <w:bodyDiv w:val="1"/>
      <w:marLeft w:val="0"/>
      <w:marRight w:val="0"/>
      <w:marTop w:val="0"/>
      <w:marBottom w:val="0"/>
      <w:divBdr>
        <w:top w:val="none" w:sz="0" w:space="0" w:color="auto"/>
        <w:left w:val="none" w:sz="0" w:space="0" w:color="auto"/>
        <w:bottom w:val="none" w:sz="0" w:space="0" w:color="auto"/>
        <w:right w:val="none" w:sz="0" w:space="0" w:color="auto"/>
      </w:divBdr>
    </w:div>
    <w:div w:id="28921574">
      <w:bodyDiv w:val="1"/>
      <w:marLeft w:val="0"/>
      <w:marRight w:val="0"/>
      <w:marTop w:val="0"/>
      <w:marBottom w:val="0"/>
      <w:divBdr>
        <w:top w:val="none" w:sz="0" w:space="0" w:color="auto"/>
        <w:left w:val="none" w:sz="0" w:space="0" w:color="auto"/>
        <w:bottom w:val="none" w:sz="0" w:space="0" w:color="auto"/>
        <w:right w:val="none" w:sz="0" w:space="0" w:color="auto"/>
      </w:divBdr>
      <w:divsChild>
        <w:div w:id="1536041226">
          <w:marLeft w:val="0"/>
          <w:marRight w:val="0"/>
          <w:marTop w:val="0"/>
          <w:marBottom w:val="0"/>
          <w:divBdr>
            <w:top w:val="none" w:sz="0" w:space="0" w:color="auto"/>
            <w:left w:val="none" w:sz="0" w:space="0" w:color="auto"/>
            <w:bottom w:val="none" w:sz="0" w:space="0" w:color="auto"/>
            <w:right w:val="none" w:sz="0" w:space="0" w:color="auto"/>
          </w:divBdr>
        </w:div>
      </w:divsChild>
    </w:div>
    <w:div w:id="36129593">
      <w:bodyDiv w:val="1"/>
      <w:marLeft w:val="0"/>
      <w:marRight w:val="0"/>
      <w:marTop w:val="0"/>
      <w:marBottom w:val="0"/>
      <w:divBdr>
        <w:top w:val="none" w:sz="0" w:space="0" w:color="auto"/>
        <w:left w:val="none" w:sz="0" w:space="0" w:color="auto"/>
        <w:bottom w:val="none" w:sz="0" w:space="0" w:color="auto"/>
        <w:right w:val="none" w:sz="0" w:space="0" w:color="auto"/>
      </w:divBdr>
    </w:div>
    <w:div w:id="44791478">
      <w:bodyDiv w:val="1"/>
      <w:marLeft w:val="0"/>
      <w:marRight w:val="0"/>
      <w:marTop w:val="0"/>
      <w:marBottom w:val="0"/>
      <w:divBdr>
        <w:top w:val="none" w:sz="0" w:space="0" w:color="auto"/>
        <w:left w:val="none" w:sz="0" w:space="0" w:color="auto"/>
        <w:bottom w:val="none" w:sz="0" w:space="0" w:color="auto"/>
        <w:right w:val="none" w:sz="0" w:space="0" w:color="auto"/>
      </w:divBdr>
    </w:div>
    <w:div w:id="66340565">
      <w:bodyDiv w:val="1"/>
      <w:marLeft w:val="0"/>
      <w:marRight w:val="0"/>
      <w:marTop w:val="0"/>
      <w:marBottom w:val="0"/>
      <w:divBdr>
        <w:top w:val="none" w:sz="0" w:space="0" w:color="auto"/>
        <w:left w:val="none" w:sz="0" w:space="0" w:color="auto"/>
        <w:bottom w:val="none" w:sz="0" w:space="0" w:color="auto"/>
        <w:right w:val="none" w:sz="0" w:space="0" w:color="auto"/>
      </w:divBdr>
    </w:div>
    <w:div w:id="82996673">
      <w:bodyDiv w:val="1"/>
      <w:marLeft w:val="0"/>
      <w:marRight w:val="0"/>
      <w:marTop w:val="0"/>
      <w:marBottom w:val="0"/>
      <w:divBdr>
        <w:top w:val="none" w:sz="0" w:space="0" w:color="auto"/>
        <w:left w:val="none" w:sz="0" w:space="0" w:color="auto"/>
        <w:bottom w:val="none" w:sz="0" w:space="0" w:color="auto"/>
        <w:right w:val="none" w:sz="0" w:space="0" w:color="auto"/>
      </w:divBdr>
    </w:div>
    <w:div w:id="90704744">
      <w:bodyDiv w:val="1"/>
      <w:marLeft w:val="0"/>
      <w:marRight w:val="0"/>
      <w:marTop w:val="0"/>
      <w:marBottom w:val="0"/>
      <w:divBdr>
        <w:top w:val="none" w:sz="0" w:space="0" w:color="auto"/>
        <w:left w:val="none" w:sz="0" w:space="0" w:color="auto"/>
        <w:bottom w:val="none" w:sz="0" w:space="0" w:color="auto"/>
        <w:right w:val="none" w:sz="0" w:space="0" w:color="auto"/>
      </w:divBdr>
    </w:div>
    <w:div w:id="92744849">
      <w:bodyDiv w:val="1"/>
      <w:marLeft w:val="0"/>
      <w:marRight w:val="0"/>
      <w:marTop w:val="0"/>
      <w:marBottom w:val="0"/>
      <w:divBdr>
        <w:top w:val="none" w:sz="0" w:space="0" w:color="auto"/>
        <w:left w:val="none" w:sz="0" w:space="0" w:color="auto"/>
        <w:bottom w:val="none" w:sz="0" w:space="0" w:color="auto"/>
        <w:right w:val="none" w:sz="0" w:space="0" w:color="auto"/>
      </w:divBdr>
    </w:div>
    <w:div w:id="103310666">
      <w:bodyDiv w:val="1"/>
      <w:marLeft w:val="0"/>
      <w:marRight w:val="0"/>
      <w:marTop w:val="0"/>
      <w:marBottom w:val="0"/>
      <w:divBdr>
        <w:top w:val="none" w:sz="0" w:space="0" w:color="auto"/>
        <w:left w:val="none" w:sz="0" w:space="0" w:color="auto"/>
        <w:bottom w:val="none" w:sz="0" w:space="0" w:color="auto"/>
        <w:right w:val="none" w:sz="0" w:space="0" w:color="auto"/>
      </w:divBdr>
    </w:div>
    <w:div w:id="116877301">
      <w:bodyDiv w:val="1"/>
      <w:marLeft w:val="0"/>
      <w:marRight w:val="0"/>
      <w:marTop w:val="0"/>
      <w:marBottom w:val="0"/>
      <w:divBdr>
        <w:top w:val="none" w:sz="0" w:space="0" w:color="auto"/>
        <w:left w:val="none" w:sz="0" w:space="0" w:color="auto"/>
        <w:bottom w:val="none" w:sz="0" w:space="0" w:color="auto"/>
        <w:right w:val="none" w:sz="0" w:space="0" w:color="auto"/>
      </w:divBdr>
      <w:divsChild>
        <w:div w:id="316492302">
          <w:marLeft w:val="0"/>
          <w:marRight w:val="0"/>
          <w:marTop w:val="0"/>
          <w:marBottom w:val="0"/>
          <w:divBdr>
            <w:top w:val="none" w:sz="0" w:space="0" w:color="auto"/>
            <w:left w:val="none" w:sz="0" w:space="0" w:color="auto"/>
            <w:bottom w:val="none" w:sz="0" w:space="0" w:color="auto"/>
            <w:right w:val="none" w:sz="0" w:space="0" w:color="auto"/>
          </w:divBdr>
        </w:div>
      </w:divsChild>
    </w:div>
    <w:div w:id="126239195">
      <w:bodyDiv w:val="1"/>
      <w:marLeft w:val="0"/>
      <w:marRight w:val="0"/>
      <w:marTop w:val="0"/>
      <w:marBottom w:val="0"/>
      <w:divBdr>
        <w:top w:val="none" w:sz="0" w:space="0" w:color="auto"/>
        <w:left w:val="none" w:sz="0" w:space="0" w:color="auto"/>
        <w:bottom w:val="none" w:sz="0" w:space="0" w:color="auto"/>
        <w:right w:val="none" w:sz="0" w:space="0" w:color="auto"/>
      </w:divBdr>
    </w:div>
    <w:div w:id="132139445">
      <w:bodyDiv w:val="1"/>
      <w:marLeft w:val="0"/>
      <w:marRight w:val="0"/>
      <w:marTop w:val="0"/>
      <w:marBottom w:val="0"/>
      <w:divBdr>
        <w:top w:val="none" w:sz="0" w:space="0" w:color="auto"/>
        <w:left w:val="none" w:sz="0" w:space="0" w:color="auto"/>
        <w:bottom w:val="none" w:sz="0" w:space="0" w:color="auto"/>
        <w:right w:val="none" w:sz="0" w:space="0" w:color="auto"/>
      </w:divBdr>
    </w:div>
    <w:div w:id="147283593">
      <w:bodyDiv w:val="1"/>
      <w:marLeft w:val="0"/>
      <w:marRight w:val="0"/>
      <w:marTop w:val="0"/>
      <w:marBottom w:val="0"/>
      <w:divBdr>
        <w:top w:val="none" w:sz="0" w:space="0" w:color="auto"/>
        <w:left w:val="none" w:sz="0" w:space="0" w:color="auto"/>
        <w:bottom w:val="none" w:sz="0" w:space="0" w:color="auto"/>
        <w:right w:val="none" w:sz="0" w:space="0" w:color="auto"/>
      </w:divBdr>
    </w:div>
    <w:div w:id="173883811">
      <w:bodyDiv w:val="1"/>
      <w:marLeft w:val="0"/>
      <w:marRight w:val="0"/>
      <w:marTop w:val="0"/>
      <w:marBottom w:val="0"/>
      <w:divBdr>
        <w:top w:val="none" w:sz="0" w:space="0" w:color="auto"/>
        <w:left w:val="none" w:sz="0" w:space="0" w:color="auto"/>
        <w:bottom w:val="none" w:sz="0" w:space="0" w:color="auto"/>
        <w:right w:val="none" w:sz="0" w:space="0" w:color="auto"/>
      </w:divBdr>
    </w:div>
    <w:div w:id="188643877">
      <w:bodyDiv w:val="1"/>
      <w:marLeft w:val="0"/>
      <w:marRight w:val="0"/>
      <w:marTop w:val="0"/>
      <w:marBottom w:val="0"/>
      <w:divBdr>
        <w:top w:val="none" w:sz="0" w:space="0" w:color="auto"/>
        <w:left w:val="none" w:sz="0" w:space="0" w:color="auto"/>
        <w:bottom w:val="none" w:sz="0" w:space="0" w:color="auto"/>
        <w:right w:val="none" w:sz="0" w:space="0" w:color="auto"/>
      </w:divBdr>
    </w:div>
    <w:div w:id="218907785">
      <w:bodyDiv w:val="1"/>
      <w:marLeft w:val="0"/>
      <w:marRight w:val="0"/>
      <w:marTop w:val="0"/>
      <w:marBottom w:val="0"/>
      <w:divBdr>
        <w:top w:val="none" w:sz="0" w:space="0" w:color="auto"/>
        <w:left w:val="none" w:sz="0" w:space="0" w:color="auto"/>
        <w:bottom w:val="none" w:sz="0" w:space="0" w:color="auto"/>
        <w:right w:val="none" w:sz="0" w:space="0" w:color="auto"/>
      </w:divBdr>
    </w:div>
    <w:div w:id="224340646">
      <w:bodyDiv w:val="1"/>
      <w:marLeft w:val="0"/>
      <w:marRight w:val="0"/>
      <w:marTop w:val="0"/>
      <w:marBottom w:val="0"/>
      <w:divBdr>
        <w:top w:val="none" w:sz="0" w:space="0" w:color="auto"/>
        <w:left w:val="none" w:sz="0" w:space="0" w:color="auto"/>
        <w:bottom w:val="none" w:sz="0" w:space="0" w:color="auto"/>
        <w:right w:val="none" w:sz="0" w:space="0" w:color="auto"/>
      </w:divBdr>
    </w:div>
    <w:div w:id="261844331">
      <w:bodyDiv w:val="1"/>
      <w:marLeft w:val="0"/>
      <w:marRight w:val="0"/>
      <w:marTop w:val="0"/>
      <w:marBottom w:val="0"/>
      <w:divBdr>
        <w:top w:val="none" w:sz="0" w:space="0" w:color="auto"/>
        <w:left w:val="none" w:sz="0" w:space="0" w:color="auto"/>
        <w:bottom w:val="none" w:sz="0" w:space="0" w:color="auto"/>
        <w:right w:val="none" w:sz="0" w:space="0" w:color="auto"/>
      </w:divBdr>
    </w:div>
    <w:div w:id="285237031">
      <w:bodyDiv w:val="1"/>
      <w:marLeft w:val="0"/>
      <w:marRight w:val="0"/>
      <w:marTop w:val="0"/>
      <w:marBottom w:val="0"/>
      <w:divBdr>
        <w:top w:val="none" w:sz="0" w:space="0" w:color="auto"/>
        <w:left w:val="none" w:sz="0" w:space="0" w:color="auto"/>
        <w:bottom w:val="none" w:sz="0" w:space="0" w:color="auto"/>
        <w:right w:val="none" w:sz="0" w:space="0" w:color="auto"/>
      </w:divBdr>
    </w:div>
    <w:div w:id="287320735">
      <w:bodyDiv w:val="1"/>
      <w:marLeft w:val="0"/>
      <w:marRight w:val="0"/>
      <w:marTop w:val="0"/>
      <w:marBottom w:val="0"/>
      <w:divBdr>
        <w:top w:val="none" w:sz="0" w:space="0" w:color="auto"/>
        <w:left w:val="none" w:sz="0" w:space="0" w:color="auto"/>
        <w:bottom w:val="none" w:sz="0" w:space="0" w:color="auto"/>
        <w:right w:val="none" w:sz="0" w:space="0" w:color="auto"/>
      </w:divBdr>
    </w:div>
    <w:div w:id="312610831">
      <w:bodyDiv w:val="1"/>
      <w:marLeft w:val="0"/>
      <w:marRight w:val="0"/>
      <w:marTop w:val="0"/>
      <w:marBottom w:val="0"/>
      <w:divBdr>
        <w:top w:val="none" w:sz="0" w:space="0" w:color="auto"/>
        <w:left w:val="none" w:sz="0" w:space="0" w:color="auto"/>
        <w:bottom w:val="none" w:sz="0" w:space="0" w:color="auto"/>
        <w:right w:val="none" w:sz="0" w:space="0" w:color="auto"/>
      </w:divBdr>
    </w:div>
    <w:div w:id="350109445">
      <w:bodyDiv w:val="1"/>
      <w:marLeft w:val="0"/>
      <w:marRight w:val="0"/>
      <w:marTop w:val="0"/>
      <w:marBottom w:val="0"/>
      <w:divBdr>
        <w:top w:val="none" w:sz="0" w:space="0" w:color="auto"/>
        <w:left w:val="none" w:sz="0" w:space="0" w:color="auto"/>
        <w:bottom w:val="none" w:sz="0" w:space="0" w:color="auto"/>
        <w:right w:val="none" w:sz="0" w:space="0" w:color="auto"/>
      </w:divBdr>
    </w:div>
    <w:div w:id="361711932">
      <w:bodyDiv w:val="1"/>
      <w:marLeft w:val="0"/>
      <w:marRight w:val="0"/>
      <w:marTop w:val="0"/>
      <w:marBottom w:val="0"/>
      <w:divBdr>
        <w:top w:val="none" w:sz="0" w:space="0" w:color="auto"/>
        <w:left w:val="none" w:sz="0" w:space="0" w:color="auto"/>
        <w:bottom w:val="none" w:sz="0" w:space="0" w:color="auto"/>
        <w:right w:val="none" w:sz="0" w:space="0" w:color="auto"/>
      </w:divBdr>
    </w:div>
    <w:div w:id="368184297">
      <w:bodyDiv w:val="1"/>
      <w:marLeft w:val="0"/>
      <w:marRight w:val="0"/>
      <w:marTop w:val="0"/>
      <w:marBottom w:val="0"/>
      <w:divBdr>
        <w:top w:val="none" w:sz="0" w:space="0" w:color="auto"/>
        <w:left w:val="none" w:sz="0" w:space="0" w:color="auto"/>
        <w:bottom w:val="none" w:sz="0" w:space="0" w:color="auto"/>
        <w:right w:val="none" w:sz="0" w:space="0" w:color="auto"/>
      </w:divBdr>
    </w:div>
    <w:div w:id="370424398">
      <w:bodyDiv w:val="1"/>
      <w:marLeft w:val="0"/>
      <w:marRight w:val="0"/>
      <w:marTop w:val="0"/>
      <w:marBottom w:val="0"/>
      <w:divBdr>
        <w:top w:val="none" w:sz="0" w:space="0" w:color="auto"/>
        <w:left w:val="none" w:sz="0" w:space="0" w:color="auto"/>
        <w:bottom w:val="none" w:sz="0" w:space="0" w:color="auto"/>
        <w:right w:val="none" w:sz="0" w:space="0" w:color="auto"/>
      </w:divBdr>
    </w:div>
    <w:div w:id="372508844">
      <w:bodyDiv w:val="1"/>
      <w:marLeft w:val="0"/>
      <w:marRight w:val="0"/>
      <w:marTop w:val="0"/>
      <w:marBottom w:val="0"/>
      <w:divBdr>
        <w:top w:val="none" w:sz="0" w:space="0" w:color="auto"/>
        <w:left w:val="none" w:sz="0" w:space="0" w:color="auto"/>
        <w:bottom w:val="none" w:sz="0" w:space="0" w:color="auto"/>
        <w:right w:val="none" w:sz="0" w:space="0" w:color="auto"/>
      </w:divBdr>
    </w:div>
    <w:div w:id="374277814">
      <w:bodyDiv w:val="1"/>
      <w:marLeft w:val="0"/>
      <w:marRight w:val="0"/>
      <w:marTop w:val="0"/>
      <w:marBottom w:val="0"/>
      <w:divBdr>
        <w:top w:val="none" w:sz="0" w:space="0" w:color="auto"/>
        <w:left w:val="none" w:sz="0" w:space="0" w:color="auto"/>
        <w:bottom w:val="none" w:sz="0" w:space="0" w:color="auto"/>
        <w:right w:val="none" w:sz="0" w:space="0" w:color="auto"/>
      </w:divBdr>
    </w:div>
    <w:div w:id="374933067">
      <w:bodyDiv w:val="1"/>
      <w:marLeft w:val="0"/>
      <w:marRight w:val="0"/>
      <w:marTop w:val="0"/>
      <w:marBottom w:val="0"/>
      <w:divBdr>
        <w:top w:val="none" w:sz="0" w:space="0" w:color="auto"/>
        <w:left w:val="none" w:sz="0" w:space="0" w:color="auto"/>
        <w:bottom w:val="none" w:sz="0" w:space="0" w:color="auto"/>
        <w:right w:val="none" w:sz="0" w:space="0" w:color="auto"/>
      </w:divBdr>
    </w:div>
    <w:div w:id="389571588">
      <w:bodyDiv w:val="1"/>
      <w:marLeft w:val="0"/>
      <w:marRight w:val="0"/>
      <w:marTop w:val="0"/>
      <w:marBottom w:val="0"/>
      <w:divBdr>
        <w:top w:val="none" w:sz="0" w:space="0" w:color="auto"/>
        <w:left w:val="none" w:sz="0" w:space="0" w:color="auto"/>
        <w:bottom w:val="none" w:sz="0" w:space="0" w:color="auto"/>
        <w:right w:val="none" w:sz="0" w:space="0" w:color="auto"/>
      </w:divBdr>
    </w:div>
    <w:div w:id="408507169">
      <w:bodyDiv w:val="1"/>
      <w:marLeft w:val="0"/>
      <w:marRight w:val="0"/>
      <w:marTop w:val="0"/>
      <w:marBottom w:val="0"/>
      <w:divBdr>
        <w:top w:val="none" w:sz="0" w:space="0" w:color="auto"/>
        <w:left w:val="none" w:sz="0" w:space="0" w:color="auto"/>
        <w:bottom w:val="none" w:sz="0" w:space="0" w:color="auto"/>
        <w:right w:val="none" w:sz="0" w:space="0" w:color="auto"/>
      </w:divBdr>
      <w:divsChild>
        <w:div w:id="1374696399">
          <w:marLeft w:val="0"/>
          <w:marRight w:val="0"/>
          <w:marTop w:val="0"/>
          <w:marBottom w:val="0"/>
          <w:divBdr>
            <w:top w:val="none" w:sz="0" w:space="0" w:color="auto"/>
            <w:left w:val="none" w:sz="0" w:space="0" w:color="auto"/>
            <w:bottom w:val="none" w:sz="0" w:space="0" w:color="auto"/>
            <w:right w:val="none" w:sz="0" w:space="0" w:color="auto"/>
          </w:divBdr>
        </w:div>
      </w:divsChild>
    </w:div>
    <w:div w:id="444815607">
      <w:bodyDiv w:val="1"/>
      <w:marLeft w:val="0"/>
      <w:marRight w:val="0"/>
      <w:marTop w:val="0"/>
      <w:marBottom w:val="0"/>
      <w:divBdr>
        <w:top w:val="none" w:sz="0" w:space="0" w:color="auto"/>
        <w:left w:val="none" w:sz="0" w:space="0" w:color="auto"/>
        <w:bottom w:val="none" w:sz="0" w:space="0" w:color="auto"/>
        <w:right w:val="none" w:sz="0" w:space="0" w:color="auto"/>
      </w:divBdr>
    </w:div>
    <w:div w:id="446386051">
      <w:bodyDiv w:val="1"/>
      <w:marLeft w:val="0"/>
      <w:marRight w:val="0"/>
      <w:marTop w:val="0"/>
      <w:marBottom w:val="0"/>
      <w:divBdr>
        <w:top w:val="none" w:sz="0" w:space="0" w:color="auto"/>
        <w:left w:val="none" w:sz="0" w:space="0" w:color="auto"/>
        <w:bottom w:val="none" w:sz="0" w:space="0" w:color="auto"/>
        <w:right w:val="none" w:sz="0" w:space="0" w:color="auto"/>
      </w:divBdr>
    </w:div>
    <w:div w:id="452094561">
      <w:bodyDiv w:val="1"/>
      <w:marLeft w:val="0"/>
      <w:marRight w:val="0"/>
      <w:marTop w:val="0"/>
      <w:marBottom w:val="0"/>
      <w:divBdr>
        <w:top w:val="none" w:sz="0" w:space="0" w:color="auto"/>
        <w:left w:val="none" w:sz="0" w:space="0" w:color="auto"/>
        <w:bottom w:val="none" w:sz="0" w:space="0" w:color="auto"/>
        <w:right w:val="none" w:sz="0" w:space="0" w:color="auto"/>
      </w:divBdr>
    </w:div>
    <w:div w:id="454757903">
      <w:bodyDiv w:val="1"/>
      <w:marLeft w:val="0"/>
      <w:marRight w:val="0"/>
      <w:marTop w:val="0"/>
      <w:marBottom w:val="0"/>
      <w:divBdr>
        <w:top w:val="none" w:sz="0" w:space="0" w:color="auto"/>
        <w:left w:val="none" w:sz="0" w:space="0" w:color="auto"/>
        <w:bottom w:val="none" w:sz="0" w:space="0" w:color="auto"/>
        <w:right w:val="none" w:sz="0" w:space="0" w:color="auto"/>
      </w:divBdr>
    </w:div>
    <w:div w:id="462163582">
      <w:bodyDiv w:val="1"/>
      <w:marLeft w:val="0"/>
      <w:marRight w:val="0"/>
      <w:marTop w:val="0"/>
      <w:marBottom w:val="0"/>
      <w:divBdr>
        <w:top w:val="none" w:sz="0" w:space="0" w:color="auto"/>
        <w:left w:val="none" w:sz="0" w:space="0" w:color="auto"/>
        <w:bottom w:val="none" w:sz="0" w:space="0" w:color="auto"/>
        <w:right w:val="none" w:sz="0" w:space="0" w:color="auto"/>
      </w:divBdr>
    </w:div>
    <w:div w:id="504131924">
      <w:bodyDiv w:val="1"/>
      <w:marLeft w:val="0"/>
      <w:marRight w:val="0"/>
      <w:marTop w:val="0"/>
      <w:marBottom w:val="0"/>
      <w:divBdr>
        <w:top w:val="none" w:sz="0" w:space="0" w:color="auto"/>
        <w:left w:val="none" w:sz="0" w:space="0" w:color="auto"/>
        <w:bottom w:val="none" w:sz="0" w:space="0" w:color="auto"/>
        <w:right w:val="none" w:sz="0" w:space="0" w:color="auto"/>
      </w:divBdr>
    </w:div>
    <w:div w:id="506478027">
      <w:bodyDiv w:val="1"/>
      <w:marLeft w:val="0"/>
      <w:marRight w:val="0"/>
      <w:marTop w:val="0"/>
      <w:marBottom w:val="0"/>
      <w:divBdr>
        <w:top w:val="none" w:sz="0" w:space="0" w:color="auto"/>
        <w:left w:val="none" w:sz="0" w:space="0" w:color="auto"/>
        <w:bottom w:val="none" w:sz="0" w:space="0" w:color="auto"/>
        <w:right w:val="none" w:sz="0" w:space="0" w:color="auto"/>
      </w:divBdr>
    </w:div>
    <w:div w:id="531840722">
      <w:bodyDiv w:val="1"/>
      <w:marLeft w:val="0"/>
      <w:marRight w:val="0"/>
      <w:marTop w:val="0"/>
      <w:marBottom w:val="0"/>
      <w:divBdr>
        <w:top w:val="none" w:sz="0" w:space="0" w:color="auto"/>
        <w:left w:val="none" w:sz="0" w:space="0" w:color="auto"/>
        <w:bottom w:val="none" w:sz="0" w:space="0" w:color="auto"/>
        <w:right w:val="none" w:sz="0" w:space="0" w:color="auto"/>
      </w:divBdr>
    </w:div>
    <w:div w:id="540897682">
      <w:bodyDiv w:val="1"/>
      <w:marLeft w:val="0"/>
      <w:marRight w:val="0"/>
      <w:marTop w:val="0"/>
      <w:marBottom w:val="0"/>
      <w:divBdr>
        <w:top w:val="none" w:sz="0" w:space="0" w:color="auto"/>
        <w:left w:val="none" w:sz="0" w:space="0" w:color="auto"/>
        <w:bottom w:val="none" w:sz="0" w:space="0" w:color="auto"/>
        <w:right w:val="none" w:sz="0" w:space="0" w:color="auto"/>
      </w:divBdr>
    </w:div>
    <w:div w:id="541939400">
      <w:bodyDiv w:val="1"/>
      <w:marLeft w:val="0"/>
      <w:marRight w:val="0"/>
      <w:marTop w:val="0"/>
      <w:marBottom w:val="0"/>
      <w:divBdr>
        <w:top w:val="none" w:sz="0" w:space="0" w:color="auto"/>
        <w:left w:val="none" w:sz="0" w:space="0" w:color="auto"/>
        <w:bottom w:val="none" w:sz="0" w:space="0" w:color="auto"/>
        <w:right w:val="none" w:sz="0" w:space="0" w:color="auto"/>
      </w:divBdr>
    </w:div>
    <w:div w:id="542329731">
      <w:bodyDiv w:val="1"/>
      <w:marLeft w:val="0"/>
      <w:marRight w:val="0"/>
      <w:marTop w:val="0"/>
      <w:marBottom w:val="0"/>
      <w:divBdr>
        <w:top w:val="none" w:sz="0" w:space="0" w:color="auto"/>
        <w:left w:val="none" w:sz="0" w:space="0" w:color="auto"/>
        <w:bottom w:val="none" w:sz="0" w:space="0" w:color="auto"/>
        <w:right w:val="none" w:sz="0" w:space="0" w:color="auto"/>
      </w:divBdr>
    </w:div>
    <w:div w:id="561336161">
      <w:bodyDiv w:val="1"/>
      <w:marLeft w:val="0"/>
      <w:marRight w:val="0"/>
      <w:marTop w:val="0"/>
      <w:marBottom w:val="0"/>
      <w:divBdr>
        <w:top w:val="none" w:sz="0" w:space="0" w:color="auto"/>
        <w:left w:val="none" w:sz="0" w:space="0" w:color="auto"/>
        <w:bottom w:val="none" w:sz="0" w:space="0" w:color="auto"/>
        <w:right w:val="none" w:sz="0" w:space="0" w:color="auto"/>
      </w:divBdr>
    </w:div>
    <w:div w:id="607590777">
      <w:bodyDiv w:val="1"/>
      <w:marLeft w:val="0"/>
      <w:marRight w:val="0"/>
      <w:marTop w:val="0"/>
      <w:marBottom w:val="0"/>
      <w:divBdr>
        <w:top w:val="none" w:sz="0" w:space="0" w:color="auto"/>
        <w:left w:val="none" w:sz="0" w:space="0" w:color="auto"/>
        <w:bottom w:val="none" w:sz="0" w:space="0" w:color="auto"/>
        <w:right w:val="none" w:sz="0" w:space="0" w:color="auto"/>
      </w:divBdr>
    </w:div>
    <w:div w:id="610822607">
      <w:bodyDiv w:val="1"/>
      <w:marLeft w:val="0"/>
      <w:marRight w:val="0"/>
      <w:marTop w:val="0"/>
      <w:marBottom w:val="0"/>
      <w:divBdr>
        <w:top w:val="none" w:sz="0" w:space="0" w:color="auto"/>
        <w:left w:val="none" w:sz="0" w:space="0" w:color="auto"/>
        <w:bottom w:val="none" w:sz="0" w:space="0" w:color="auto"/>
        <w:right w:val="none" w:sz="0" w:space="0" w:color="auto"/>
      </w:divBdr>
    </w:div>
    <w:div w:id="639768191">
      <w:bodyDiv w:val="1"/>
      <w:marLeft w:val="0"/>
      <w:marRight w:val="0"/>
      <w:marTop w:val="0"/>
      <w:marBottom w:val="0"/>
      <w:divBdr>
        <w:top w:val="none" w:sz="0" w:space="0" w:color="auto"/>
        <w:left w:val="none" w:sz="0" w:space="0" w:color="auto"/>
        <w:bottom w:val="none" w:sz="0" w:space="0" w:color="auto"/>
        <w:right w:val="none" w:sz="0" w:space="0" w:color="auto"/>
      </w:divBdr>
    </w:div>
    <w:div w:id="645206369">
      <w:bodyDiv w:val="1"/>
      <w:marLeft w:val="0"/>
      <w:marRight w:val="0"/>
      <w:marTop w:val="0"/>
      <w:marBottom w:val="0"/>
      <w:divBdr>
        <w:top w:val="none" w:sz="0" w:space="0" w:color="auto"/>
        <w:left w:val="none" w:sz="0" w:space="0" w:color="auto"/>
        <w:bottom w:val="none" w:sz="0" w:space="0" w:color="auto"/>
        <w:right w:val="none" w:sz="0" w:space="0" w:color="auto"/>
      </w:divBdr>
    </w:div>
    <w:div w:id="666858368">
      <w:bodyDiv w:val="1"/>
      <w:marLeft w:val="0"/>
      <w:marRight w:val="0"/>
      <w:marTop w:val="0"/>
      <w:marBottom w:val="0"/>
      <w:divBdr>
        <w:top w:val="none" w:sz="0" w:space="0" w:color="auto"/>
        <w:left w:val="none" w:sz="0" w:space="0" w:color="auto"/>
        <w:bottom w:val="none" w:sz="0" w:space="0" w:color="auto"/>
        <w:right w:val="none" w:sz="0" w:space="0" w:color="auto"/>
      </w:divBdr>
    </w:div>
    <w:div w:id="675305803">
      <w:bodyDiv w:val="1"/>
      <w:marLeft w:val="0"/>
      <w:marRight w:val="0"/>
      <w:marTop w:val="0"/>
      <w:marBottom w:val="0"/>
      <w:divBdr>
        <w:top w:val="none" w:sz="0" w:space="0" w:color="auto"/>
        <w:left w:val="none" w:sz="0" w:space="0" w:color="auto"/>
        <w:bottom w:val="none" w:sz="0" w:space="0" w:color="auto"/>
        <w:right w:val="none" w:sz="0" w:space="0" w:color="auto"/>
      </w:divBdr>
    </w:div>
    <w:div w:id="709378063">
      <w:bodyDiv w:val="1"/>
      <w:marLeft w:val="0"/>
      <w:marRight w:val="0"/>
      <w:marTop w:val="0"/>
      <w:marBottom w:val="0"/>
      <w:divBdr>
        <w:top w:val="none" w:sz="0" w:space="0" w:color="auto"/>
        <w:left w:val="none" w:sz="0" w:space="0" w:color="auto"/>
        <w:bottom w:val="none" w:sz="0" w:space="0" w:color="auto"/>
        <w:right w:val="none" w:sz="0" w:space="0" w:color="auto"/>
      </w:divBdr>
    </w:div>
    <w:div w:id="718241190">
      <w:bodyDiv w:val="1"/>
      <w:marLeft w:val="0"/>
      <w:marRight w:val="0"/>
      <w:marTop w:val="0"/>
      <w:marBottom w:val="0"/>
      <w:divBdr>
        <w:top w:val="none" w:sz="0" w:space="0" w:color="auto"/>
        <w:left w:val="none" w:sz="0" w:space="0" w:color="auto"/>
        <w:bottom w:val="none" w:sz="0" w:space="0" w:color="auto"/>
        <w:right w:val="none" w:sz="0" w:space="0" w:color="auto"/>
      </w:divBdr>
    </w:div>
    <w:div w:id="724987088">
      <w:bodyDiv w:val="1"/>
      <w:marLeft w:val="0"/>
      <w:marRight w:val="0"/>
      <w:marTop w:val="0"/>
      <w:marBottom w:val="0"/>
      <w:divBdr>
        <w:top w:val="none" w:sz="0" w:space="0" w:color="auto"/>
        <w:left w:val="none" w:sz="0" w:space="0" w:color="auto"/>
        <w:bottom w:val="none" w:sz="0" w:space="0" w:color="auto"/>
        <w:right w:val="none" w:sz="0" w:space="0" w:color="auto"/>
      </w:divBdr>
    </w:div>
    <w:div w:id="743380586">
      <w:bodyDiv w:val="1"/>
      <w:marLeft w:val="0"/>
      <w:marRight w:val="0"/>
      <w:marTop w:val="0"/>
      <w:marBottom w:val="0"/>
      <w:divBdr>
        <w:top w:val="none" w:sz="0" w:space="0" w:color="auto"/>
        <w:left w:val="none" w:sz="0" w:space="0" w:color="auto"/>
        <w:bottom w:val="none" w:sz="0" w:space="0" w:color="auto"/>
        <w:right w:val="none" w:sz="0" w:space="0" w:color="auto"/>
      </w:divBdr>
    </w:div>
    <w:div w:id="770859662">
      <w:bodyDiv w:val="1"/>
      <w:marLeft w:val="0"/>
      <w:marRight w:val="0"/>
      <w:marTop w:val="0"/>
      <w:marBottom w:val="0"/>
      <w:divBdr>
        <w:top w:val="none" w:sz="0" w:space="0" w:color="auto"/>
        <w:left w:val="none" w:sz="0" w:space="0" w:color="auto"/>
        <w:bottom w:val="none" w:sz="0" w:space="0" w:color="auto"/>
        <w:right w:val="none" w:sz="0" w:space="0" w:color="auto"/>
      </w:divBdr>
    </w:div>
    <w:div w:id="785543838">
      <w:bodyDiv w:val="1"/>
      <w:marLeft w:val="0"/>
      <w:marRight w:val="0"/>
      <w:marTop w:val="0"/>
      <w:marBottom w:val="0"/>
      <w:divBdr>
        <w:top w:val="none" w:sz="0" w:space="0" w:color="auto"/>
        <w:left w:val="none" w:sz="0" w:space="0" w:color="auto"/>
        <w:bottom w:val="none" w:sz="0" w:space="0" w:color="auto"/>
        <w:right w:val="none" w:sz="0" w:space="0" w:color="auto"/>
      </w:divBdr>
    </w:div>
    <w:div w:id="803502116">
      <w:bodyDiv w:val="1"/>
      <w:marLeft w:val="0"/>
      <w:marRight w:val="0"/>
      <w:marTop w:val="0"/>
      <w:marBottom w:val="0"/>
      <w:divBdr>
        <w:top w:val="none" w:sz="0" w:space="0" w:color="auto"/>
        <w:left w:val="none" w:sz="0" w:space="0" w:color="auto"/>
        <w:bottom w:val="none" w:sz="0" w:space="0" w:color="auto"/>
        <w:right w:val="none" w:sz="0" w:space="0" w:color="auto"/>
      </w:divBdr>
    </w:div>
    <w:div w:id="820998225">
      <w:bodyDiv w:val="1"/>
      <w:marLeft w:val="0"/>
      <w:marRight w:val="0"/>
      <w:marTop w:val="0"/>
      <w:marBottom w:val="0"/>
      <w:divBdr>
        <w:top w:val="none" w:sz="0" w:space="0" w:color="auto"/>
        <w:left w:val="none" w:sz="0" w:space="0" w:color="auto"/>
        <w:bottom w:val="none" w:sz="0" w:space="0" w:color="auto"/>
        <w:right w:val="none" w:sz="0" w:space="0" w:color="auto"/>
      </w:divBdr>
    </w:div>
    <w:div w:id="839540340">
      <w:bodyDiv w:val="1"/>
      <w:marLeft w:val="0"/>
      <w:marRight w:val="0"/>
      <w:marTop w:val="0"/>
      <w:marBottom w:val="0"/>
      <w:divBdr>
        <w:top w:val="none" w:sz="0" w:space="0" w:color="auto"/>
        <w:left w:val="none" w:sz="0" w:space="0" w:color="auto"/>
        <w:bottom w:val="none" w:sz="0" w:space="0" w:color="auto"/>
        <w:right w:val="none" w:sz="0" w:space="0" w:color="auto"/>
      </w:divBdr>
    </w:div>
    <w:div w:id="847715775">
      <w:bodyDiv w:val="1"/>
      <w:marLeft w:val="0"/>
      <w:marRight w:val="0"/>
      <w:marTop w:val="0"/>
      <w:marBottom w:val="0"/>
      <w:divBdr>
        <w:top w:val="none" w:sz="0" w:space="0" w:color="auto"/>
        <w:left w:val="none" w:sz="0" w:space="0" w:color="auto"/>
        <w:bottom w:val="none" w:sz="0" w:space="0" w:color="auto"/>
        <w:right w:val="none" w:sz="0" w:space="0" w:color="auto"/>
      </w:divBdr>
    </w:div>
    <w:div w:id="849220012">
      <w:bodyDiv w:val="1"/>
      <w:marLeft w:val="0"/>
      <w:marRight w:val="0"/>
      <w:marTop w:val="0"/>
      <w:marBottom w:val="0"/>
      <w:divBdr>
        <w:top w:val="none" w:sz="0" w:space="0" w:color="auto"/>
        <w:left w:val="none" w:sz="0" w:space="0" w:color="auto"/>
        <w:bottom w:val="none" w:sz="0" w:space="0" w:color="auto"/>
        <w:right w:val="none" w:sz="0" w:space="0" w:color="auto"/>
      </w:divBdr>
    </w:div>
    <w:div w:id="861556375">
      <w:bodyDiv w:val="1"/>
      <w:marLeft w:val="0"/>
      <w:marRight w:val="0"/>
      <w:marTop w:val="0"/>
      <w:marBottom w:val="0"/>
      <w:divBdr>
        <w:top w:val="none" w:sz="0" w:space="0" w:color="auto"/>
        <w:left w:val="none" w:sz="0" w:space="0" w:color="auto"/>
        <w:bottom w:val="none" w:sz="0" w:space="0" w:color="auto"/>
        <w:right w:val="none" w:sz="0" w:space="0" w:color="auto"/>
      </w:divBdr>
      <w:divsChild>
        <w:div w:id="30691887">
          <w:marLeft w:val="0"/>
          <w:marRight w:val="0"/>
          <w:marTop w:val="0"/>
          <w:marBottom w:val="0"/>
          <w:divBdr>
            <w:top w:val="none" w:sz="0" w:space="0" w:color="auto"/>
            <w:left w:val="none" w:sz="0" w:space="0" w:color="auto"/>
            <w:bottom w:val="none" w:sz="0" w:space="0" w:color="auto"/>
            <w:right w:val="none" w:sz="0" w:space="0" w:color="auto"/>
          </w:divBdr>
        </w:div>
        <w:div w:id="383800833">
          <w:marLeft w:val="0"/>
          <w:marRight w:val="0"/>
          <w:marTop w:val="0"/>
          <w:marBottom w:val="0"/>
          <w:divBdr>
            <w:top w:val="none" w:sz="0" w:space="0" w:color="auto"/>
            <w:left w:val="none" w:sz="0" w:space="0" w:color="auto"/>
            <w:bottom w:val="none" w:sz="0" w:space="0" w:color="auto"/>
            <w:right w:val="none" w:sz="0" w:space="0" w:color="auto"/>
          </w:divBdr>
        </w:div>
        <w:div w:id="1152914475">
          <w:marLeft w:val="0"/>
          <w:marRight w:val="0"/>
          <w:marTop w:val="0"/>
          <w:marBottom w:val="0"/>
          <w:divBdr>
            <w:top w:val="none" w:sz="0" w:space="0" w:color="auto"/>
            <w:left w:val="none" w:sz="0" w:space="0" w:color="auto"/>
            <w:bottom w:val="none" w:sz="0" w:space="0" w:color="auto"/>
            <w:right w:val="none" w:sz="0" w:space="0" w:color="auto"/>
          </w:divBdr>
        </w:div>
        <w:div w:id="1250191019">
          <w:marLeft w:val="0"/>
          <w:marRight w:val="0"/>
          <w:marTop w:val="0"/>
          <w:marBottom w:val="0"/>
          <w:divBdr>
            <w:top w:val="none" w:sz="0" w:space="0" w:color="auto"/>
            <w:left w:val="none" w:sz="0" w:space="0" w:color="auto"/>
            <w:bottom w:val="none" w:sz="0" w:space="0" w:color="auto"/>
            <w:right w:val="none" w:sz="0" w:space="0" w:color="auto"/>
          </w:divBdr>
        </w:div>
        <w:div w:id="1799178364">
          <w:marLeft w:val="0"/>
          <w:marRight w:val="0"/>
          <w:marTop w:val="0"/>
          <w:marBottom w:val="0"/>
          <w:divBdr>
            <w:top w:val="none" w:sz="0" w:space="0" w:color="auto"/>
            <w:left w:val="none" w:sz="0" w:space="0" w:color="auto"/>
            <w:bottom w:val="none" w:sz="0" w:space="0" w:color="auto"/>
            <w:right w:val="none" w:sz="0" w:space="0" w:color="auto"/>
          </w:divBdr>
        </w:div>
      </w:divsChild>
    </w:div>
    <w:div w:id="866023011">
      <w:bodyDiv w:val="1"/>
      <w:marLeft w:val="0"/>
      <w:marRight w:val="0"/>
      <w:marTop w:val="0"/>
      <w:marBottom w:val="0"/>
      <w:divBdr>
        <w:top w:val="none" w:sz="0" w:space="0" w:color="auto"/>
        <w:left w:val="none" w:sz="0" w:space="0" w:color="auto"/>
        <w:bottom w:val="none" w:sz="0" w:space="0" w:color="auto"/>
        <w:right w:val="none" w:sz="0" w:space="0" w:color="auto"/>
      </w:divBdr>
    </w:div>
    <w:div w:id="878474391">
      <w:bodyDiv w:val="1"/>
      <w:marLeft w:val="0"/>
      <w:marRight w:val="0"/>
      <w:marTop w:val="0"/>
      <w:marBottom w:val="0"/>
      <w:divBdr>
        <w:top w:val="none" w:sz="0" w:space="0" w:color="auto"/>
        <w:left w:val="none" w:sz="0" w:space="0" w:color="auto"/>
        <w:bottom w:val="none" w:sz="0" w:space="0" w:color="auto"/>
        <w:right w:val="none" w:sz="0" w:space="0" w:color="auto"/>
      </w:divBdr>
    </w:div>
    <w:div w:id="888228154">
      <w:bodyDiv w:val="1"/>
      <w:marLeft w:val="0"/>
      <w:marRight w:val="0"/>
      <w:marTop w:val="0"/>
      <w:marBottom w:val="0"/>
      <w:divBdr>
        <w:top w:val="none" w:sz="0" w:space="0" w:color="auto"/>
        <w:left w:val="none" w:sz="0" w:space="0" w:color="auto"/>
        <w:bottom w:val="none" w:sz="0" w:space="0" w:color="auto"/>
        <w:right w:val="none" w:sz="0" w:space="0" w:color="auto"/>
      </w:divBdr>
    </w:div>
    <w:div w:id="908418142">
      <w:bodyDiv w:val="1"/>
      <w:marLeft w:val="0"/>
      <w:marRight w:val="0"/>
      <w:marTop w:val="0"/>
      <w:marBottom w:val="0"/>
      <w:divBdr>
        <w:top w:val="none" w:sz="0" w:space="0" w:color="auto"/>
        <w:left w:val="none" w:sz="0" w:space="0" w:color="auto"/>
        <w:bottom w:val="none" w:sz="0" w:space="0" w:color="auto"/>
        <w:right w:val="none" w:sz="0" w:space="0" w:color="auto"/>
      </w:divBdr>
    </w:div>
    <w:div w:id="924874661">
      <w:bodyDiv w:val="1"/>
      <w:marLeft w:val="0"/>
      <w:marRight w:val="0"/>
      <w:marTop w:val="0"/>
      <w:marBottom w:val="0"/>
      <w:divBdr>
        <w:top w:val="none" w:sz="0" w:space="0" w:color="auto"/>
        <w:left w:val="none" w:sz="0" w:space="0" w:color="auto"/>
        <w:bottom w:val="none" w:sz="0" w:space="0" w:color="auto"/>
        <w:right w:val="none" w:sz="0" w:space="0" w:color="auto"/>
      </w:divBdr>
    </w:div>
    <w:div w:id="939332350">
      <w:bodyDiv w:val="1"/>
      <w:marLeft w:val="0"/>
      <w:marRight w:val="0"/>
      <w:marTop w:val="0"/>
      <w:marBottom w:val="0"/>
      <w:divBdr>
        <w:top w:val="none" w:sz="0" w:space="0" w:color="auto"/>
        <w:left w:val="none" w:sz="0" w:space="0" w:color="auto"/>
        <w:bottom w:val="none" w:sz="0" w:space="0" w:color="auto"/>
        <w:right w:val="none" w:sz="0" w:space="0" w:color="auto"/>
      </w:divBdr>
    </w:div>
    <w:div w:id="947471462">
      <w:bodyDiv w:val="1"/>
      <w:marLeft w:val="0"/>
      <w:marRight w:val="0"/>
      <w:marTop w:val="0"/>
      <w:marBottom w:val="0"/>
      <w:divBdr>
        <w:top w:val="none" w:sz="0" w:space="0" w:color="auto"/>
        <w:left w:val="none" w:sz="0" w:space="0" w:color="auto"/>
        <w:bottom w:val="none" w:sz="0" w:space="0" w:color="auto"/>
        <w:right w:val="none" w:sz="0" w:space="0" w:color="auto"/>
      </w:divBdr>
    </w:div>
    <w:div w:id="954093742">
      <w:bodyDiv w:val="1"/>
      <w:marLeft w:val="0"/>
      <w:marRight w:val="0"/>
      <w:marTop w:val="0"/>
      <w:marBottom w:val="0"/>
      <w:divBdr>
        <w:top w:val="none" w:sz="0" w:space="0" w:color="auto"/>
        <w:left w:val="none" w:sz="0" w:space="0" w:color="auto"/>
        <w:bottom w:val="none" w:sz="0" w:space="0" w:color="auto"/>
        <w:right w:val="none" w:sz="0" w:space="0" w:color="auto"/>
      </w:divBdr>
      <w:divsChild>
        <w:div w:id="98916454">
          <w:marLeft w:val="0"/>
          <w:marRight w:val="0"/>
          <w:marTop w:val="0"/>
          <w:marBottom w:val="0"/>
          <w:divBdr>
            <w:top w:val="none" w:sz="0" w:space="0" w:color="auto"/>
            <w:left w:val="none" w:sz="0" w:space="0" w:color="auto"/>
            <w:bottom w:val="none" w:sz="0" w:space="0" w:color="auto"/>
            <w:right w:val="none" w:sz="0" w:space="0" w:color="auto"/>
          </w:divBdr>
        </w:div>
        <w:div w:id="502471141">
          <w:marLeft w:val="0"/>
          <w:marRight w:val="0"/>
          <w:marTop w:val="0"/>
          <w:marBottom w:val="0"/>
          <w:divBdr>
            <w:top w:val="none" w:sz="0" w:space="0" w:color="auto"/>
            <w:left w:val="none" w:sz="0" w:space="0" w:color="auto"/>
            <w:bottom w:val="none" w:sz="0" w:space="0" w:color="auto"/>
            <w:right w:val="none" w:sz="0" w:space="0" w:color="auto"/>
          </w:divBdr>
        </w:div>
        <w:div w:id="1149980819">
          <w:marLeft w:val="0"/>
          <w:marRight w:val="0"/>
          <w:marTop w:val="0"/>
          <w:marBottom w:val="0"/>
          <w:divBdr>
            <w:top w:val="none" w:sz="0" w:space="0" w:color="auto"/>
            <w:left w:val="none" w:sz="0" w:space="0" w:color="auto"/>
            <w:bottom w:val="none" w:sz="0" w:space="0" w:color="auto"/>
            <w:right w:val="none" w:sz="0" w:space="0" w:color="auto"/>
          </w:divBdr>
        </w:div>
        <w:div w:id="1703824127">
          <w:marLeft w:val="0"/>
          <w:marRight w:val="0"/>
          <w:marTop w:val="0"/>
          <w:marBottom w:val="0"/>
          <w:divBdr>
            <w:top w:val="none" w:sz="0" w:space="0" w:color="auto"/>
            <w:left w:val="none" w:sz="0" w:space="0" w:color="auto"/>
            <w:bottom w:val="none" w:sz="0" w:space="0" w:color="auto"/>
            <w:right w:val="none" w:sz="0" w:space="0" w:color="auto"/>
          </w:divBdr>
        </w:div>
        <w:div w:id="1863278025">
          <w:marLeft w:val="0"/>
          <w:marRight w:val="0"/>
          <w:marTop w:val="0"/>
          <w:marBottom w:val="0"/>
          <w:divBdr>
            <w:top w:val="none" w:sz="0" w:space="0" w:color="auto"/>
            <w:left w:val="none" w:sz="0" w:space="0" w:color="auto"/>
            <w:bottom w:val="none" w:sz="0" w:space="0" w:color="auto"/>
            <w:right w:val="none" w:sz="0" w:space="0" w:color="auto"/>
          </w:divBdr>
        </w:div>
      </w:divsChild>
    </w:div>
    <w:div w:id="983775025">
      <w:bodyDiv w:val="1"/>
      <w:marLeft w:val="0"/>
      <w:marRight w:val="0"/>
      <w:marTop w:val="0"/>
      <w:marBottom w:val="0"/>
      <w:divBdr>
        <w:top w:val="none" w:sz="0" w:space="0" w:color="auto"/>
        <w:left w:val="none" w:sz="0" w:space="0" w:color="auto"/>
        <w:bottom w:val="none" w:sz="0" w:space="0" w:color="auto"/>
        <w:right w:val="none" w:sz="0" w:space="0" w:color="auto"/>
      </w:divBdr>
    </w:div>
    <w:div w:id="988051246">
      <w:bodyDiv w:val="1"/>
      <w:marLeft w:val="0"/>
      <w:marRight w:val="0"/>
      <w:marTop w:val="0"/>
      <w:marBottom w:val="0"/>
      <w:divBdr>
        <w:top w:val="none" w:sz="0" w:space="0" w:color="auto"/>
        <w:left w:val="none" w:sz="0" w:space="0" w:color="auto"/>
        <w:bottom w:val="none" w:sz="0" w:space="0" w:color="auto"/>
        <w:right w:val="none" w:sz="0" w:space="0" w:color="auto"/>
      </w:divBdr>
    </w:div>
    <w:div w:id="1022173540">
      <w:bodyDiv w:val="1"/>
      <w:marLeft w:val="0"/>
      <w:marRight w:val="0"/>
      <w:marTop w:val="0"/>
      <w:marBottom w:val="0"/>
      <w:divBdr>
        <w:top w:val="none" w:sz="0" w:space="0" w:color="auto"/>
        <w:left w:val="none" w:sz="0" w:space="0" w:color="auto"/>
        <w:bottom w:val="none" w:sz="0" w:space="0" w:color="auto"/>
        <w:right w:val="none" w:sz="0" w:space="0" w:color="auto"/>
      </w:divBdr>
    </w:div>
    <w:div w:id="1081753693">
      <w:bodyDiv w:val="1"/>
      <w:marLeft w:val="0"/>
      <w:marRight w:val="0"/>
      <w:marTop w:val="0"/>
      <w:marBottom w:val="0"/>
      <w:divBdr>
        <w:top w:val="none" w:sz="0" w:space="0" w:color="auto"/>
        <w:left w:val="none" w:sz="0" w:space="0" w:color="auto"/>
        <w:bottom w:val="none" w:sz="0" w:space="0" w:color="auto"/>
        <w:right w:val="none" w:sz="0" w:space="0" w:color="auto"/>
      </w:divBdr>
    </w:div>
    <w:div w:id="1105878230">
      <w:bodyDiv w:val="1"/>
      <w:marLeft w:val="0"/>
      <w:marRight w:val="0"/>
      <w:marTop w:val="0"/>
      <w:marBottom w:val="0"/>
      <w:divBdr>
        <w:top w:val="none" w:sz="0" w:space="0" w:color="auto"/>
        <w:left w:val="none" w:sz="0" w:space="0" w:color="auto"/>
        <w:bottom w:val="none" w:sz="0" w:space="0" w:color="auto"/>
        <w:right w:val="none" w:sz="0" w:space="0" w:color="auto"/>
      </w:divBdr>
    </w:div>
    <w:div w:id="1120421473">
      <w:bodyDiv w:val="1"/>
      <w:marLeft w:val="0"/>
      <w:marRight w:val="0"/>
      <w:marTop w:val="0"/>
      <w:marBottom w:val="0"/>
      <w:divBdr>
        <w:top w:val="none" w:sz="0" w:space="0" w:color="auto"/>
        <w:left w:val="none" w:sz="0" w:space="0" w:color="auto"/>
        <w:bottom w:val="none" w:sz="0" w:space="0" w:color="auto"/>
        <w:right w:val="none" w:sz="0" w:space="0" w:color="auto"/>
      </w:divBdr>
    </w:div>
    <w:div w:id="1138259834">
      <w:bodyDiv w:val="1"/>
      <w:marLeft w:val="0"/>
      <w:marRight w:val="0"/>
      <w:marTop w:val="0"/>
      <w:marBottom w:val="0"/>
      <w:divBdr>
        <w:top w:val="none" w:sz="0" w:space="0" w:color="auto"/>
        <w:left w:val="none" w:sz="0" w:space="0" w:color="auto"/>
        <w:bottom w:val="none" w:sz="0" w:space="0" w:color="auto"/>
        <w:right w:val="none" w:sz="0" w:space="0" w:color="auto"/>
      </w:divBdr>
      <w:divsChild>
        <w:div w:id="377051067">
          <w:marLeft w:val="0"/>
          <w:marRight w:val="0"/>
          <w:marTop w:val="0"/>
          <w:marBottom w:val="0"/>
          <w:divBdr>
            <w:top w:val="none" w:sz="0" w:space="0" w:color="auto"/>
            <w:left w:val="none" w:sz="0" w:space="0" w:color="auto"/>
            <w:bottom w:val="none" w:sz="0" w:space="0" w:color="auto"/>
            <w:right w:val="none" w:sz="0" w:space="0" w:color="auto"/>
          </w:divBdr>
        </w:div>
      </w:divsChild>
    </w:div>
    <w:div w:id="1155685126">
      <w:bodyDiv w:val="1"/>
      <w:marLeft w:val="0"/>
      <w:marRight w:val="0"/>
      <w:marTop w:val="0"/>
      <w:marBottom w:val="0"/>
      <w:divBdr>
        <w:top w:val="none" w:sz="0" w:space="0" w:color="auto"/>
        <w:left w:val="none" w:sz="0" w:space="0" w:color="auto"/>
        <w:bottom w:val="none" w:sz="0" w:space="0" w:color="auto"/>
        <w:right w:val="none" w:sz="0" w:space="0" w:color="auto"/>
      </w:divBdr>
    </w:div>
    <w:div w:id="1181816505">
      <w:bodyDiv w:val="1"/>
      <w:marLeft w:val="0"/>
      <w:marRight w:val="0"/>
      <w:marTop w:val="0"/>
      <w:marBottom w:val="0"/>
      <w:divBdr>
        <w:top w:val="none" w:sz="0" w:space="0" w:color="auto"/>
        <w:left w:val="none" w:sz="0" w:space="0" w:color="auto"/>
        <w:bottom w:val="none" w:sz="0" w:space="0" w:color="auto"/>
        <w:right w:val="none" w:sz="0" w:space="0" w:color="auto"/>
      </w:divBdr>
    </w:div>
    <w:div w:id="1220556451">
      <w:bodyDiv w:val="1"/>
      <w:marLeft w:val="0"/>
      <w:marRight w:val="0"/>
      <w:marTop w:val="0"/>
      <w:marBottom w:val="0"/>
      <w:divBdr>
        <w:top w:val="none" w:sz="0" w:space="0" w:color="auto"/>
        <w:left w:val="none" w:sz="0" w:space="0" w:color="auto"/>
        <w:bottom w:val="none" w:sz="0" w:space="0" w:color="auto"/>
        <w:right w:val="none" w:sz="0" w:space="0" w:color="auto"/>
      </w:divBdr>
    </w:div>
    <w:div w:id="1262837561">
      <w:bodyDiv w:val="1"/>
      <w:marLeft w:val="0"/>
      <w:marRight w:val="0"/>
      <w:marTop w:val="0"/>
      <w:marBottom w:val="0"/>
      <w:divBdr>
        <w:top w:val="none" w:sz="0" w:space="0" w:color="auto"/>
        <w:left w:val="none" w:sz="0" w:space="0" w:color="auto"/>
        <w:bottom w:val="none" w:sz="0" w:space="0" w:color="auto"/>
        <w:right w:val="none" w:sz="0" w:space="0" w:color="auto"/>
      </w:divBdr>
    </w:div>
    <w:div w:id="1267689193">
      <w:bodyDiv w:val="1"/>
      <w:marLeft w:val="0"/>
      <w:marRight w:val="0"/>
      <w:marTop w:val="0"/>
      <w:marBottom w:val="0"/>
      <w:divBdr>
        <w:top w:val="none" w:sz="0" w:space="0" w:color="auto"/>
        <w:left w:val="none" w:sz="0" w:space="0" w:color="auto"/>
        <w:bottom w:val="none" w:sz="0" w:space="0" w:color="auto"/>
        <w:right w:val="none" w:sz="0" w:space="0" w:color="auto"/>
      </w:divBdr>
    </w:div>
    <w:div w:id="1299072571">
      <w:bodyDiv w:val="1"/>
      <w:marLeft w:val="0"/>
      <w:marRight w:val="0"/>
      <w:marTop w:val="0"/>
      <w:marBottom w:val="0"/>
      <w:divBdr>
        <w:top w:val="none" w:sz="0" w:space="0" w:color="auto"/>
        <w:left w:val="none" w:sz="0" w:space="0" w:color="auto"/>
        <w:bottom w:val="none" w:sz="0" w:space="0" w:color="auto"/>
        <w:right w:val="none" w:sz="0" w:space="0" w:color="auto"/>
      </w:divBdr>
    </w:div>
    <w:div w:id="1307737535">
      <w:bodyDiv w:val="1"/>
      <w:marLeft w:val="0"/>
      <w:marRight w:val="0"/>
      <w:marTop w:val="0"/>
      <w:marBottom w:val="0"/>
      <w:divBdr>
        <w:top w:val="none" w:sz="0" w:space="0" w:color="auto"/>
        <w:left w:val="none" w:sz="0" w:space="0" w:color="auto"/>
        <w:bottom w:val="none" w:sz="0" w:space="0" w:color="auto"/>
        <w:right w:val="none" w:sz="0" w:space="0" w:color="auto"/>
      </w:divBdr>
      <w:divsChild>
        <w:div w:id="440339132">
          <w:marLeft w:val="0"/>
          <w:marRight w:val="0"/>
          <w:marTop w:val="0"/>
          <w:marBottom w:val="0"/>
          <w:divBdr>
            <w:top w:val="none" w:sz="0" w:space="0" w:color="auto"/>
            <w:left w:val="none" w:sz="0" w:space="0" w:color="auto"/>
            <w:bottom w:val="none" w:sz="0" w:space="0" w:color="auto"/>
            <w:right w:val="none" w:sz="0" w:space="0" w:color="auto"/>
          </w:divBdr>
        </w:div>
      </w:divsChild>
    </w:div>
    <w:div w:id="1320618065">
      <w:bodyDiv w:val="1"/>
      <w:marLeft w:val="0"/>
      <w:marRight w:val="0"/>
      <w:marTop w:val="0"/>
      <w:marBottom w:val="0"/>
      <w:divBdr>
        <w:top w:val="none" w:sz="0" w:space="0" w:color="auto"/>
        <w:left w:val="none" w:sz="0" w:space="0" w:color="auto"/>
        <w:bottom w:val="none" w:sz="0" w:space="0" w:color="auto"/>
        <w:right w:val="none" w:sz="0" w:space="0" w:color="auto"/>
      </w:divBdr>
    </w:div>
    <w:div w:id="1335651259">
      <w:bodyDiv w:val="1"/>
      <w:marLeft w:val="0"/>
      <w:marRight w:val="0"/>
      <w:marTop w:val="0"/>
      <w:marBottom w:val="0"/>
      <w:divBdr>
        <w:top w:val="none" w:sz="0" w:space="0" w:color="auto"/>
        <w:left w:val="none" w:sz="0" w:space="0" w:color="auto"/>
        <w:bottom w:val="none" w:sz="0" w:space="0" w:color="auto"/>
        <w:right w:val="none" w:sz="0" w:space="0" w:color="auto"/>
      </w:divBdr>
    </w:div>
    <w:div w:id="1359697968">
      <w:bodyDiv w:val="1"/>
      <w:marLeft w:val="0"/>
      <w:marRight w:val="0"/>
      <w:marTop w:val="0"/>
      <w:marBottom w:val="0"/>
      <w:divBdr>
        <w:top w:val="none" w:sz="0" w:space="0" w:color="auto"/>
        <w:left w:val="none" w:sz="0" w:space="0" w:color="auto"/>
        <w:bottom w:val="none" w:sz="0" w:space="0" w:color="auto"/>
        <w:right w:val="none" w:sz="0" w:space="0" w:color="auto"/>
      </w:divBdr>
    </w:div>
    <w:div w:id="1375345424">
      <w:bodyDiv w:val="1"/>
      <w:marLeft w:val="0"/>
      <w:marRight w:val="0"/>
      <w:marTop w:val="0"/>
      <w:marBottom w:val="0"/>
      <w:divBdr>
        <w:top w:val="none" w:sz="0" w:space="0" w:color="auto"/>
        <w:left w:val="none" w:sz="0" w:space="0" w:color="auto"/>
        <w:bottom w:val="none" w:sz="0" w:space="0" w:color="auto"/>
        <w:right w:val="none" w:sz="0" w:space="0" w:color="auto"/>
      </w:divBdr>
    </w:div>
    <w:div w:id="1392655661">
      <w:bodyDiv w:val="1"/>
      <w:marLeft w:val="0"/>
      <w:marRight w:val="0"/>
      <w:marTop w:val="0"/>
      <w:marBottom w:val="0"/>
      <w:divBdr>
        <w:top w:val="none" w:sz="0" w:space="0" w:color="auto"/>
        <w:left w:val="none" w:sz="0" w:space="0" w:color="auto"/>
        <w:bottom w:val="none" w:sz="0" w:space="0" w:color="auto"/>
        <w:right w:val="none" w:sz="0" w:space="0" w:color="auto"/>
      </w:divBdr>
    </w:div>
    <w:div w:id="1413427714">
      <w:bodyDiv w:val="1"/>
      <w:marLeft w:val="0"/>
      <w:marRight w:val="0"/>
      <w:marTop w:val="0"/>
      <w:marBottom w:val="0"/>
      <w:divBdr>
        <w:top w:val="none" w:sz="0" w:space="0" w:color="auto"/>
        <w:left w:val="none" w:sz="0" w:space="0" w:color="auto"/>
        <w:bottom w:val="none" w:sz="0" w:space="0" w:color="auto"/>
        <w:right w:val="none" w:sz="0" w:space="0" w:color="auto"/>
      </w:divBdr>
      <w:divsChild>
        <w:div w:id="989091024">
          <w:marLeft w:val="0"/>
          <w:marRight w:val="0"/>
          <w:marTop w:val="0"/>
          <w:marBottom w:val="0"/>
          <w:divBdr>
            <w:top w:val="none" w:sz="0" w:space="0" w:color="auto"/>
            <w:left w:val="none" w:sz="0" w:space="0" w:color="auto"/>
            <w:bottom w:val="none" w:sz="0" w:space="0" w:color="auto"/>
            <w:right w:val="none" w:sz="0" w:space="0" w:color="auto"/>
          </w:divBdr>
        </w:div>
        <w:div w:id="1564676222">
          <w:marLeft w:val="0"/>
          <w:marRight w:val="0"/>
          <w:marTop w:val="0"/>
          <w:marBottom w:val="0"/>
          <w:divBdr>
            <w:top w:val="none" w:sz="0" w:space="0" w:color="auto"/>
            <w:left w:val="none" w:sz="0" w:space="0" w:color="auto"/>
            <w:bottom w:val="none" w:sz="0" w:space="0" w:color="auto"/>
            <w:right w:val="none" w:sz="0" w:space="0" w:color="auto"/>
          </w:divBdr>
        </w:div>
      </w:divsChild>
    </w:div>
    <w:div w:id="1418748398">
      <w:bodyDiv w:val="1"/>
      <w:marLeft w:val="0"/>
      <w:marRight w:val="0"/>
      <w:marTop w:val="0"/>
      <w:marBottom w:val="0"/>
      <w:divBdr>
        <w:top w:val="none" w:sz="0" w:space="0" w:color="auto"/>
        <w:left w:val="none" w:sz="0" w:space="0" w:color="auto"/>
        <w:bottom w:val="none" w:sz="0" w:space="0" w:color="auto"/>
        <w:right w:val="none" w:sz="0" w:space="0" w:color="auto"/>
      </w:divBdr>
    </w:div>
    <w:div w:id="1418790705">
      <w:bodyDiv w:val="1"/>
      <w:marLeft w:val="0"/>
      <w:marRight w:val="0"/>
      <w:marTop w:val="0"/>
      <w:marBottom w:val="0"/>
      <w:divBdr>
        <w:top w:val="none" w:sz="0" w:space="0" w:color="auto"/>
        <w:left w:val="none" w:sz="0" w:space="0" w:color="auto"/>
        <w:bottom w:val="none" w:sz="0" w:space="0" w:color="auto"/>
        <w:right w:val="none" w:sz="0" w:space="0" w:color="auto"/>
      </w:divBdr>
    </w:div>
    <w:div w:id="1427264063">
      <w:bodyDiv w:val="1"/>
      <w:marLeft w:val="0"/>
      <w:marRight w:val="0"/>
      <w:marTop w:val="0"/>
      <w:marBottom w:val="0"/>
      <w:divBdr>
        <w:top w:val="none" w:sz="0" w:space="0" w:color="auto"/>
        <w:left w:val="none" w:sz="0" w:space="0" w:color="auto"/>
        <w:bottom w:val="none" w:sz="0" w:space="0" w:color="auto"/>
        <w:right w:val="none" w:sz="0" w:space="0" w:color="auto"/>
      </w:divBdr>
    </w:div>
    <w:div w:id="1487555647">
      <w:bodyDiv w:val="1"/>
      <w:marLeft w:val="0"/>
      <w:marRight w:val="0"/>
      <w:marTop w:val="0"/>
      <w:marBottom w:val="0"/>
      <w:divBdr>
        <w:top w:val="none" w:sz="0" w:space="0" w:color="auto"/>
        <w:left w:val="none" w:sz="0" w:space="0" w:color="auto"/>
        <w:bottom w:val="none" w:sz="0" w:space="0" w:color="auto"/>
        <w:right w:val="none" w:sz="0" w:space="0" w:color="auto"/>
      </w:divBdr>
    </w:div>
    <w:div w:id="1494907404">
      <w:bodyDiv w:val="1"/>
      <w:marLeft w:val="0"/>
      <w:marRight w:val="0"/>
      <w:marTop w:val="0"/>
      <w:marBottom w:val="0"/>
      <w:divBdr>
        <w:top w:val="none" w:sz="0" w:space="0" w:color="auto"/>
        <w:left w:val="none" w:sz="0" w:space="0" w:color="auto"/>
        <w:bottom w:val="none" w:sz="0" w:space="0" w:color="auto"/>
        <w:right w:val="none" w:sz="0" w:space="0" w:color="auto"/>
      </w:divBdr>
    </w:div>
    <w:div w:id="1505127596">
      <w:bodyDiv w:val="1"/>
      <w:marLeft w:val="0"/>
      <w:marRight w:val="0"/>
      <w:marTop w:val="0"/>
      <w:marBottom w:val="0"/>
      <w:divBdr>
        <w:top w:val="none" w:sz="0" w:space="0" w:color="auto"/>
        <w:left w:val="none" w:sz="0" w:space="0" w:color="auto"/>
        <w:bottom w:val="none" w:sz="0" w:space="0" w:color="auto"/>
        <w:right w:val="none" w:sz="0" w:space="0" w:color="auto"/>
      </w:divBdr>
      <w:divsChild>
        <w:div w:id="1956869050">
          <w:marLeft w:val="0"/>
          <w:marRight w:val="0"/>
          <w:marTop w:val="0"/>
          <w:marBottom w:val="0"/>
          <w:divBdr>
            <w:top w:val="none" w:sz="0" w:space="0" w:color="auto"/>
            <w:left w:val="none" w:sz="0" w:space="0" w:color="auto"/>
            <w:bottom w:val="none" w:sz="0" w:space="0" w:color="auto"/>
            <w:right w:val="none" w:sz="0" w:space="0" w:color="auto"/>
          </w:divBdr>
        </w:div>
      </w:divsChild>
    </w:div>
    <w:div w:id="1514610132">
      <w:bodyDiv w:val="1"/>
      <w:marLeft w:val="0"/>
      <w:marRight w:val="0"/>
      <w:marTop w:val="0"/>
      <w:marBottom w:val="0"/>
      <w:divBdr>
        <w:top w:val="none" w:sz="0" w:space="0" w:color="auto"/>
        <w:left w:val="none" w:sz="0" w:space="0" w:color="auto"/>
        <w:bottom w:val="none" w:sz="0" w:space="0" w:color="auto"/>
        <w:right w:val="none" w:sz="0" w:space="0" w:color="auto"/>
      </w:divBdr>
    </w:div>
    <w:div w:id="1518351388">
      <w:bodyDiv w:val="1"/>
      <w:marLeft w:val="0"/>
      <w:marRight w:val="0"/>
      <w:marTop w:val="0"/>
      <w:marBottom w:val="0"/>
      <w:divBdr>
        <w:top w:val="none" w:sz="0" w:space="0" w:color="auto"/>
        <w:left w:val="none" w:sz="0" w:space="0" w:color="auto"/>
        <w:bottom w:val="none" w:sz="0" w:space="0" w:color="auto"/>
        <w:right w:val="none" w:sz="0" w:space="0" w:color="auto"/>
      </w:divBdr>
    </w:div>
    <w:div w:id="1524242652">
      <w:bodyDiv w:val="1"/>
      <w:marLeft w:val="0"/>
      <w:marRight w:val="0"/>
      <w:marTop w:val="0"/>
      <w:marBottom w:val="0"/>
      <w:divBdr>
        <w:top w:val="none" w:sz="0" w:space="0" w:color="auto"/>
        <w:left w:val="none" w:sz="0" w:space="0" w:color="auto"/>
        <w:bottom w:val="none" w:sz="0" w:space="0" w:color="auto"/>
        <w:right w:val="none" w:sz="0" w:space="0" w:color="auto"/>
      </w:divBdr>
    </w:div>
    <w:div w:id="1527058255">
      <w:bodyDiv w:val="1"/>
      <w:marLeft w:val="0"/>
      <w:marRight w:val="0"/>
      <w:marTop w:val="0"/>
      <w:marBottom w:val="0"/>
      <w:divBdr>
        <w:top w:val="none" w:sz="0" w:space="0" w:color="auto"/>
        <w:left w:val="none" w:sz="0" w:space="0" w:color="auto"/>
        <w:bottom w:val="none" w:sz="0" w:space="0" w:color="auto"/>
        <w:right w:val="none" w:sz="0" w:space="0" w:color="auto"/>
      </w:divBdr>
    </w:div>
    <w:div w:id="1538397846">
      <w:bodyDiv w:val="1"/>
      <w:marLeft w:val="0"/>
      <w:marRight w:val="0"/>
      <w:marTop w:val="0"/>
      <w:marBottom w:val="0"/>
      <w:divBdr>
        <w:top w:val="none" w:sz="0" w:space="0" w:color="auto"/>
        <w:left w:val="none" w:sz="0" w:space="0" w:color="auto"/>
        <w:bottom w:val="none" w:sz="0" w:space="0" w:color="auto"/>
        <w:right w:val="none" w:sz="0" w:space="0" w:color="auto"/>
      </w:divBdr>
    </w:div>
    <w:div w:id="1565481799">
      <w:bodyDiv w:val="1"/>
      <w:marLeft w:val="0"/>
      <w:marRight w:val="0"/>
      <w:marTop w:val="0"/>
      <w:marBottom w:val="0"/>
      <w:divBdr>
        <w:top w:val="none" w:sz="0" w:space="0" w:color="auto"/>
        <w:left w:val="none" w:sz="0" w:space="0" w:color="auto"/>
        <w:bottom w:val="none" w:sz="0" w:space="0" w:color="auto"/>
        <w:right w:val="none" w:sz="0" w:space="0" w:color="auto"/>
      </w:divBdr>
    </w:div>
    <w:div w:id="1629507980">
      <w:bodyDiv w:val="1"/>
      <w:marLeft w:val="0"/>
      <w:marRight w:val="0"/>
      <w:marTop w:val="0"/>
      <w:marBottom w:val="0"/>
      <w:divBdr>
        <w:top w:val="none" w:sz="0" w:space="0" w:color="auto"/>
        <w:left w:val="none" w:sz="0" w:space="0" w:color="auto"/>
        <w:bottom w:val="none" w:sz="0" w:space="0" w:color="auto"/>
        <w:right w:val="none" w:sz="0" w:space="0" w:color="auto"/>
      </w:divBdr>
    </w:div>
    <w:div w:id="1636566901">
      <w:bodyDiv w:val="1"/>
      <w:marLeft w:val="0"/>
      <w:marRight w:val="0"/>
      <w:marTop w:val="0"/>
      <w:marBottom w:val="0"/>
      <w:divBdr>
        <w:top w:val="none" w:sz="0" w:space="0" w:color="auto"/>
        <w:left w:val="none" w:sz="0" w:space="0" w:color="auto"/>
        <w:bottom w:val="none" w:sz="0" w:space="0" w:color="auto"/>
        <w:right w:val="none" w:sz="0" w:space="0" w:color="auto"/>
      </w:divBdr>
    </w:div>
    <w:div w:id="1658076481">
      <w:bodyDiv w:val="1"/>
      <w:marLeft w:val="0"/>
      <w:marRight w:val="0"/>
      <w:marTop w:val="0"/>
      <w:marBottom w:val="0"/>
      <w:divBdr>
        <w:top w:val="none" w:sz="0" w:space="0" w:color="auto"/>
        <w:left w:val="none" w:sz="0" w:space="0" w:color="auto"/>
        <w:bottom w:val="none" w:sz="0" w:space="0" w:color="auto"/>
        <w:right w:val="none" w:sz="0" w:space="0" w:color="auto"/>
      </w:divBdr>
    </w:div>
    <w:div w:id="1662275875">
      <w:bodyDiv w:val="1"/>
      <w:marLeft w:val="0"/>
      <w:marRight w:val="0"/>
      <w:marTop w:val="0"/>
      <w:marBottom w:val="0"/>
      <w:divBdr>
        <w:top w:val="none" w:sz="0" w:space="0" w:color="auto"/>
        <w:left w:val="none" w:sz="0" w:space="0" w:color="auto"/>
        <w:bottom w:val="none" w:sz="0" w:space="0" w:color="auto"/>
        <w:right w:val="none" w:sz="0" w:space="0" w:color="auto"/>
      </w:divBdr>
    </w:div>
    <w:div w:id="1664577828">
      <w:bodyDiv w:val="1"/>
      <w:marLeft w:val="0"/>
      <w:marRight w:val="0"/>
      <w:marTop w:val="0"/>
      <w:marBottom w:val="0"/>
      <w:divBdr>
        <w:top w:val="none" w:sz="0" w:space="0" w:color="auto"/>
        <w:left w:val="none" w:sz="0" w:space="0" w:color="auto"/>
        <w:bottom w:val="none" w:sz="0" w:space="0" w:color="auto"/>
        <w:right w:val="none" w:sz="0" w:space="0" w:color="auto"/>
      </w:divBdr>
    </w:div>
    <w:div w:id="1683167313">
      <w:bodyDiv w:val="1"/>
      <w:marLeft w:val="0"/>
      <w:marRight w:val="0"/>
      <w:marTop w:val="0"/>
      <w:marBottom w:val="0"/>
      <w:divBdr>
        <w:top w:val="none" w:sz="0" w:space="0" w:color="auto"/>
        <w:left w:val="none" w:sz="0" w:space="0" w:color="auto"/>
        <w:bottom w:val="none" w:sz="0" w:space="0" w:color="auto"/>
        <w:right w:val="none" w:sz="0" w:space="0" w:color="auto"/>
      </w:divBdr>
    </w:div>
    <w:div w:id="1686401626">
      <w:bodyDiv w:val="1"/>
      <w:marLeft w:val="0"/>
      <w:marRight w:val="0"/>
      <w:marTop w:val="0"/>
      <w:marBottom w:val="0"/>
      <w:divBdr>
        <w:top w:val="none" w:sz="0" w:space="0" w:color="auto"/>
        <w:left w:val="none" w:sz="0" w:space="0" w:color="auto"/>
        <w:bottom w:val="none" w:sz="0" w:space="0" w:color="auto"/>
        <w:right w:val="none" w:sz="0" w:space="0" w:color="auto"/>
      </w:divBdr>
    </w:div>
    <w:div w:id="1688750170">
      <w:bodyDiv w:val="1"/>
      <w:marLeft w:val="0"/>
      <w:marRight w:val="0"/>
      <w:marTop w:val="0"/>
      <w:marBottom w:val="0"/>
      <w:divBdr>
        <w:top w:val="none" w:sz="0" w:space="0" w:color="auto"/>
        <w:left w:val="none" w:sz="0" w:space="0" w:color="auto"/>
        <w:bottom w:val="none" w:sz="0" w:space="0" w:color="auto"/>
        <w:right w:val="none" w:sz="0" w:space="0" w:color="auto"/>
      </w:divBdr>
    </w:div>
    <w:div w:id="1697006064">
      <w:bodyDiv w:val="1"/>
      <w:marLeft w:val="0"/>
      <w:marRight w:val="0"/>
      <w:marTop w:val="0"/>
      <w:marBottom w:val="0"/>
      <w:divBdr>
        <w:top w:val="none" w:sz="0" w:space="0" w:color="auto"/>
        <w:left w:val="none" w:sz="0" w:space="0" w:color="auto"/>
        <w:bottom w:val="none" w:sz="0" w:space="0" w:color="auto"/>
        <w:right w:val="none" w:sz="0" w:space="0" w:color="auto"/>
      </w:divBdr>
    </w:div>
    <w:div w:id="1721006694">
      <w:bodyDiv w:val="1"/>
      <w:marLeft w:val="0"/>
      <w:marRight w:val="0"/>
      <w:marTop w:val="0"/>
      <w:marBottom w:val="0"/>
      <w:divBdr>
        <w:top w:val="none" w:sz="0" w:space="0" w:color="auto"/>
        <w:left w:val="none" w:sz="0" w:space="0" w:color="auto"/>
        <w:bottom w:val="none" w:sz="0" w:space="0" w:color="auto"/>
        <w:right w:val="none" w:sz="0" w:space="0" w:color="auto"/>
      </w:divBdr>
    </w:div>
    <w:div w:id="1727684809">
      <w:bodyDiv w:val="1"/>
      <w:marLeft w:val="0"/>
      <w:marRight w:val="0"/>
      <w:marTop w:val="0"/>
      <w:marBottom w:val="0"/>
      <w:divBdr>
        <w:top w:val="none" w:sz="0" w:space="0" w:color="auto"/>
        <w:left w:val="none" w:sz="0" w:space="0" w:color="auto"/>
        <w:bottom w:val="none" w:sz="0" w:space="0" w:color="auto"/>
        <w:right w:val="none" w:sz="0" w:space="0" w:color="auto"/>
      </w:divBdr>
    </w:div>
    <w:div w:id="1730956597">
      <w:bodyDiv w:val="1"/>
      <w:marLeft w:val="0"/>
      <w:marRight w:val="0"/>
      <w:marTop w:val="0"/>
      <w:marBottom w:val="0"/>
      <w:divBdr>
        <w:top w:val="none" w:sz="0" w:space="0" w:color="auto"/>
        <w:left w:val="none" w:sz="0" w:space="0" w:color="auto"/>
        <w:bottom w:val="none" w:sz="0" w:space="0" w:color="auto"/>
        <w:right w:val="none" w:sz="0" w:space="0" w:color="auto"/>
      </w:divBdr>
      <w:divsChild>
        <w:div w:id="443575551">
          <w:marLeft w:val="0"/>
          <w:marRight w:val="0"/>
          <w:marTop w:val="0"/>
          <w:marBottom w:val="0"/>
          <w:divBdr>
            <w:top w:val="none" w:sz="0" w:space="0" w:color="auto"/>
            <w:left w:val="none" w:sz="0" w:space="0" w:color="auto"/>
            <w:bottom w:val="none" w:sz="0" w:space="0" w:color="auto"/>
            <w:right w:val="none" w:sz="0" w:space="0" w:color="auto"/>
          </w:divBdr>
          <w:divsChild>
            <w:div w:id="1632662417">
              <w:marLeft w:val="0"/>
              <w:marRight w:val="0"/>
              <w:marTop w:val="0"/>
              <w:marBottom w:val="0"/>
              <w:divBdr>
                <w:top w:val="none" w:sz="0" w:space="0" w:color="auto"/>
                <w:left w:val="none" w:sz="0" w:space="0" w:color="auto"/>
                <w:bottom w:val="none" w:sz="0" w:space="0" w:color="auto"/>
                <w:right w:val="none" w:sz="0" w:space="0" w:color="auto"/>
              </w:divBdr>
              <w:divsChild>
                <w:div w:id="668674897">
                  <w:marLeft w:val="0"/>
                  <w:marRight w:val="0"/>
                  <w:marTop w:val="0"/>
                  <w:marBottom w:val="0"/>
                  <w:divBdr>
                    <w:top w:val="none" w:sz="0" w:space="0" w:color="auto"/>
                    <w:left w:val="none" w:sz="0" w:space="0" w:color="auto"/>
                    <w:bottom w:val="none" w:sz="0" w:space="0" w:color="auto"/>
                    <w:right w:val="none" w:sz="0" w:space="0" w:color="auto"/>
                  </w:divBdr>
                  <w:divsChild>
                    <w:div w:id="722170032">
                      <w:marLeft w:val="0"/>
                      <w:marRight w:val="0"/>
                      <w:marTop w:val="0"/>
                      <w:marBottom w:val="0"/>
                      <w:divBdr>
                        <w:top w:val="none" w:sz="0" w:space="0" w:color="auto"/>
                        <w:left w:val="none" w:sz="0" w:space="0" w:color="auto"/>
                        <w:bottom w:val="none" w:sz="0" w:space="0" w:color="auto"/>
                        <w:right w:val="none" w:sz="0" w:space="0" w:color="auto"/>
                      </w:divBdr>
                      <w:divsChild>
                        <w:div w:id="1729302040">
                          <w:marLeft w:val="0"/>
                          <w:marRight w:val="0"/>
                          <w:marTop w:val="0"/>
                          <w:marBottom w:val="0"/>
                          <w:divBdr>
                            <w:top w:val="none" w:sz="0" w:space="0" w:color="auto"/>
                            <w:left w:val="none" w:sz="0" w:space="0" w:color="auto"/>
                            <w:bottom w:val="none" w:sz="0" w:space="0" w:color="auto"/>
                            <w:right w:val="none" w:sz="0" w:space="0" w:color="auto"/>
                          </w:divBdr>
                          <w:divsChild>
                            <w:div w:id="151718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241108">
      <w:bodyDiv w:val="1"/>
      <w:marLeft w:val="0"/>
      <w:marRight w:val="0"/>
      <w:marTop w:val="0"/>
      <w:marBottom w:val="0"/>
      <w:divBdr>
        <w:top w:val="none" w:sz="0" w:space="0" w:color="auto"/>
        <w:left w:val="none" w:sz="0" w:space="0" w:color="auto"/>
        <w:bottom w:val="none" w:sz="0" w:space="0" w:color="auto"/>
        <w:right w:val="none" w:sz="0" w:space="0" w:color="auto"/>
      </w:divBdr>
    </w:div>
    <w:div w:id="1773162980">
      <w:bodyDiv w:val="1"/>
      <w:marLeft w:val="0"/>
      <w:marRight w:val="0"/>
      <w:marTop w:val="0"/>
      <w:marBottom w:val="0"/>
      <w:divBdr>
        <w:top w:val="none" w:sz="0" w:space="0" w:color="auto"/>
        <w:left w:val="none" w:sz="0" w:space="0" w:color="auto"/>
        <w:bottom w:val="none" w:sz="0" w:space="0" w:color="auto"/>
        <w:right w:val="none" w:sz="0" w:space="0" w:color="auto"/>
      </w:divBdr>
      <w:divsChild>
        <w:div w:id="1547793172">
          <w:marLeft w:val="0"/>
          <w:marRight w:val="0"/>
          <w:marTop w:val="0"/>
          <w:marBottom w:val="0"/>
          <w:divBdr>
            <w:top w:val="none" w:sz="0" w:space="0" w:color="auto"/>
            <w:left w:val="none" w:sz="0" w:space="0" w:color="auto"/>
            <w:bottom w:val="none" w:sz="0" w:space="0" w:color="auto"/>
            <w:right w:val="none" w:sz="0" w:space="0" w:color="auto"/>
          </w:divBdr>
          <w:divsChild>
            <w:div w:id="384255690">
              <w:marLeft w:val="0"/>
              <w:marRight w:val="0"/>
              <w:marTop w:val="0"/>
              <w:marBottom w:val="0"/>
              <w:divBdr>
                <w:top w:val="none" w:sz="0" w:space="0" w:color="auto"/>
                <w:left w:val="none" w:sz="0" w:space="0" w:color="auto"/>
                <w:bottom w:val="none" w:sz="0" w:space="0" w:color="auto"/>
                <w:right w:val="none" w:sz="0" w:space="0" w:color="auto"/>
              </w:divBdr>
              <w:divsChild>
                <w:div w:id="1463887725">
                  <w:marLeft w:val="0"/>
                  <w:marRight w:val="0"/>
                  <w:marTop w:val="0"/>
                  <w:marBottom w:val="0"/>
                  <w:divBdr>
                    <w:top w:val="none" w:sz="0" w:space="0" w:color="auto"/>
                    <w:left w:val="none" w:sz="0" w:space="0" w:color="auto"/>
                    <w:bottom w:val="none" w:sz="0" w:space="0" w:color="auto"/>
                    <w:right w:val="none" w:sz="0" w:space="0" w:color="auto"/>
                  </w:divBdr>
                  <w:divsChild>
                    <w:div w:id="1735080766">
                      <w:marLeft w:val="0"/>
                      <w:marRight w:val="0"/>
                      <w:marTop w:val="0"/>
                      <w:marBottom w:val="0"/>
                      <w:divBdr>
                        <w:top w:val="none" w:sz="0" w:space="0" w:color="auto"/>
                        <w:left w:val="none" w:sz="0" w:space="0" w:color="auto"/>
                        <w:bottom w:val="none" w:sz="0" w:space="0" w:color="auto"/>
                        <w:right w:val="none" w:sz="0" w:space="0" w:color="auto"/>
                      </w:divBdr>
                      <w:divsChild>
                        <w:div w:id="1688870677">
                          <w:marLeft w:val="0"/>
                          <w:marRight w:val="0"/>
                          <w:marTop w:val="0"/>
                          <w:marBottom w:val="0"/>
                          <w:divBdr>
                            <w:top w:val="none" w:sz="0" w:space="0" w:color="auto"/>
                            <w:left w:val="none" w:sz="0" w:space="0" w:color="auto"/>
                            <w:bottom w:val="none" w:sz="0" w:space="0" w:color="auto"/>
                            <w:right w:val="none" w:sz="0" w:space="0" w:color="auto"/>
                          </w:divBdr>
                          <w:divsChild>
                            <w:div w:id="6399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319585">
      <w:bodyDiv w:val="1"/>
      <w:marLeft w:val="0"/>
      <w:marRight w:val="0"/>
      <w:marTop w:val="0"/>
      <w:marBottom w:val="0"/>
      <w:divBdr>
        <w:top w:val="none" w:sz="0" w:space="0" w:color="auto"/>
        <w:left w:val="none" w:sz="0" w:space="0" w:color="auto"/>
        <w:bottom w:val="none" w:sz="0" w:space="0" w:color="auto"/>
        <w:right w:val="none" w:sz="0" w:space="0" w:color="auto"/>
      </w:divBdr>
    </w:div>
    <w:div w:id="1814373871">
      <w:bodyDiv w:val="1"/>
      <w:marLeft w:val="0"/>
      <w:marRight w:val="0"/>
      <w:marTop w:val="0"/>
      <w:marBottom w:val="0"/>
      <w:divBdr>
        <w:top w:val="none" w:sz="0" w:space="0" w:color="auto"/>
        <w:left w:val="none" w:sz="0" w:space="0" w:color="auto"/>
        <w:bottom w:val="none" w:sz="0" w:space="0" w:color="auto"/>
        <w:right w:val="none" w:sz="0" w:space="0" w:color="auto"/>
      </w:divBdr>
    </w:div>
    <w:div w:id="1823430446">
      <w:bodyDiv w:val="1"/>
      <w:marLeft w:val="0"/>
      <w:marRight w:val="0"/>
      <w:marTop w:val="0"/>
      <w:marBottom w:val="0"/>
      <w:divBdr>
        <w:top w:val="none" w:sz="0" w:space="0" w:color="auto"/>
        <w:left w:val="none" w:sz="0" w:space="0" w:color="auto"/>
        <w:bottom w:val="none" w:sz="0" w:space="0" w:color="auto"/>
        <w:right w:val="none" w:sz="0" w:space="0" w:color="auto"/>
      </w:divBdr>
      <w:divsChild>
        <w:div w:id="1976718521">
          <w:marLeft w:val="0"/>
          <w:marRight w:val="0"/>
          <w:marTop w:val="0"/>
          <w:marBottom w:val="0"/>
          <w:divBdr>
            <w:top w:val="none" w:sz="0" w:space="0" w:color="auto"/>
            <w:left w:val="none" w:sz="0" w:space="0" w:color="auto"/>
            <w:bottom w:val="none" w:sz="0" w:space="0" w:color="auto"/>
            <w:right w:val="none" w:sz="0" w:space="0" w:color="auto"/>
          </w:divBdr>
        </w:div>
      </w:divsChild>
    </w:div>
    <w:div w:id="1823888805">
      <w:bodyDiv w:val="1"/>
      <w:marLeft w:val="0"/>
      <w:marRight w:val="0"/>
      <w:marTop w:val="0"/>
      <w:marBottom w:val="0"/>
      <w:divBdr>
        <w:top w:val="none" w:sz="0" w:space="0" w:color="auto"/>
        <w:left w:val="none" w:sz="0" w:space="0" w:color="auto"/>
        <w:bottom w:val="none" w:sz="0" w:space="0" w:color="auto"/>
        <w:right w:val="none" w:sz="0" w:space="0" w:color="auto"/>
      </w:divBdr>
      <w:divsChild>
        <w:div w:id="580145144">
          <w:marLeft w:val="0"/>
          <w:marRight w:val="0"/>
          <w:marTop w:val="0"/>
          <w:marBottom w:val="0"/>
          <w:divBdr>
            <w:top w:val="none" w:sz="0" w:space="0" w:color="auto"/>
            <w:left w:val="none" w:sz="0" w:space="0" w:color="auto"/>
            <w:bottom w:val="none" w:sz="0" w:space="0" w:color="auto"/>
            <w:right w:val="none" w:sz="0" w:space="0" w:color="auto"/>
          </w:divBdr>
        </w:div>
      </w:divsChild>
    </w:div>
    <w:div w:id="1859075821">
      <w:bodyDiv w:val="1"/>
      <w:marLeft w:val="0"/>
      <w:marRight w:val="0"/>
      <w:marTop w:val="0"/>
      <w:marBottom w:val="0"/>
      <w:divBdr>
        <w:top w:val="none" w:sz="0" w:space="0" w:color="auto"/>
        <w:left w:val="none" w:sz="0" w:space="0" w:color="auto"/>
        <w:bottom w:val="none" w:sz="0" w:space="0" w:color="auto"/>
        <w:right w:val="none" w:sz="0" w:space="0" w:color="auto"/>
      </w:divBdr>
    </w:div>
    <w:div w:id="1930960423">
      <w:bodyDiv w:val="1"/>
      <w:marLeft w:val="0"/>
      <w:marRight w:val="0"/>
      <w:marTop w:val="0"/>
      <w:marBottom w:val="0"/>
      <w:divBdr>
        <w:top w:val="none" w:sz="0" w:space="0" w:color="auto"/>
        <w:left w:val="none" w:sz="0" w:space="0" w:color="auto"/>
        <w:bottom w:val="none" w:sz="0" w:space="0" w:color="auto"/>
        <w:right w:val="none" w:sz="0" w:space="0" w:color="auto"/>
      </w:divBdr>
    </w:div>
    <w:div w:id="1963026060">
      <w:bodyDiv w:val="1"/>
      <w:marLeft w:val="0"/>
      <w:marRight w:val="0"/>
      <w:marTop w:val="0"/>
      <w:marBottom w:val="0"/>
      <w:divBdr>
        <w:top w:val="none" w:sz="0" w:space="0" w:color="auto"/>
        <w:left w:val="none" w:sz="0" w:space="0" w:color="auto"/>
        <w:bottom w:val="none" w:sz="0" w:space="0" w:color="auto"/>
        <w:right w:val="none" w:sz="0" w:space="0" w:color="auto"/>
      </w:divBdr>
    </w:div>
    <w:div w:id="1966546769">
      <w:bodyDiv w:val="1"/>
      <w:marLeft w:val="0"/>
      <w:marRight w:val="0"/>
      <w:marTop w:val="0"/>
      <w:marBottom w:val="0"/>
      <w:divBdr>
        <w:top w:val="none" w:sz="0" w:space="0" w:color="auto"/>
        <w:left w:val="none" w:sz="0" w:space="0" w:color="auto"/>
        <w:bottom w:val="none" w:sz="0" w:space="0" w:color="auto"/>
        <w:right w:val="none" w:sz="0" w:space="0" w:color="auto"/>
      </w:divBdr>
    </w:div>
    <w:div w:id="2082486643">
      <w:bodyDiv w:val="1"/>
      <w:marLeft w:val="0"/>
      <w:marRight w:val="0"/>
      <w:marTop w:val="0"/>
      <w:marBottom w:val="0"/>
      <w:divBdr>
        <w:top w:val="none" w:sz="0" w:space="0" w:color="auto"/>
        <w:left w:val="none" w:sz="0" w:space="0" w:color="auto"/>
        <w:bottom w:val="none" w:sz="0" w:space="0" w:color="auto"/>
        <w:right w:val="none" w:sz="0" w:space="0" w:color="auto"/>
      </w:divBdr>
    </w:div>
    <w:div w:id="2108503313">
      <w:bodyDiv w:val="1"/>
      <w:marLeft w:val="0"/>
      <w:marRight w:val="0"/>
      <w:marTop w:val="0"/>
      <w:marBottom w:val="0"/>
      <w:divBdr>
        <w:top w:val="none" w:sz="0" w:space="0" w:color="auto"/>
        <w:left w:val="none" w:sz="0" w:space="0" w:color="auto"/>
        <w:bottom w:val="none" w:sz="0" w:space="0" w:color="auto"/>
        <w:right w:val="none" w:sz="0" w:space="0" w:color="auto"/>
      </w:divBdr>
    </w:div>
    <w:div w:id="2124840148">
      <w:bodyDiv w:val="1"/>
      <w:marLeft w:val="0"/>
      <w:marRight w:val="0"/>
      <w:marTop w:val="0"/>
      <w:marBottom w:val="0"/>
      <w:divBdr>
        <w:top w:val="none" w:sz="0" w:space="0" w:color="auto"/>
        <w:left w:val="none" w:sz="0" w:space="0" w:color="auto"/>
        <w:bottom w:val="none" w:sz="0" w:space="0" w:color="auto"/>
        <w:right w:val="none" w:sz="0" w:space="0" w:color="auto"/>
      </w:divBdr>
    </w:div>
    <w:div w:id="213937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png"/><Relationship Id="rId21" Type="http://schemas.openxmlformats.org/officeDocument/2006/relationships/hyperlink" Target="https://www.mentalhealthcommission.gov.au/" TargetMode="External"/><Relationship Id="rId42" Type="http://schemas.openxmlformats.org/officeDocument/2006/relationships/header" Target="header11.xml"/><Relationship Id="rId63" Type="http://schemas.openxmlformats.org/officeDocument/2006/relationships/image" Target="media/image29.png"/><Relationship Id="rId84" Type="http://schemas.openxmlformats.org/officeDocument/2006/relationships/hyperlink" Target="https://www.mentalhealthcommission.gov.au/national-suicide-prevention-strategy" TargetMode="External"/><Relationship Id="rId138" Type="http://schemas.openxmlformats.org/officeDocument/2006/relationships/image" Target="media/image88.svg"/><Relationship Id="rId159" Type="http://schemas.openxmlformats.org/officeDocument/2006/relationships/image" Target="media/image103.svg"/><Relationship Id="rId170" Type="http://schemas.openxmlformats.org/officeDocument/2006/relationships/hyperlink" Target="https://hwd.health.gov.au/resources/primary/psychology-compendium-report-april-2026.pdf" TargetMode="External"/><Relationship Id="rId191" Type="http://schemas.openxmlformats.org/officeDocument/2006/relationships/header" Target="header18.xml"/><Relationship Id="rId107" Type="http://schemas.openxmlformats.org/officeDocument/2006/relationships/hyperlink" Target="https://www.health.gov.au/sites/default/files/2025-09/national-guidelines-for-including-mental-health-and-wellbeing-in-early-childhood-health-checks.pdf" TargetMode="External"/><Relationship Id="rId11" Type="http://schemas.openxmlformats.org/officeDocument/2006/relationships/header" Target="header2.xml"/><Relationship Id="rId32" Type="http://schemas.openxmlformats.org/officeDocument/2006/relationships/hyperlink" Target="https://twitter.com/i/flow/login?redirect_after_login=%2FNMHC" TargetMode="External"/><Relationship Id="rId53" Type="http://schemas.openxmlformats.org/officeDocument/2006/relationships/image" Target="media/image23.png"/><Relationship Id="rId74" Type="http://schemas.openxmlformats.org/officeDocument/2006/relationships/image" Target="media/image40.svg"/><Relationship Id="rId128" Type="http://schemas.openxmlformats.org/officeDocument/2006/relationships/image" Target="media/image78.svg"/><Relationship Id="rId149" Type="http://schemas.openxmlformats.org/officeDocument/2006/relationships/hyperlink" Target="https://www.mentalhealthcommission.gov.au/sites/default/files/2026-06/submission-on-the-national-disability-insurance-scheme-amendment-securing-the-ndis-for-future-generations-bill-2026.pdf" TargetMode="External"/><Relationship Id="rId5" Type="http://schemas.openxmlformats.org/officeDocument/2006/relationships/webSettings" Target="webSettings.xml"/><Relationship Id="rId95" Type="http://schemas.openxmlformats.org/officeDocument/2006/relationships/image" Target="media/image51.png"/><Relationship Id="rId160" Type="http://schemas.openxmlformats.org/officeDocument/2006/relationships/image" Target="media/image104.png"/><Relationship Id="rId181" Type="http://schemas.openxmlformats.org/officeDocument/2006/relationships/hyperlink" Target="https://www.health.nsw.gov.au/mentalhealth/resources/Publications/carer-experience-survey-2024-25.pdf" TargetMode="External"/><Relationship Id="rId22" Type="http://schemas.openxmlformats.org/officeDocument/2006/relationships/image" Target="media/image3.png"/><Relationship Id="rId43" Type="http://schemas.openxmlformats.org/officeDocument/2006/relationships/header" Target="header12.xml"/><Relationship Id="rId64" Type="http://schemas.openxmlformats.org/officeDocument/2006/relationships/image" Target="media/image30.png"/><Relationship Id="rId118" Type="http://schemas.openxmlformats.org/officeDocument/2006/relationships/image" Target="media/image71.svg"/><Relationship Id="rId139" Type="http://schemas.openxmlformats.org/officeDocument/2006/relationships/image" Target="media/image89.png"/><Relationship Id="rId85" Type="http://schemas.openxmlformats.org/officeDocument/2006/relationships/hyperlink" Target="https://www.mentalhealthcommission.gov.au/national-suicide-prevention-outcomes-framework" TargetMode="External"/><Relationship Id="rId150" Type="http://schemas.openxmlformats.org/officeDocument/2006/relationships/image" Target="media/image97.png"/><Relationship Id="rId171" Type="http://schemas.openxmlformats.org/officeDocument/2006/relationships/hyperlink" Target="https://hwd.health.gov.au/resources/primary/psychiatry-supply-and-demand-compendium-report-updated-november-2025.pdf" TargetMode="External"/><Relationship Id="rId192" Type="http://schemas.openxmlformats.org/officeDocument/2006/relationships/footer" Target="footer9.xml"/><Relationship Id="rId12" Type="http://schemas.openxmlformats.org/officeDocument/2006/relationships/footer" Target="footer1.xml"/><Relationship Id="rId33" Type="http://schemas.openxmlformats.org/officeDocument/2006/relationships/image" Target="media/image10.png"/><Relationship Id="rId108" Type="http://schemas.openxmlformats.org/officeDocument/2006/relationships/image" Target="media/image61.png"/><Relationship Id="rId129" Type="http://schemas.openxmlformats.org/officeDocument/2006/relationships/image" Target="media/image79.png"/><Relationship Id="rId54" Type="http://schemas.openxmlformats.org/officeDocument/2006/relationships/image" Target="media/image24.png"/><Relationship Id="rId75" Type="http://schemas.openxmlformats.org/officeDocument/2006/relationships/hyperlink" Target="https://www.datocms-assets.com/144433/1774826336-26073-chf-national-consumer-sentiment-survey-2_web.pdf" TargetMode="External"/><Relationship Id="rId96" Type="http://schemas.openxmlformats.org/officeDocument/2006/relationships/image" Target="media/image52.svg"/><Relationship Id="rId140" Type="http://schemas.openxmlformats.org/officeDocument/2006/relationships/image" Target="media/image90.svg"/><Relationship Id="rId161" Type="http://schemas.openxmlformats.org/officeDocument/2006/relationships/image" Target="media/image105.svg"/><Relationship Id="rId182" Type="http://schemas.openxmlformats.org/officeDocument/2006/relationships/hyperlink" Target="https://www.sahealth.sa.gov.au/wps/wcm/connect/f556bd2f-aca1-4a37-848a-a5fef49c19de/22067+OCP+Lived+Experience+Report-updated.pdf?MOD=AJPERES&amp;CACHEID=ROOTWORKSPACE-f556bd2f-aca1-4a37-848a-a5fef49c19de-pZZECEe" TargetMode="External"/><Relationship Id="rId6" Type="http://schemas.openxmlformats.org/officeDocument/2006/relationships/footnotes" Target="footnotes.xml"/><Relationship Id="rId23" Type="http://schemas.openxmlformats.org/officeDocument/2006/relationships/hyperlink" Target="https://www.instagram.com/nmhcaustralia" TargetMode="External"/><Relationship Id="rId119" Type="http://schemas.openxmlformats.org/officeDocument/2006/relationships/image" Target="media/image72.png"/><Relationship Id="rId44" Type="http://schemas.openxmlformats.org/officeDocument/2006/relationships/image" Target="media/image14.jpeg"/><Relationship Id="rId65" Type="http://schemas.openxmlformats.org/officeDocument/2006/relationships/image" Target="media/image31.svg"/><Relationship Id="rId86" Type="http://schemas.openxmlformats.org/officeDocument/2006/relationships/image" Target="media/image47.png"/><Relationship Id="rId130" Type="http://schemas.openxmlformats.org/officeDocument/2006/relationships/image" Target="media/image80.svg"/><Relationship Id="rId151" Type="http://schemas.openxmlformats.org/officeDocument/2006/relationships/image" Target="media/image98.png"/><Relationship Id="rId172" Type="http://schemas.openxmlformats.org/officeDocument/2006/relationships/hyperlink" Target="https://www.aihw.gov.au/nmhspf" TargetMode="External"/><Relationship Id="rId193" Type="http://schemas.openxmlformats.org/officeDocument/2006/relationships/footer" Target="footer10.xml"/><Relationship Id="rId13" Type="http://schemas.openxmlformats.org/officeDocument/2006/relationships/footer" Target="footer2.xml"/><Relationship Id="rId109" Type="http://schemas.openxmlformats.org/officeDocument/2006/relationships/image" Target="media/image62.png"/><Relationship Id="rId34" Type="http://schemas.openxmlformats.org/officeDocument/2006/relationships/image" Target="media/image11.svg"/><Relationship Id="rId55" Type="http://schemas.openxmlformats.org/officeDocument/2006/relationships/image" Target="media/image25.svg"/><Relationship Id="rId76" Type="http://schemas.openxmlformats.org/officeDocument/2006/relationships/image" Target="media/image41.png"/><Relationship Id="rId97" Type="http://schemas.openxmlformats.org/officeDocument/2006/relationships/image" Target="media/image53.png"/><Relationship Id="rId120" Type="http://schemas.openxmlformats.org/officeDocument/2006/relationships/image" Target="media/image73.svg"/><Relationship Id="rId141" Type="http://schemas.openxmlformats.org/officeDocument/2006/relationships/image" Target="media/image91.png"/><Relationship Id="rId7" Type="http://schemas.openxmlformats.org/officeDocument/2006/relationships/endnotes" Target="endnotes.xml"/><Relationship Id="rId71" Type="http://schemas.openxmlformats.org/officeDocument/2006/relationships/image" Target="media/image37.png"/><Relationship Id="rId92" Type="http://schemas.openxmlformats.org/officeDocument/2006/relationships/hyperlink" Target="https://www.indigenoushpf.gov.au/" TargetMode="External"/><Relationship Id="rId162" Type="http://schemas.openxmlformats.org/officeDocument/2006/relationships/hyperlink" Target="https://www.safetyandquality.gov.au/national-standards/nsqhs-standards" TargetMode="External"/><Relationship Id="rId183" Type="http://schemas.openxmlformats.org/officeDocument/2006/relationships/image" Target="media/image119.jpg"/><Relationship Id="rId2" Type="http://schemas.openxmlformats.org/officeDocument/2006/relationships/numbering" Target="numbering.xml"/><Relationship Id="rId29" Type="http://schemas.openxmlformats.org/officeDocument/2006/relationships/hyperlink" Target="https://au.linkedin.com/company/national-mental-health-commission" TargetMode="External"/><Relationship Id="rId24" Type="http://schemas.openxmlformats.org/officeDocument/2006/relationships/image" Target="media/image4.png"/><Relationship Id="rId40" Type="http://schemas.openxmlformats.org/officeDocument/2006/relationships/footer" Target="footer6.xml"/><Relationship Id="rId45" Type="http://schemas.openxmlformats.org/officeDocument/2006/relationships/image" Target="media/image15.jpeg"/><Relationship Id="rId66" Type="http://schemas.openxmlformats.org/officeDocument/2006/relationships/image" Target="media/image32.png"/><Relationship Id="rId87" Type="http://schemas.openxmlformats.org/officeDocument/2006/relationships/image" Target="media/image48.svg"/><Relationship Id="rId110" Type="http://schemas.openxmlformats.org/officeDocument/2006/relationships/image" Target="media/image63.svg"/><Relationship Id="rId115" Type="http://schemas.openxmlformats.org/officeDocument/2006/relationships/image" Target="media/image68.png"/><Relationship Id="rId131" Type="http://schemas.openxmlformats.org/officeDocument/2006/relationships/image" Target="media/image81.png"/><Relationship Id="rId136" Type="http://schemas.openxmlformats.org/officeDocument/2006/relationships/image" Target="media/image86.jpg"/><Relationship Id="rId157" Type="http://schemas.openxmlformats.org/officeDocument/2006/relationships/image" Target="media/image101.jpeg"/><Relationship Id="rId178" Type="http://schemas.openxmlformats.org/officeDocument/2006/relationships/image" Target="media/image116.svg"/><Relationship Id="rId61" Type="http://schemas.openxmlformats.org/officeDocument/2006/relationships/image" Target="media/image27.jpeg"/><Relationship Id="rId82" Type="http://schemas.openxmlformats.org/officeDocument/2006/relationships/image" Target="media/image45.png"/><Relationship Id="rId152" Type="http://schemas.openxmlformats.org/officeDocument/2006/relationships/hyperlink" Target="https://www.abs.gov.au/statistics/standards/australian-statistical-geography-standard-asgs/latest-release" TargetMode="External"/><Relationship Id="rId173" Type="http://schemas.openxmlformats.org/officeDocument/2006/relationships/image" Target="media/image111.png"/><Relationship Id="rId194" Type="http://schemas.openxmlformats.org/officeDocument/2006/relationships/footer" Target="footer11.xml"/><Relationship Id="rId199" Type="http://schemas.openxmlformats.org/officeDocument/2006/relationships/customXml" Target="../customXml/item4.xml"/><Relationship Id="rId19" Type="http://schemas.openxmlformats.org/officeDocument/2006/relationships/hyperlink" Target="http://www.mentalhealthcommission.gov.au/find-support" TargetMode="External"/><Relationship Id="rId14" Type="http://schemas.openxmlformats.org/officeDocument/2006/relationships/header" Target="header3.xml"/><Relationship Id="rId30" Type="http://schemas.openxmlformats.org/officeDocument/2006/relationships/image" Target="media/image8.png"/><Relationship Id="rId35" Type="http://schemas.openxmlformats.org/officeDocument/2006/relationships/header" Target="header7.xml"/><Relationship Id="rId56" Type="http://schemas.openxmlformats.org/officeDocument/2006/relationships/header" Target="header13.xml"/><Relationship Id="rId77" Type="http://schemas.openxmlformats.org/officeDocument/2006/relationships/image" Target="media/image42.svg"/><Relationship Id="rId100" Type="http://schemas.openxmlformats.org/officeDocument/2006/relationships/image" Target="media/image56.svg"/><Relationship Id="rId105" Type="http://schemas.openxmlformats.org/officeDocument/2006/relationships/hyperlink" Target="https://www.education.gov.au/integrated-data-research/first-five-years-project" TargetMode="External"/><Relationship Id="rId126" Type="http://schemas.openxmlformats.org/officeDocument/2006/relationships/image" Target="media/image76.png"/><Relationship Id="rId147" Type="http://schemas.openxmlformats.org/officeDocument/2006/relationships/hyperlink" Target="https://www.aihw.gov.au/mental-health/topic-areas/community-based-services/psychosocial-disability-support" TargetMode="External"/><Relationship Id="rId168" Type="http://schemas.openxmlformats.org/officeDocument/2006/relationships/image" Target="media/image109.svg"/><Relationship Id="rId8" Type="http://schemas.openxmlformats.org/officeDocument/2006/relationships/image" Target="media/image1.jpg"/><Relationship Id="rId51" Type="http://schemas.openxmlformats.org/officeDocument/2006/relationships/image" Target="media/image21.png"/><Relationship Id="rId72" Type="http://schemas.openxmlformats.org/officeDocument/2006/relationships/image" Target="media/image38.svg"/><Relationship Id="rId93" Type="http://schemas.openxmlformats.org/officeDocument/2006/relationships/image" Target="media/image49.png"/><Relationship Id="rId98" Type="http://schemas.openxmlformats.org/officeDocument/2006/relationships/image" Target="media/image54.svg"/><Relationship Id="rId121" Type="http://schemas.openxmlformats.org/officeDocument/2006/relationships/image" Target="media/image74.jpeg"/><Relationship Id="rId142" Type="http://schemas.openxmlformats.org/officeDocument/2006/relationships/image" Target="media/image92.svg"/><Relationship Id="rId163" Type="http://schemas.openxmlformats.org/officeDocument/2006/relationships/hyperlink" Target="https://www.safetyandquality.gov.au/national-standards/national-safety-and-quality-digital-mental-health-standards" TargetMode="External"/><Relationship Id="rId184" Type="http://schemas.openxmlformats.org/officeDocument/2006/relationships/image" Target="media/image120.png"/><Relationship Id="rId189" Type="http://schemas.openxmlformats.org/officeDocument/2006/relationships/footer" Target="footer7.xml"/><Relationship Id="rId3" Type="http://schemas.openxmlformats.org/officeDocument/2006/relationships/styles" Target="styles.xml"/><Relationship Id="rId25" Type="http://schemas.openxmlformats.org/officeDocument/2006/relationships/image" Target="media/image5.svg"/><Relationship Id="rId46" Type="http://schemas.openxmlformats.org/officeDocument/2006/relationships/image" Target="media/image16.png"/><Relationship Id="rId67" Type="http://schemas.openxmlformats.org/officeDocument/2006/relationships/image" Target="media/image33.svg"/><Relationship Id="rId116" Type="http://schemas.openxmlformats.org/officeDocument/2006/relationships/image" Target="media/image69.svg"/><Relationship Id="rId137" Type="http://schemas.openxmlformats.org/officeDocument/2006/relationships/image" Target="media/image87.png"/><Relationship Id="rId158" Type="http://schemas.openxmlformats.org/officeDocument/2006/relationships/image" Target="media/image102.png"/><Relationship Id="rId20" Type="http://schemas.openxmlformats.org/officeDocument/2006/relationships/hyperlink" Target="https://www.mentalhealthcommission.gov.au/" TargetMode="External"/><Relationship Id="rId41" Type="http://schemas.openxmlformats.org/officeDocument/2006/relationships/header" Target="header10.xml"/><Relationship Id="rId62" Type="http://schemas.openxmlformats.org/officeDocument/2006/relationships/image" Target="media/image28.png"/><Relationship Id="rId83" Type="http://schemas.openxmlformats.org/officeDocument/2006/relationships/image" Target="media/image46.svg"/><Relationship Id="rId88" Type="http://schemas.openxmlformats.org/officeDocument/2006/relationships/hyperlink" Target="https://mkstudy.com.au/" TargetMode="External"/><Relationship Id="rId111" Type="http://schemas.openxmlformats.org/officeDocument/2006/relationships/image" Target="media/image64.png"/><Relationship Id="rId132" Type="http://schemas.openxmlformats.org/officeDocument/2006/relationships/image" Target="media/image82.png"/><Relationship Id="rId153" Type="http://schemas.openxmlformats.org/officeDocument/2006/relationships/hyperlink" Target="https://www.abs.gov.au/statistics/people/people-and-communities/socio-economic-indexes-areas-seifa-australia/latest-release" TargetMode="External"/><Relationship Id="rId174" Type="http://schemas.openxmlformats.org/officeDocument/2006/relationships/image" Target="media/image112.svg"/><Relationship Id="rId179" Type="http://schemas.openxmlformats.org/officeDocument/2006/relationships/image" Target="media/image117.png"/><Relationship Id="rId195" Type="http://schemas.openxmlformats.org/officeDocument/2006/relationships/fontTable" Target="fontTable.xml"/><Relationship Id="rId190" Type="http://schemas.openxmlformats.org/officeDocument/2006/relationships/footer" Target="footer8.xml"/><Relationship Id="rId15" Type="http://schemas.openxmlformats.org/officeDocument/2006/relationships/footer" Target="footer3.xml"/><Relationship Id="rId36" Type="http://schemas.openxmlformats.org/officeDocument/2006/relationships/header" Target="header8.xml"/><Relationship Id="rId57" Type="http://schemas.openxmlformats.org/officeDocument/2006/relationships/header" Target="header14.xml"/><Relationship Id="rId106" Type="http://schemas.openxmlformats.org/officeDocument/2006/relationships/hyperlink" Target="https://www.education.gov.au/download/19865/first-five-years-project-child-and-family-characteristics/43112/document/pdf" TargetMode="External"/><Relationship Id="rId127" Type="http://schemas.openxmlformats.org/officeDocument/2006/relationships/image" Target="media/image77.png"/><Relationship Id="rId10" Type="http://schemas.openxmlformats.org/officeDocument/2006/relationships/header" Target="header1.xml"/><Relationship Id="rId31" Type="http://schemas.openxmlformats.org/officeDocument/2006/relationships/image" Target="media/image9.svg"/><Relationship Id="rId52" Type="http://schemas.openxmlformats.org/officeDocument/2006/relationships/image" Target="media/image22.svg"/><Relationship Id="rId73" Type="http://schemas.openxmlformats.org/officeDocument/2006/relationships/image" Target="media/image39.png"/><Relationship Id="rId78" Type="http://schemas.openxmlformats.org/officeDocument/2006/relationships/image" Target="media/image43.png"/><Relationship Id="rId94" Type="http://schemas.openxmlformats.org/officeDocument/2006/relationships/image" Target="media/image50.png"/><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hyperlink" Target="https://www.mentalhealthcommission.gov.au/news-media/news/national-stigma-and-discrimination-report-card-development-breaking-down-barriers" TargetMode="External"/><Relationship Id="rId143" Type="http://schemas.openxmlformats.org/officeDocument/2006/relationships/image" Target="media/image93.png"/><Relationship Id="rId148" Type="http://schemas.openxmlformats.org/officeDocument/2006/relationships/hyperlink" Target="https://www.health.gov.au/resources/publications/analysis-of-unmet-need-for-psychosocial-supports-outside-of-the-national-disability-insurance-scheme-final-report?language=en" TargetMode="External"/><Relationship Id="rId164" Type="http://schemas.openxmlformats.org/officeDocument/2006/relationships/hyperlink" Target="https://www.safetyandquality.gov.au/national-standards/national-safety-and-quality-mental-health-standards-community-managed-organisations" TargetMode="External"/><Relationship Id="rId169" Type="http://schemas.openxmlformats.org/officeDocument/2006/relationships/image" Target="media/image110.png"/><Relationship Id="rId185" Type="http://schemas.openxmlformats.org/officeDocument/2006/relationships/hyperlink" Target="https://www.mentalhealthcommission.gov.au/publications/national-report-card-2023"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18.svg"/><Relationship Id="rId26" Type="http://schemas.openxmlformats.org/officeDocument/2006/relationships/hyperlink" Target="https://www.facebook.com/NMHCAustralia/" TargetMode="External"/><Relationship Id="rId47" Type="http://schemas.openxmlformats.org/officeDocument/2006/relationships/image" Target="media/image17.png"/><Relationship Id="rId68" Type="http://schemas.openxmlformats.org/officeDocument/2006/relationships/image" Target="media/image34.jpeg"/><Relationship Id="rId89" Type="http://schemas.openxmlformats.org/officeDocument/2006/relationships/hyperlink" Target="https://www.yardhurawalani.com.au/wp-content/uploads/2025/01/Referendum-Mental-Health-Report_Nov2024.pdf" TargetMode="External"/><Relationship Id="rId112" Type="http://schemas.openxmlformats.org/officeDocument/2006/relationships/image" Target="media/image65.svg"/><Relationship Id="rId133" Type="http://schemas.openxmlformats.org/officeDocument/2006/relationships/image" Target="media/image83.svg"/><Relationship Id="rId154" Type="http://schemas.openxmlformats.org/officeDocument/2006/relationships/image" Target="media/image99.png"/><Relationship Id="rId175" Type="http://schemas.openxmlformats.org/officeDocument/2006/relationships/image" Target="media/image113.png"/><Relationship Id="rId196" Type="http://schemas.openxmlformats.org/officeDocument/2006/relationships/theme" Target="theme/theme1.xml"/><Relationship Id="rId16" Type="http://schemas.openxmlformats.org/officeDocument/2006/relationships/header" Target="header4.xml"/><Relationship Id="rId37" Type="http://schemas.openxmlformats.org/officeDocument/2006/relationships/footer" Target="footer4.xml"/><Relationship Id="rId58" Type="http://schemas.openxmlformats.org/officeDocument/2006/relationships/header" Target="header15.xml"/><Relationship Id="rId79" Type="http://schemas.openxmlformats.org/officeDocument/2006/relationships/image" Target="media/image44.svg"/><Relationship Id="rId102" Type="http://schemas.openxmlformats.org/officeDocument/2006/relationships/image" Target="media/image58.svg"/><Relationship Id="rId123" Type="http://schemas.openxmlformats.org/officeDocument/2006/relationships/hyperlink" Target="https://www.pc.gov.au/inquiries-and-research/mental-health-review/" TargetMode="External"/><Relationship Id="rId144" Type="http://schemas.openxmlformats.org/officeDocument/2006/relationships/image" Target="media/image94.svg"/><Relationship Id="rId90" Type="http://schemas.openxmlformats.org/officeDocument/2006/relationships/hyperlink" Target="https://www.dss.gov.au/long-term-research/resource/decade-data-findings-first-10-years-footprints-time-2020" TargetMode="External"/><Relationship Id="rId165" Type="http://schemas.openxmlformats.org/officeDocument/2006/relationships/image" Target="media/image106.png"/><Relationship Id="rId186" Type="http://schemas.openxmlformats.org/officeDocument/2006/relationships/hyperlink" Target="https://www.mentalhealthcommission.gov.au/publications/national-report-card-2024" TargetMode="External"/><Relationship Id="rId27" Type="http://schemas.openxmlformats.org/officeDocument/2006/relationships/image" Target="media/image6.png"/><Relationship Id="rId48" Type="http://schemas.openxmlformats.org/officeDocument/2006/relationships/image" Target="media/image18.png"/><Relationship Id="rId69" Type="http://schemas.openxmlformats.org/officeDocument/2006/relationships/image" Target="media/image35.png"/><Relationship Id="rId113" Type="http://schemas.openxmlformats.org/officeDocument/2006/relationships/image" Target="media/image66.png"/><Relationship Id="rId134" Type="http://schemas.openxmlformats.org/officeDocument/2006/relationships/image" Target="media/image84.png"/><Relationship Id="rId80" Type="http://schemas.openxmlformats.org/officeDocument/2006/relationships/hyperlink" Target="https://www.abs.gov.au/statistics/detailed-methodology-information/concepts-sources-methods/intergenerational-health-and-mental-health-study-concepts-sources-and-methods/2020-24" TargetMode="External"/><Relationship Id="rId155" Type="http://schemas.openxmlformats.org/officeDocument/2006/relationships/image" Target="media/image100.svg"/><Relationship Id="rId176" Type="http://schemas.openxmlformats.org/officeDocument/2006/relationships/image" Target="media/image114.svg"/><Relationship Id="rId197" Type="http://schemas.openxmlformats.org/officeDocument/2006/relationships/customXml" Target="../customXml/item2.xml"/><Relationship Id="rId17" Type="http://schemas.openxmlformats.org/officeDocument/2006/relationships/header" Target="header5.xml"/><Relationship Id="rId38" Type="http://schemas.openxmlformats.org/officeDocument/2006/relationships/footer" Target="footer5.xml"/><Relationship Id="rId59" Type="http://schemas.openxmlformats.org/officeDocument/2006/relationships/hyperlink" Target="https://www.mentalhealthcommission.gov.au/publications/national-report-card-2025-environmental-scan" TargetMode="External"/><Relationship Id="rId103" Type="http://schemas.openxmlformats.org/officeDocument/2006/relationships/image" Target="media/image59.png"/><Relationship Id="rId124" Type="http://schemas.openxmlformats.org/officeDocument/2006/relationships/hyperlink" Target="https://www.mentalhealthcommission.gov.au/publications/2026-national-stigma-and-discrimination-report-card-full-report" TargetMode="External"/><Relationship Id="rId70" Type="http://schemas.openxmlformats.org/officeDocument/2006/relationships/image" Target="media/image36.svg"/><Relationship Id="rId91" Type="http://schemas.openxmlformats.org/officeDocument/2006/relationships/hyperlink" Target="https://www.aihw.gov.au/reports/indigenous-australians/first-nations-wellbeing-measures/contents/social-and-emotional-wellbeing-gathering" TargetMode="External"/><Relationship Id="rId145" Type="http://schemas.openxmlformats.org/officeDocument/2006/relationships/image" Target="media/image95.png"/><Relationship Id="rId166" Type="http://schemas.openxmlformats.org/officeDocument/2006/relationships/image" Target="media/image107.svg"/><Relationship Id="rId187" Type="http://schemas.openxmlformats.org/officeDocument/2006/relationships/header" Target="header16.xml"/><Relationship Id="rId1" Type="http://schemas.openxmlformats.org/officeDocument/2006/relationships/customXml" Target="../customXml/item1.xml"/><Relationship Id="rId28" Type="http://schemas.openxmlformats.org/officeDocument/2006/relationships/image" Target="media/image7.svg"/><Relationship Id="rId49" Type="http://schemas.openxmlformats.org/officeDocument/2006/relationships/image" Target="media/image19.svg"/><Relationship Id="rId114" Type="http://schemas.openxmlformats.org/officeDocument/2006/relationships/image" Target="media/image67.svg"/><Relationship Id="rId60" Type="http://schemas.openxmlformats.org/officeDocument/2006/relationships/image" Target="media/image26.jpeg"/><Relationship Id="rId81" Type="http://schemas.openxmlformats.org/officeDocument/2006/relationships/hyperlink" Target="https://www.pc.gov.au/inquiries-and-research/mental-health-review/report/" TargetMode="External"/><Relationship Id="rId135" Type="http://schemas.openxmlformats.org/officeDocument/2006/relationships/image" Target="media/image85.svg"/><Relationship Id="rId156" Type="http://schemas.openxmlformats.org/officeDocument/2006/relationships/hyperlink" Target="https://www.mentalhealthaustralia.org.au/articles/research-projects/increasing-ngo-data-national-report-card-report/" TargetMode="External"/><Relationship Id="rId177" Type="http://schemas.openxmlformats.org/officeDocument/2006/relationships/image" Target="media/image115.png"/><Relationship Id="rId198" Type="http://schemas.openxmlformats.org/officeDocument/2006/relationships/customXml" Target="../customXml/item3.xml"/><Relationship Id="rId18" Type="http://schemas.openxmlformats.org/officeDocument/2006/relationships/header" Target="header6.xml"/><Relationship Id="rId39" Type="http://schemas.openxmlformats.org/officeDocument/2006/relationships/header" Target="header9.xml"/><Relationship Id="rId50" Type="http://schemas.openxmlformats.org/officeDocument/2006/relationships/image" Target="media/image20.png"/><Relationship Id="rId104" Type="http://schemas.openxmlformats.org/officeDocument/2006/relationships/image" Target="media/image60.svg"/><Relationship Id="rId125" Type="http://schemas.openxmlformats.org/officeDocument/2006/relationships/image" Target="media/image75.png"/><Relationship Id="rId146" Type="http://schemas.openxmlformats.org/officeDocument/2006/relationships/image" Target="media/image96.svg"/><Relationship Id="rId167" Type="http://schemas.openxmlformats.org/officeDocument/2006/relationships/image" Target="media/image108.png"/><Relationship Id="rId188" Type="http://schemas.openxmlformats.org/officeDocument/2006/relationships/header" Target="header17.xml"/></Relationships>
</file>

<file path=word/_rels/endnotes.xml.rels><?xml version="1.0" encoding="UTF-8" standalone="yes"?>
<Relationships xmlns="http://schemas.openxmlformats.org/package/2006/relationships"><Relationship Id="rId26" Type="http://schemas.openxmlformats.org/officeDocument/2006/relationships/hyperlink" Target="https://www.health.gov.au/ministers/the-hon-mark-butler-mp/media/australia-endorses-belem-health-action-plan" TargetMode="External"/><Relationship Id="rId117" Type="http://schemas.openxmlformats.org/officeDocument/2006/relationships/hyperlink" Target="https://www.amhocn.org/training-and-service-development/experience-measures/application-for-use" TargetMode="External"/><Relationship Id="rId21" Type="http://schemas.openxmlformats.org/officeDocument/2006/relationships/hyperlink" Target="https://www.nema.gov.au/about-us/media-centre/2025-review-year-collaboration-coordination-and-capability-building" TargetMode="External"/><Relationship Id="rId42" Type="http://schemas.openxmlformats.org/officeDocument/2006/relationships/hyperlink" Target="https://asc.royalcommission.gov.au/" TargetMode="External"/><Relationship Id="rId47" Type="http://schemas.openxmlformats.org/officeDocument/2006/relationships/hyperlink" Target="https://yougov.com/articles/53225-two-in-five-aussies-feel-lonely-and-many-are-turning-to-ai" TargetMode="External"/><Relationship Id="rId63" Type="http://schemas.openxmlformats.org/officeDocument/2006/relationships/hyperlink" Target="https://www.premier.vic.gov.au/sites/default/files/2025-10/251001-Protecting-the-Mental-Health-of-Workers-in-Victoria.pdf" TargetMode="External"/><Relationship Id="rId68" Type="http://schemas.openxmlformats.org/officeDocument/2006/relationships/hyperlink" Target="https://www.health.gov.au/ministers/the-hon-mark-butler-mp/media/budget-2025-26-building-a-stronger-medicare-with-a-history-making-health-budget" TargetMode="External"/><Relationship Id="rId84" Type="http://schemas.openxmlformats.org/officeDocument/2006/relationships/hyperlink" Target="https://www.pc.gov.au/inquiries-and-research/mental-health-review/report/" TargetMode="External"/><Relationship Id="rId89" Type="http://schemas.openxmlformats.org/officeDocument/2006/relationships/hyperlink" Target="https://www.aihw.gov.au/mental-health/monitoring/mental-health-services-activity-monitoring/mental-health-crisis-support" TargetMode="External"/><Relationship Id="rId112" Type="http://schemas.openxmlformats.org/officeDocument/2006/relationships/hyperlink" Target="https://hwd.health.gov.au/resources/primary/psychiatry-supply-and-demand-compendium-report-updated-november-2025.pdf" TargetMode="External"/><Relationship Id="rId16" Type="http://schemas.openxmlformats.org/officeDocument/2006/relationships/hyperlink" Target="https://humanrights.gov.au/about-us/media-centre/media-releases/lgbtqia/concerns-queenslands-call-on-gender-affirming-healthcare-will-cause-harm-and-distress" TargetMode="External"/><Relationship Id="rId107" Type="http://schemas.openxmlformats.org/officeDocument/2006/relationships/hyperlink" Target="https://nmhca.org.au/__static/jdj5jdewjes5chi2z1zwa1fvvwnyrlcw/2024-human-rights-report-final.pdf" TargetMode="External"/><Relationship Id="rId11" Type="http://schemas.openxmlformats.org/officeDocument/2006/relationships/hyperlink" Target="https://www.health.gov.au/ministers/the-hon-mark-butler-mp/media/health-care-for-trans-and-gender-diverse-australian-children-and-adolescents" TargetMode="External"/><Relationship Id="rId32" Type="http://schemas.openxmlformats.org/officeDocument/2006/relationships/hyperlink" Target="https://humanrights.gov.au/media/documents-files-PDFs/strategic-communications/Racism-at-Uni-Report.pdf" TargetMode="External"/><Relationship Id="rId37" Type="http://schemas.openxmlformats.org/officeDocument/2006/relationships/hyperlink" Target="https://www.aic.gov.au/sites/default/files/2025-12/sr57_deaths_in_custody_in_australia_2024-25.pdf" TargetMode="External"/><Relationship Id="rId53" Type="http://schemas.openxmlformats.org/officeDocument/2006/relationships/hyperlink" Target="https://www.tga.gov.au/news/news-articles/tga-seeks-input-digital-mental-health-tools" TargetMode="External"/><Relationship Id="rId58" Type="http://schemas.openxmlformats.org/officeDocument/2006/relationships/hyperlink" Target="https://data.safeworkaustralia.gov.au/insights/key-whs-statistics-australia/latest-release" TargetMode="External"/><Relationship Id="rId74" Type="http://schemas.openxmlformats.org/officeDocument/2006/relationships/hyperlink" Target="https://www.mentalhealthcommission.gov.au/national-suicide-prevention-strategy" TargetMode="External"/><Relationship Id="rId79" Type="http://schemas.openxmlformats.org/officeDocument/2006/relationships/hyperlink" Target="https://doi.org/10.1177/00048674241292961" TargetMode="External"/><Relationship Id="rId102" Type="http://schemas.openxmlformats.org/officeDocument/2006/relationships/hyperlink" Target="https://www.sane.org/images/reports/Digital%20Navigation%20Project%20Final%20Report.pdf" TargetMode="External"/><Relationship Id="rId5" Type="http://schemas.openxmlformats.org/officeDocument/2006/relationships/hyperlink" Target="https://prod.missionaustralia.com.au/media-centre/media-releases/2025/young-australians-call-for-action-on-cost-of-living-mission-australias-2025-youth-survey/" TargetMode="External"/><Relationship Id="rId90" Type="http://schemas.openxmlformats.org/officeDocument/2006/relationships/hyperlink" Target="https://headspace.org.au/our-impact/evaluation-research-reports/annual-reports/" TargetMode="External"/><Relationship Id="rId95" Type="http://schemas.openxmlformats.org/officeDocument/2006/relationships/hyperlink" Target="https://grattan.edu.au/report/bridging-the-gap-meeting-the-needs-of-australians-with-psychosocial-disability/" TargetMode="External"/><Relationship Id="rId22" Type="http://schemas.openxmlformats.org/officeDocument/2006/relationships/hyperlink" Target="https://insurancecouncil.com.au/resource/extreme-weather-cost-3-5-billion-in-2025/" TargetMode="External"/><Relationship Id="rId27" Type="http://schemas.openxmlformats.org/officeDocument/2006/relationships/hyperlink" Target="https://www.climatecouncil.org.au/resources/climate-anxiety-toolkit/" TargetMode="External"/><Relationship Id="rId43" Type="http://schemas.openxmlformats.org/officeDocument/2006/relationships/hyperlink" Target="https://www.acma.gov.au/sites/default/files/2025-09/Digital%20platforms%20efforts%20to%20combat%20disinformation%20and%20misinformation_4th%20report%20to%20government_0.pdf" TargetMode="External"/><Relationship Id="rId48" Type="http://schemas.openxmlformats.org/officeDocument/2006/relationships/hyperlink" Target="https://journals.sagepub.com/doi/10.1177/00048674251389790" TargetMode="External"/><Relationship Id="rId64" Type="http://schemas.openxmlformats.org/officeDocument/2006/relationships/hyperlink" Target="https://www.safeworkaustralia.gov.au/media-centre/evidence-matters/2025/best-practice-review-shaping-future-australias-whs-model-laws" TargetMode="External"/><Relationship Id="rId69" Type="http://schemas.openxmlformats.org/officeDocument/2006/relationships/hyperlink" Target="https://budget.gov.au/content/myefo/index.htm" TargetMode="External"/><Relationship Id="rId113" Type="http://schemas.openxmlformats.org/officeDocument/2006/relationships/hyperlink" Target="https://headspace.org.au/our-impact/evaluation-research-reports/annual-reports/" TargetMode="External"/><Relationship Id="rId118" Type="http://schemas.openxmlformats.org/officeDocument/2006/relationships/hyperlink" Target="https://doi.org/10.1177/10398562231195438" TargetMode="External"/><Relationship Id="rId80" Type="http://schemas.openxmlformats.org/officeDocument/2006/relationships/hyperlink" Target="https://www.niaa.gov.au/sites/default/files/documents/publications/mhsewb-framework_0.pdf" TargetMode="External"/><Relationship Id="rId85" Type="http://schemas.openxmlformats.org/officeDocument/2006/relationships/hyperlink" Target="https://www.aedc.gov.au/resources/detail/early-childhood-development-and-mental-health-outcomes" TargetMode="External"/><Relationship Id="rId12" Type="http://schemas.openxmlformats.org/officeDocument/2006/relationships/hyperlink" Target="https://statements.qld.gov.au/statements/104227" TargetMode="External"/><Relationship Id="rId17" Type="http://schemas.openxmlformats.org/officeDocument/2006/relationships/hyperlink" Target="https://headspace.org.au/our-organisation/media-releases/nearly-half-of-young-australians-experiencing-high-levels-of-psychological-distress-but-more-are-seeking-support/" TargetMode="External"/><Relationship Id="rId33" Type="http://schemas.openxmlformats.org/officeDocument/2006/relationships/hyperlink" Target="https://humanrights.gov.au/resource-hub/by-resource-type/publications/race/health-inequities-australia" TargetMode="External"/><Relationship Id="rId38" Type="http://schemas.openxmlformats.org/officeDocument/2006/relationships/hyperlink" Target="https://www.aihw.gov.au/reports/youth-justice/youth-detention-population-in-australia-2025/contents/summary" TargetMode="External"/><Relationship Id="rId59" Type="http://schemas.openxmlformats.org/officeDocument/2006/relationships/hyperlink" Target="https://www.ahri.com.au/wp-content/uploads/Hybrid-and-Flexible-Working-Report-2025.pdf" TargetMode="External"/><Relationship Id="rId103" Type="http://schemas.openxmlformats.org/officeDocument/2006/relationships/hyperlink" Target="https://www.aihw.gov.au/mental-health/monitoring/performance-indicators/community-indicators" TargetMode="External"/><Relationship Id="rId108" Type="http://schemas.openxmlformats.org/officeDocument/2006/relationships/hyperlink" Target="https://justiceaction.org.au/10th-national-seclusion-and-restraint-reduction-forum/" TargetMode="External"/><Relationship Id="rId54" Type="http://schemas.openxmlformats.org/officeDocument/2006/relationships/hyperlink" Target="https://www.minister.industry.gov.au/ministers/charlton/media-releases/establishment-australian-ai-safety-institute" TargetMode="External"/><Relationship Id="rId70" Type="http://schemas.openxmlformats.org/officeDocument/2006/relationships/hyperlink" Target="https://www.health.gov.au/ministers/the-hon-emma-mcbride-mp/media/national-headspace-day-funding-boost-to-improve-headspace-services" TargetMode="External"/><Relationship Id="rId75" Type="http://schemas.openxmlformats.org/officeDocument/2006/relationships/hyperlink" Target="https://www.health.gov.au/ministers/the-hon-mark-butler-mp/media/national-suicide-prevention-strategy-and-69-million-for-suicide-prevention-initiatives?language=en" TargetMode="External"/><Relationship Id="rId91" Type="http://schemas.openxmlformats.org/officeDocument/2006/relationships/hyperlink" Target="https://www.health.gov.au/news/medicare-mental-health-check-in-online-now" TargetMode="External"/><Relationship Id="rId96" Type="http://schemas.openxmlformats.org/officeDocument/2006/relationships/hyperlink" Target="https://parlinfo.aph.gov.au/parlInfo/search/display/display.w3p;query=Id%3A%22legislation%2Fbills%2Fr7487_first-reps%2F0000%22;rec=0" TargetMode="External"/><Relationship Id="rId1" Type="http://schemas.openxmlformats.org/officeDocument/2006/relationships/hyperlink" Target="https://www.abs.gov.au/statistics/economy/price-indexes-and-inflation/selected-living-cost-indexes-australia/latest-release" TargetMode="External"/><Relationship Id="rId6" Type="http://schemas.openxmlformats.org/officeDocument/2006/relationships/hyperlink" Target="https://lens.monash.edu/housing-insecure-work-and-mental-health-australias-young-people-are-losing-faith-in-the-future/" TargetMode="External"/><Relationship Id="rId23" Type="http://schemas.openxmlformats.org/officeDocument/2006/relationships/hyperlink" Target="https://www.acs.gov.au/pages/national-climate-risk-assessment" TargetMode="External"/><Relationship Id="rId28" Type="http://schemas.openxmlformats.org/officeDocument/2006/relationships/hyperlink" Target="https://www.un.org/en/desa/indigenous-peoples-sidelined-global-climate-fight-un-warns" TargetMode="External"/><Relationship Id="rId49" Type="http://schemas.openxmlformats.org/officeDocument/2006/relationships/hyperlink" Target="https://www.esafety.gov.au/sites/default/files/2025-07/Digital-use-and-risk-Online-platform-engagement-10-to-15.pdf?v=1773369896752" TargetMode="External"/><Relationship Id="rId114" Type="http://schemas.openxmlformats.org/officeDocument/2006/relationships/hyperlink" Target="https://srcentre.com.au/project-lived-experience-peer-workforce-census/" TargetMode="External"/><Relationship Id="rId119" Type="http://schemas.openxmlformats.org/officeDocument/2006/relationships/hyperlink" Target="https://acem.org.au/Content-Sources/Advancing-Emergency-Medicine/Better-Outcomes-for-Patients/Access-Block-(1)/State-of-Emergency-2022" TargetMode="External"/><Relationship Id="rId44" Type="http://schemas.openxmlformats.org/officeDocument/2006/relationships/hyperlink" Target="https://www.oni.gov.au/news/asio-annual-threat-assessment-2025" TargetMode="External"/><Relationship Id="rId60" Type="http://schemas.openxmlformats.org/officeDocument/2006/relationships/hyperlink" Target="https://psychology.org.au/about-us/news-and-media/media-releases/2025/peak-psychology-body-urges-consideration-as-ai-gro" TargetMode="External"/><Relationship Id="rId65" Type="http://schemas.openxmlformats.org/officeDocument/2006/relationships/hyperlink" Target="https://www.tacsi.org.au/our-work/project/realising-the-potential-peer-to-peer" TargetMode="External"/><Relationship Id="rId81" Type="http://schemas.openxmlformats.org/officeDocument/2006/relationships/hyperlink" Target="https://www.gayaadhuwi.org.au/gayaa-dhuwi-declaration" TargetMode="External"/><Relationship Id="rId86" Type="http://schemas.openxmlformats.org/officeDocument/2006/relationships/hyperlink" Target="https://apo.org.au/sites/default/files/resource-files/2017-05/apo-nid180741_1.pdf" TargetMode="External"/><Relationship Id="rId4" Type="http://schemas.openxmlformats.org/officeDocument/2006/relationships/hyperlink" Target="https://australianhealthcareindex.com.au/australian-healthcare-index-september-2025-report/" TargetMode="External"/><Relationship Id="rId9" Type="http://schemas.openxmlformats.org/officeDocument/2006/relationships/hyperlink" Target="https://www.acara.edu.au/reporting/national-report-on-schooling-in-australia/student-attendance" TargetMode="External"/><Relationship Id="rId13" Type="http://schemas.openxmlformats.org/officeDocument/2006/relationships/hyperlink" Target="https://createsend.com/t/t-23D4D55AA0B65A882540EF23F30FEDED" TargetMode="External"/><Relationship Id="rId18" Type="http://schemas.openxmlformats.org/officeDocument/2006/relationships/hyperlink" Target="https://bmjopen.bmj.com/content/15/3/e087342" TargetMode="External"/><Relationship Id="rId39" Type="http://schemas.openxmlformats.org/officeDocument/2006/relationships/hyperlink" Target="https://scanloninstitute.org.au/mapping-social-cohesion-2025/" TargetMode="External"/><Relationship Id="rId109" Type="http://schemas.openxmlformats.org/officeDocument/2006/relationships/hyperlink" Target="https://vccmhw.vic.gov.au/dam/jcr:58338139-abde-4baf-814e-7ecd26c4cb8c/NMHCCF_RPMHS_12%C6%92%20(1).pdf" TargetMode="External"/><Relationship Id="rId34" Type="http://schemas.openxmlformats.org/officeDocument/2006/relationships/hyperlink" Target="https://newshub.medianet.com.au/2025/10/100-calls-a-day-unprecedented-surge-in-calls-to-indigenous-crisis-support-line/125462/" TargetMode="External"/><Relationship Id="rId50" Type="http://schemas.openxmlformats.org/officeDocument/2006/relationships/hyperlink" Target="https://www.orygen.org.au/About/News-And-Events/2025/Over-half-of-Australians-exposed-to-self-harm-and" TargetMode="External"/><Relationship Id="rId55" Type="http://schemas.openxmlformats.org/officeDocument/2006/relationships/hyperlink" Target="https://www.esafety.gov.au/about-us/industry-regulation/social-media-age-restrictions-hub" TargetMode="External"/><Relationship Id="rId76" Type="http://schemas.openxmlformats.org/officeDocument/2006/relationships/hyperlink" Target="https://www.pc.gov.au/inquiries-and-research/mental-health-review/report/" TargetMode="External"/><Relationship Id="rId97" Type="http://schemas.openxmlformats.org/officeDocument/2006/relationships/hyperlink" Target="https://www.mentalhealthcommission.gov.au/sites/default/files/2026-06/submission-on-the-national-disability-insurance-scheme-amendment-securing-the-ndis-for-future-generations-bill-2026.pdf" TargetMode="External"/><Relationship Id="rId104" Type="http://schemas.openxmlformats.org/officeDocument/2006/relationships/hyperlink" Target="https://www.health.gov.au/sites/default/files/2023-10/national-mental-health-workforce-strategy-2022-2032.pdf" TargetMode="External"/><Relationship Id="rId120" Type="http://schemas.openxmlformats.org/officeDocument/2006/relationships/hyperlink" Target="https://www.health.gov.au/resources/publications/national-mental-health-and-suicide-prevention-evaluation-framework?language=en" TargetMode="External"/><Relationship Id="rId7" Type="http://schemas.openxmlformats.org/officeDocument/2006/relationships/hyperlink" Target="https://www.sydney.edu.au/news-opinion/news/2025/08/04/more-than-40-percent-of-young-aussies-are-lonely-as-experts-call-for-national-loneliness-strategy.html" TargetMode="External"/><Relationship Id="rId71" Type="http://schemas.openxmlformats.org/officeDocument/2006/relationships/hyperlink" Target="https://www.health.gov.au/ministers/the-hon-emma-mcbride-mp/media/50-medicare-mental-health-centre-opens-in-campbelltown" TargetMode="External"/><Relationship Id="rId92" Type="http://schemas.openxmlformats.org/officeDocument/2006/relationships/hyperlink" Target="https://www.lifeline.org.au/about-us/governance/annual-reports" TargetMode="External"/><Relationship Id="rId2" Type="http://schemas.openxmlformats.org/officeDocument/2006/relationships/hyperlink" Target="https://www.aihw.gov.au/reports/australias-welfare/housing-affordability" TargetMode="External"/><Relationship Id="rId29" Type="http://schemas.openxmlformats.org/officeDocument/2006/relationships/hyperlink" Target="https://www.raoen.org/wp-content/uploads/2025/10/State-of-the-Worlds-Indigenous-Peoples_Climate-Crisis_Volume-VI_April-2025.pdf" TargetMode="External"/><Relationship Id="rId24" Type="http://schemas.openxmlformats.org/officeDocument/2006/relationships/hyperlink" Target="https://www.thelancet.com/journals/lanpsy/article/PIIS2215-0366(25)00274-3/abstract" TargetMode="External"/><Relationship Id="rId40" Type="http://schemas.openxmlformats.org/officeDocument/2006/relationships/hyperlink" Target="https://humanrights.gov.au/resource-hub/search-all-our-publications/reports-and-projects/projects2/seen-and-heard" TargetMode="External"/><Relationship Id="rId45" Type="http://schemas.openxmlformats.org/officeDocument/2006/relationships/hyperlink" Target="https://scanloninstitute.org.au/mapping-social-cohesion-2025/" TargetMode="External"/><Relationship Id="rId66" Type="http://schemas.openxmlformats.org/officeDocument/2006/relationships/hyperlink" Target="https://www.flourishaustralia.org.au/sites/default/files/2025-10/peer_workforce_framework_2025561.pdf" TargetMode="External"/><Relationship Id="rId87" Type="http://schemas.openxmlformats.org/officeDocument/2006/relationships/hyperlink" Target="https://www.aihw.gov.au/reports/alcohol-other-drug-treatment-services/alcohol-other-drug-treatment-services-aus/contents/key-findings/drugs-of-concern" TargetMode="External"/><Relationship Id="rId110" Type="http://schemas.openxmlformats.org/officeDocument/2006/relationships/hyperlink" Target="https://archive.budget.gov.au/2025-26/myefo/download/myefo-2025-26.pdf" TargetMode="External"/><Relationship Id="rId115" Type="http://schemas.openxmlformats.org/officeDocument/2006/relationships/hyperlink" Target="https://nmhca.org.au/peer-association-faq/" TargetMode="External"/><Relationship Id="rId61" Type="http://schemas.openxmlformats.org/officeDocument/2006/relationships/hyperlink" Target="https://www.jobsandskills.gov.au/news/connecting-impact-jobs-and-skills-report-2025" TargetMode="External"/><Relationship Id="rId82" Type="http://schemas.openxmlformats.org/officeDocument/2006/relationships/hyperlink" Target="https://www.health.gov.au/sites/default/files/2025-03/gayaa-dhuwi-proud-spirit-declaration-framework-and-implementation-plan.pdf" TargetMode="External"/><Relationship Id="rId19" Type="http://schemas.openxmlformats.org/officeDocument/2006/relationships/hyperlink" Target="https://www.kidshelpline.com.au/about/impact-report?utm_source=linkedin&amp;utm_medium=social&amp;utm_campaign=yourtown%20|%20brand%20|%20impact%20report%20|%20kids%20helpline&amp;utm_content=image%20|%20stats" TargetMode="External"/><Relationship Id="rId14" Type="http://schemas.openxmlformats.org/officeDocument/2006/relationships/hyperlink" Target="https://www.lgbtiqhealth.org.au/access_to_gender-affirming_care_young_people_in_aust_feb_25" TargetMode="External"/><Relationship Id="rId30" Type="http://schemas.openxmlformats.org/officeDocument/2006/relationships/hyperlink" Target="https://www1.racgp.org.au/newsgp/clinical/the-impact-of-climate-change-on-the-health-of-indi" TargetMode="External"/><Relationship Id="rId35" Type="http://schemas.openxmlformats.org/officeDocument/2006/relationships/hyperlink" Target="https://www.ohchr.org/en/press-releases/2025/12/australia-un-working-group-raises-major-concerns-about-detention-indigenous" TargetMode="External"/><Relationship Id="rId56" Type="http://schemas.openxmlformats.org/officeDocument/2006/relationships/hyperlink" Target="https://www.esafety.gov.au/newsroom/media-releases/esafety-moves-against-services-used-to-nudify-australian-school-children" TargetMode="External"/><Relationship Id="rId77" Type="http://schemas.openxmlformats.org/officeDocument/2006/relationships/hyperlink" Target="https://www.racgp.org.au/general-practice-health-of-the-nation" TargetMode="External"/><Relationship Id="rId100" Type="http://schemas.openxmlformats.org/officeDocument/2006/relationships/hyperlink" Target="https://www.health.gov.au/sites/default/files/2022-12/conclusions-and-recommendations-evaluation-of-the-better-access-initiative.pdf" TargetMode="External"/><Relationship Id="rId105" Type="http://schemas.openxmlformats.org/officeDocument/2006/relationships/hyperlink" Target="https://www.mentalhealthcommission.gov.au/sites/default/files/2024-04/position-statement-on-seclusion-and-restraint-in-mental-health.pdf" TargetMode="External"/><Relationship Id="rId8" Type="http://schemas.openxmlformats.org/officeDocument/2006/relationships/hyperlink" Target="https://www.beyondblue.org.au/about/media/media-releases/1-in-2-Australians-Facing-Workplace-Burnout" TargetMode="External"/><Relationship Id="rId51" Type="http://schemas.openxmlformats.org/officeDocument/2006/relationships/hyperlink" Target="https://www.tga.gov.au/news/news-articles/tga-seeks-input-digital-mental-health-tools" TargetMode="External"/><Relationship Id="rId72" Type="http://schemas.openxmlformats.org/officeDocument/2006/relationships/hyperlink" Target="https://www.health.gov.au/news/now-available-national-standards-for-counsellors-and-psychotherapists?language=en" TargetMode="External"/><Relationship Id="rId93" Type="http://schemas.openxmlformats.org/officeDocument/2006/relationships/hyperlink" Target="https://www.mentalhealthaustralia.org.au/articles/research-projects/increasing-ngo-data-national-report-card-report/" TargetMode="External"/><Relationship Id="rId98" Type="http://schemas.openxmlformats.org/officeDocument/2006/relationships/hyperlink" Target="https://doi.org/10.1186/s12913-023-10034-4" TargetMode="External"/><Relationship Id="rId121" Type="http://schemas.openxmlformats.org/officeDocument/2006/relationships/hyperlink" Target="https://www.who.int/news-room/fact-sheets/detail/mental-disorders" TargetMode="External"/><Relationship Id="rId3" Type="http://schemas.openxmlformats.org/officeDocument/2006/relationships/hyperlink" Target="https://www.aihw.gov.au/reports/australias-welfare/housing-affordability" TargetMode="External"/><Relationship Id="rId25" Type="http://schemas.openxmlformats.org/officeDocument/2006/relationships/hyperlink" Target="https://www.dea.org.au/how_climate_change_affects_mental_health_in_australia" TargetMode="External"/><Relationship Id="rId46" Type="http://schemas.openxmlformats.org/officeDocument/2006/relationships/hyperlink" Target="https://digitalinclusionindex.org.au/wp-content/uploads/2025/10/ADII-Report-2025_V6-Remediated.pdf" TargetMode="External"/><Relationship Id="rId67" Type="http://schemas.openxmlformats.org/officeDocument/2006/relationships/hyperlink" Target="https://consultations.health.gov.au/mental-health-access-branch/mhsp-peer-workforce-association/" TargetMode="External"/><Relationship Id="rId116" Type="http://schemas.openxmlformats.org/officeDocument/2006/relationships/hyperlink" Target="https://doi.org/10.1177/10398562251335547" TargetMode="External"/><Relationship Id="rId20" Type="http://schemas.openxmlformats.org/officeDocument/2006/relationships/hyperlink" Target="https://www.disasterassist.gov.au/find-a-disaster/australian-disasters?TermStoreId=1cafda66-8aac-4a45-95fa-3e03872913b6&amp;TermSetId=6bf6917e-779a-42ff-9f67-b0cbb112d3bf&amp;TermId=7d6b185c-0784-490c-a97a-93de0d0eb095" TargetMode="External"/><Relationship Id="rId41" Type="http://schemas.openxmlformats.org/officeDocument/2006/relationships/hyperlink" Target="https://scanloninstitute.org.au/mapping-social-cohesion-2025/" TargetMode="External"/><Relationship Id="rId62" Type="http://schemas.openxmlformats.org/officeDocument/2006/relationships/hyperlink" Target="https://www.nsw.gov.au/ministerial-releases/protecting-workers-compensation-for-future-generations" TargetMode="External"/><Relationship Id="rId83" Type="http://schemas.openxmlformats.org/officeDocument/2006/relationships/hyperlink" Target="https://humanrights.gov.au/know-your-rights/rights-of-individuals/aboriginal-and-torres-strait-islander-peoples-rights/about-aboriginal-and-torres-strait" TargetMode="External"/><Relationship Id="rId88" Type="http://schemas.openxmlformats.org/officeDocument/2006/relationships/hyperlink" Target="https://www.pc.gov.au/inquiries-and-research/mental-health-review/report/" TargetMode="External"/><Relationship Id="rId111" Type="http://schemas.openxmlformats.org/officeDocument/2006/relationships/hyperlink" Target="https://hwd.health.gov.au/resources/primary/psychology%20compendium-report-april-2026.pdf" TargetMode="External"/><Relationship Id="rId15" Type="http://schemas.openxmlformats.org/officeDocument/2006/relationships/hyperlink" Target="https://equalityaustralia.org.au/lgbtiq-community-groups-and-health-experts-cautiously-welcome-treatment-review-for-trans-and-gender-diverse-young-people/" TargetMode="External"/><Relationship Id="rId36" Type="http://schemas.openxmlformats.org/officeDocument/2006/relationships/hyperlink" Target="https://www.abs.gov.au/statistics/people/crime-and-justice/prisoners-australia/latest-release" TargetMode="External"/><Relationship Id="rId57" Type="http://schemas.openxmlformats.org/officeDocument/2006/relationships/hyperlink" Target="https://www.safetysure.com.au/research/mental-health-workplace-claims-australia-2025-statistics/" TargetMode="External"/><Relationship Id="rId106" Type="http://schemas.openxmlformats.org/officeDocument/2006/relationships/hyperlink" Target="https://www.who.int/publications/b/58680" TargetMode="External"/><Relationship Id="rId10" Type="http://schemas.openxmlformats.org/officeDocument/2006/relationships/hyperlink" Target="https://grattan.edu.au/news/every-day-matters-improving-school-attendance-in-australia/" TargetMode="External"/><Relationship Id="rId31" Type="http://schemas.openxmlformats.org/officeDocument/2006/relationships/hyperlink" Target="https://callitout.com.au/wp-content/uploads/2025/02/Jumbunna-Call-It-Out-Annual-Report-2023-2024-Final.pdf" TargetMode="External"/><Relationship Id="rId52" Type="http://schemas.openxmlformats.org/officeDocument/2006/relationships/hyperlink" Target="https://www.tga.gov.au/products/medical-devices/software-and-artificial-intelligence-ai/manufacturing/artificial-intelligence-ai-and-medical-device-software-regulation" TargetMode="External"/><Relationship Id="rId73" Type="http://schemas.openxmlformats.org/officeDocument/2006/relationships/hyperlink" Target="https://www.psychologyboard.gov.au/News/2025-12-01-Psychologists-Code-of-conduct.aspx" TargetMode="External"/><Relationship Id="rId78" Type="http://schemas.openxmlformats.org/officeDocument/2006/relationships/hyperlink" Target="https://www.aihw.gov.au/reports/burden-of-disease/australian-burden-of-disease-study-2024/contents/summary" TargetMode="External"/><Relationship Id="rId94" Type="http://schemas.openxmlformats.org/officeDocument/2006/relationships/hyperlink" Target="https://www.health.gov.au/resources/publications/analysis-of-unmet-need-for-psychosocial-supports-outside-of-the-national-disability-insurance-scheme-final-report?language=en" TargetMode="External"/><Relationship Id="rId99" Type="http://schemas.openxmlformats.org/officeDocument/2006/relationships/hyperlink" Target="https://www.racgp.org.au/the-racgp/faculties/rural/advocacy-and-research/position-statements/provision-of-mental-health-services-in-rural-austr" TargetMode="External"/><Relationship Id="rId101" Type="http://schemas.openxmlformats.org/officeDocument/2006/relationships/hyperlink" Target="https://www.safetyandquality.gov.au/sites/default/files/resources/attachments/nsqmh_standards_for_cmos_-_2022.pdf" TargetMode="External"/></Relationships>
</file>

<file path=word/_rels/footer10.xml.rels><?xml version="1.0" encoding="UTF-8" standalone="yes"?>
<Relationships xmlns="http://schemas.openxmlformats.org/package/2006/relationships"><Relationship Id="rId2" Type="http://schemas.openxmlformats.org/officeDocument/2006/relationships/image" Target="media/image122.svg"/><Relationship Id="rId1" Type="http://schemas.openxmlformats.org/officeDocument/2006/relationships/image" Target="media/image121.png"/></Relationships>
</file>

<file path=word/_rels/footer11.xml.rels><?xml version="1.0" encoding="UTF-8" standalone="yes"?>
<Relationships xmlns="http://schemas.openxmlformats.org/package/2006/relationships"><Relationship Id="rId2" Type="http://schemas.openxmlformats.org/officeDocument/2006/relationships/image" Target="media/image122.svg"/><Relationship Id="rId1" Type="http://schemas.openxmlformats.org/officeDocument/2006/relationships/image" Target="media/image121.png"/></Relationships>
</file>

<file path=word/_rels/footer8.xml.rels><?xml version="1.0" encoding="UTF-8" standalone="yes"?>
<Relationships xmlns="http://schemas.openxmlformats.org/package/2006/relationships"><Relationship Id="rId2" Type="http://schemas.openxmlformats.org/officeDocument/2006/relationships/image" Target="media/image122.svg"/><Relationship Id="rId1" Type="http://schemas.openxmlformats.org/officeDocument/2006/relationships/image" Target="media/image121.png"/></Relationships>
</file>

<file path=word/_rels/footer9.xml.rels><?xml version="1.0" encoding="UTF-8" standalone="yes"?>
<Relationships xmlns="http://schemas.openxmlformats.org/package/2006/relationships"><Relationship Id="rId2" Type="http://schemas.openxmlformats.org/officeDocument/2006/relationships/image" Target="media/image122.svg"/><Relationship Id="rId1" Type="http://schemas.openxmlformats.org/officeDocument/2006/relationships/image" Target="media/image121.png"/></Relationships>
</file>

<file path=word/_rels/header12.xml.rels><?xml version="1.0" encoding="UTF-8" standalone="yes"?>
<Relationships xmlns="http://schemas.openxmlformats.org/package/2006/relationships"><Relationship Id="rId2" Type="http://schemas.openxmlformats.org/officeDocument/2006/relationships/image" Target="media/image13.sv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NHMC Theme 2024">
      <a:dk1>
        <a:srgbClr val="5B626C"/>
      </a:dk1>
      <a:lt1>
        <a:srgbClr val="FFFFFF"/>
      </a:lt1>
      <a:dk2>
        <a:srgbClr val="44546A"/>
      </a:dk2>
      <a:lt2>
        <a:srgbClr val="E7E6E6"/>
      </a:lt2>
      <a:accent1>
        <a:srgbClr val="282C78"/>
      </a:accent1>
      <a:accent2>
        <a:srgbClr val="00AFDE"/>
      </a:accent2>
      <a:accent3>
        <a:srgbClr val="545A60"/>
      </a:accent3>
      <a:accent4>
        <a:srgbClr val="EA8B2D"/>
      </a:accent4>
      <a:accent5>
        <a:srgbClr val="008142"/>
      </a:accent5>
      <a:accent6>
        <a:srgbClr val="C6D533"/>
      </a:accent6>
      <a:hlink>
        <a:srgbClr val="282C78"/>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285F36FEBE614FA7F0E9B7930440E6" ma:contentTypeVersion="14" ma:contentTypeDescription="Create a new document." ma:contentTypeScope="" ma:versionID="11abe490d6f02295b2c89230b8e8dacc">
  <xsd:schema xmlns:xsd="http://www.w3.org/2001/XMLSchema" xmlns:xs="http://www.w3.org/2001/XMLSchema" xmlns:p="http://schemas.microsoft.com/office/2006/metadata/properties" xmlns:ns2="45fc1777-5182-4729-9953-61f7a22856aa" xmlns:ns3="3e45b5c5-9cc5-4922-88cd-354a7829f0bf" targetNamespace="http://schemas.microsoft.com/office/2006/metadata/properties" ma:root="true" ma:fieldsID="bef424bc87324e330e50cf1dcafbcc70" ns2:_="" ns3:_="">
    <xsd:import namespace="45fc1777-5182-4729-9953-61f7a22856aa"/>
    <xsd:import namespace="3e45b5c5-9cc5-4922-88cd-354a7829f0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c1777-5182-4729-9953-61f7a2285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Draft"/>
          <xsd:enumeration value="In Review"/>
          <xsd:enumeration value="Final"/>
          <xsd:enumeration value="Trimmed"/>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5b5c5-9cc5-4922-88cd-354a7829f0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8f6707-fa90-4083-b7e5-8e2a760d6ba3}" ma:internalName="TaxCatchAll" ma:showField="CatchAllData" ma:web="3e45b5c5-9cc5-4922-88cd-354a7829f0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45b5c5-9cc5-4922-88cd-354a7829f0bf" xsi:nil="true"/>
    <lcf76f155ced4ddcb4097134ff3c332f xmlns="45fc1777-5182-4729-9953-61f7a22856aa">
      <Terms xmlns="http://schemas.microsoft.com/office/infopath/2007/PartnerControls"/>
    </lcf76f155ced4ddcb4097134ff3c332f>
    <Status xmlns="45fc1777-5182-4729-9953-61f7a22856aa" xsi:nil="true"/>
  </documentManagement>
</p:properties>
</file>

<file path=customXml/itemProps1.xml><?xml version="1.0" encoding="utf-8"?>
<ds:datastoreItem xmlns:ds="http://schemas.openxmlformats.org/officeDocument/2006/customXml" ds:itemID="{89581A83-44B2-8B4A-8614-2AEFE178101D}">
  <ds:schemaRefs>
    <ds:schemaRef ds:uri="http://schemas.openxmlformats.org/officeDocument/2006/bibliography"/>
  </ds:schemaRefs>
</ds:datastoreItem>
</file>

<file path=customXml/itemProps2.xml><?xml version="1.0" encoding="utf-8"?>
<ds:datastoreItem xmlns:ds="http://schemas.openxmlformats.org/officeDocument/2006/customXml" ds:itemID="{D9DD03DC-3052-4FB3-90B8-93CE5409AE88}"/>
</file>

<file path=customXml/itemProps3.xml><?xml version="1.0" encoding="utf-8"?>
<ds:datastoreItem xmlns:ds="http://schemas.openxmlformats.org/officeDocument/2006/customXml" ds:itemID="{3BD52FCB-8D4B-4CA6-95E6-B01406FD5FBD}"/>
</file>

<file path=customXml/itemProps4.xml><?xml version="1.0" encoding="utf-8"?>
<ds:datastoreItem xmlns:ds="http://schemas.openxmlformats.org/officeDocument/2006/customXml" ds:itemID="{0D0FE76D-78FD-4BA2-945E-1BAB466C56E6}"/>
</file>

<file path=docProps/app.xml><?xml version="1.0" encoding="utf-8"?>
<Properties xmlns="http://schemas.openxmlformats.org/officeDocument/2006/extended-properties" xmlns:vt="http://schemas.openxmlformats.org/officeDocument/2006/docPropsVTypes">
  <Template>Normal.dotm</Template>
  <TotalTime>0</TotalTime>
  <Pages>93</Pages>
  <Words>30581</Words>
  <Characters>178289</Characters>
  <Application>Microsoft Office Word</Application>
  <DocSecurity>0</DocSecurity>
  <Lines>3495</Lines>
  <Paragraphs>1411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207459</CharactersWithSpaces>
  <SharedDoc>false</SharedDoc>
  <HyperlinkBase/>
  <HLinks>
    <vt:vector size="954" baseType="variant">
      <vt:variant>
        <vt:i4>1048670</vt:i4>
      </vt:variant>
      <vt:variant>
        <vt:i4>174</vt:i4>
      </vt:variant>
      <vt:variant>
        <vt:i4>0</vt:i4>
      </vt:variant>
      <vt:variant>
        <vt:i4>5</vt:i4>
      </vt:variant>
      <vt:variant>
        <vt:lpwstr>https://www.mentalhealthcommission.gov.au/publications/national-report-card-2024</vt:lpwstr>
      </vt:variant>
      <vt:variant>
        <vt:lpwstr/>
      </vt:variant>
      <vt:variant>
        <vt:i4>1507422</vt:i4>
      </vt:variant>
      <vt:variant>
        <vt:i4>171</vt:i4>
      </vt:variant>
      <vt:variant>
        <vt:i4>0</vt:i4>
      </vt:variant>
      <vt:variant>
        <vt:i4>5</vt:i4>
      </vt:variant>
      <vt:variant>
        <vt:lpwstr>https://www.mentalhealthcommission.gov.au/publications/national-report-card-2023</vt:lpwstr>
      </vt:variant>
      <vt:variant>
        <vt:lpwstr/>
      </vt:variant>
      <vt:variant>
        <vt:i4>196693</vt:i4>
      </vt:variant>
      <vt:variant>
        <vt:i4>168</vt:i4>
      </vt:variant>
      <vt:variant>
        <vt:i4>0</vt:i4>
      </vt:variant>
      <vt:variant>
        <vt:i4>5</vt:i4>
      </vt:variant>
      <vt:variant>
        <vt:lpwstr>https://www.sahealth.sa.gov.au/wps/wcm/connect/f556bd2f-aca1-4a37-848a-a5fef49c19de/22067+OCP+Lived+Experience+Report-updated.pdf?MOD=AJPERES&amp;CACHEID=ROOTWORKSPACE-f556bd2f-aca1-4a37-848a-a5fef49c19de-pZZECEe</vt:lpwstr>
      </vt:variant>
      <vt:variant>
        <vt:lpwstr/>
      </vt:variant>
      <vt:variant>
        <vt:i4>4587607</vt:i4>
      </vt:variant>
      <vt:variant>
        <vt:i4>165</vt:i4>
      </vt:variant>
      <vt:variant>
        <vt:i4>0</vt:i4>
      </vt:variant>
      <vt:variant>
        <vt:i4>5</vt:i4>
      </vt:variant>
      <vt:variant>
        <vt:lpwstr>https://www.health.nsw.gov.au/mentalhealth/resources/Publications/carer-experience-survey-2024-25.pdf</vt:lpwstr>
      </vt:variant>
      <vt:variant>
        <vt:lpwstr/>
      </vt:variant>
      <vt:variant>
        <vt:i4>7405605</vt:i4>
      </vt:variant>
      <vt:variant>
        <vt:i4>162</vt:i4>
      </vt:variant>
      <vt:variant>
        <vt:i4>0</vt:i4>
      </vt:variant>
      <vt:variant>
        <vt:i4>5</vt:i4>
      </vt:variant>
      <vt:variant>
        <vt:lpwstr>https://www.aihw.gov.au/nmhspf</vt:lpwstr>
      </vt:variant>
      <vt:variant>
        <vt:lpwstr/>
      </vt:variant>
      <vt:variant>
        <vt:i4>1376259</vt:i4>
      </vt:variant>
      <vt:variant>
        <vt:i4>159</vt:i4>
      </vt:variant>
      <vt:variant>
        <vt:i4>0</vt:i4>
      </vt:variant>
      <vt:variant>
        <vt:i4>5</vt:i4>
      </vt:variant>
      <vt:variant>
        <vt:lpwstr>https://hwd.health.gov.au/resources/primary/psychiatry-supply-and-demand-compendium-report-updated-november-2025.pdf</vt:lpwstr>
      </vt:variant>
      <vt:variant>
        <vt:lpwstr/>
      </vt:variant>
      <vt:variant>
        <vt:i4>7536739</vt:i4>
      </vt:variant>
      <vt:variant>
        <vt:i4>156</vt:i4>
      </vt:variant>
      <vt:variant>
        <vt:i4>0</vt:i4>
      </vt:variant>
      <vt:variant>
        <vt:i4>5</vt:i4>
      </vt:variant>
      <vt:variant>
        <vt:lpwstr>https://hwd.health.gov.au/resources/primary/psychology-compendium-report-april-2026.pdf</vt:lpwstr>
      </vt:variant>
      <vt:variant>
        <vt:lpwstr/>
      </vt:variant>
      <vt:variant>
        <vt:i4>7798881</vt:i4>
      </vt:variant>
      <vt:variant>
        <vt:i4>153</vt:i4>
      </vt:variant>
      <vt:variant>
        <vt:i4>0</vt:i4>
      </vt:variant>
      <vt:variant>
        <vt:i4>5</vt:i4>
      </vt:variant>
      <vt:variant>
        <vt:lpwstr>https://www.safetyandquality.gov.au/national-standards/national-safety-and-quality-mental-health-standards-community-managed-organisations</vt:lpwstr>
      </vt:variant>
      <vt:variant>
        <vt:lpwstr/>
      </vt:variant>
      <vt:variant>
        <vt:i4>7995489</vt:i4>
      </vt:variant>
      <vt:variant>
        <vt:i4>150</vt:i4>
      </vt:variant>
      <vt:variant>
        <vt:i4>0</vt:i4>
      </vt:variant>
      <vt:variant>
        <vt:i4>5</vt:i4>
      </vt:variant>
      <vt:variant>
        <vt:lpwstr>https://www.safetyandquality.gov.au/national-standards/national-safety-and-quality-digital-mental-health-standards</vt:lpwstr>
      </vt:variant>
      <vt:variant>
        <vt:lpwstr/>
      </vt:variant>
      <vt:variant>
        <vt:i4>6422643</vt:i4>
      </vt:variant>
      <vt:variant>
        <vt:i4>147</vt:i4>
      </vt:variant>
      <vt:variant>
        <vt:i4>0</vt:i4>
      </vt:variant>
      <vt:variant>
        <vt:i4>5</vt:i4>
      </vt:variant>
      <vt:variant>
        <vt:lpwstr>https://www.safetyandquality.gov.au/national-standards/nsqhs-standards</vt:lpwstr>
      </vt:variant>
      <vt:variant>
        <vt:lpwstr/>
      </vt:variant>
      <vt:variant>
        <vt:i4>6291575</vt:i4>
      </vt:variant>
      <vt:variant>
        <vt:i4>144</vt:i4>
      </vt:variant>
      <vt:variant>
        <vt:i4>0</vt:i4>
      </vt:variant>
      <vt:variant>
        <vt:i4>5</vt:i4>
      </vt:variant>
      <vt:variant>
        <vt:lpwstr>C:\Users\MALOLY\AppData\Local\Microsoft\Windows\INetCache\Content.Outlook\G82SGBDQ\Socio-Economic Indexes for Areas (SIEFA) - ABS</vt:lpwstr>
      </vt:variant>
      <vt:variant>
        <vt:lpwstr/>
      </vt:variant>
      <vt:variant>
        <vt:i4>4063287</vt:i4>
      </vt:variant>
      <vt:variant>
        <vt:i4>141</vt:i4>
      </vt:variant>
      <vt:variant>
        <vt:i4>0</vt:i4>
      </vt:variant>
      <vt:variant>
        <vt:i4>5</vt:i4>
      </vt:variant>
      <vt:variant>
        <vt:lpwstr>https://www.abs.gov.au/statistics/standards/australian-statistical-geography-standard-asgs/edition-3-july-2021-june-2026/remoteness-structure/remoteness-areas</vt:lpwstr>
      </vt:variant>
      <vt:variant>
        <vt:lpwstr/>
      </vt:variant>
      <vt:variant>
        <vt:i4>655364</vt:i4>
      </vt:variant>
      <vt:variant>
        <vt:i4>138</vt:i4>
      </vt:variant>
      <vt:variant>
        <vt:i4>0</vt:i4>
      </vt:variant>
      <vt:variant>
        <vt:i4>5</vt:i4>
      </vt:variant>
      <vt:variant>
        <vt:lpwstr>https://www.mentalhealthcommission.gov.au/sites/default/files/2026-06/submission-on-the-national-disability-insurance-scheme-amendment-securing-the-ndis-for-future-generations-bill-2026.pdf</vt:lpwstr>
      </vt:variant>
      <vt:variant>
        <vt:lpwstr/>
      </vt:variant>
      <vt:variant>
        <vt:i4>7667834</vt:i4>
      </vt:variant>
      <vt:variant>
        <vt:i4>135</vt:i4>
      </vt:variant>
      <vt:variant>
        <vt:i4>0</vt:i4>
      </vt:variant>
      <vt:variant>
        <vt:i4>5</vt:i4>
      </vt:variant>
      <vt:variant>
        <vt:lpwstr>https://www.health.gov.au/resources/publications/analysis-of-unmet-need-for-psychosocial-supports-outside-of-the-national-disability-insurance-scheme-final-report?language=en</vt:lpwstr>
      </vt:variant>
      <vt:variant>
        <vt:lpwstr/>
      </vt:variant>
      <vt:variant>
        <vt:i4>7995507</vt:i4>
      </vt:variant>
      <vt:variant>
        <vt:i4>132</vt:i4>
      </vt:variant>
      <vt:variant>
        <vt:i4>0</vt:i4>
      </vt:variant>
      <vt:variant>
        <vt:i4>5</vt:i4>
      </vt:variant>
      <vt:variant>
        <vt:lpwstr>https://www.aihw.gov.au/mental-health/topic-areas/community-based-services/psychosocial-disability-support</vt:lpwstr>
      </vt:variant>
      <vt:variant>
        <vt:lpwstr/>
      </vt:variant>
      <vt:variant>
        <vt:i4>3932223</vt:i4>
      </vt:variant>
      <vt:variant>
        <vt:i4>129</vt:i4>
      </vt:variant>
      <vt:variant>
        <vt:i4>0</vt:i4>
      </vt:variant>
      <vt:variant>
        <vt:i4>5</vt:i4>
      </vt:variant>
      <vt:variant>
        <vt:lpwstr>https://www.mentalhealthcommission.gov.au/publications/2026-national-stigma-and-discrimination-report-card-full-report</vt:lpwstr>
      </vt:variant>
      <vt:variant>
        <vt:lpwstr/>
      </vt:variant>
      <vt:variant>
        <vt:i4>7077950</vt:i4>
      </vt:variant>
      <vt:variant>
        <vt:i4>126</vt:i4>
      </vt:variant>
      <vt:variant>
        <vt:i4>0</vt:i4>
      </vt:variant>
      <vt:variant>
        <vt:i4>5</vt:i4>
      </vt:variant>
      <vt:variant>
        <vt:lpwstr>https://www.pc.gov.au/inquiries-and-research/mental-health-review/</vt:lpwstr>
      </vt:variant>
      <vt:variant>
        <vt:lpwstr/>
      </vt:variant>
      <vt:variant>
        <vt:i4>2621559</vt:i4>
      </vt:variant>
      <vt:variant>
        <vt:i4>123</vt:i4>
      </vt:variant>
      <vt:variant>
        <vt:i4>0</vt:i4>
      </vt:variant>
      <vt:variant>
        <vt:i4>5</vt:i4>
      </vt:variant>
      <vt:variant>
        <vt:lpwstr>https://www.mentalhealthcommission.gov.au/news-media/news/national-stigma-and-discrimination-report-card-development-breaking-down-barriers</vt:lpwstr>
      </vt:variant>
      <vt:variant>
        <vt:lpwstr/>
      </vt:variant>
      <vt:variant>
        <vt:i4>1441873</vt:i4>
      </vt:variant>
      <vt:variant>
        <vt:i4>120</vt:i4>
      </vt:variant>
      <vt:variant>
        <vt:i4>0</vt:i4>
      </vt:variant>
      <vt:variant>
        <vt:i4>5</vt:i4>
      </vt:variant>
      <vt:variant>
        <vt:lpwstr>https://www.health.gov.au/sites/default/files/2025-09/national-guidelines-for-including-mental-health-and-wellbeing-in-early-childhood-health-checks.pdf</vt:lpwstr>
      </vt:variant>
      <vt:variant>
        <vt:lpwstr/>
      </vt:variant>
      <vt:variant>
        <vt:i4>6094849</vt:i4>
      </vt:variant>
      <vt:variant>
        <vt:i4>117</vt:i4>
      </vt:variant>
      <vt:variant>
        <vt:i4>0</vt:i4>
      </vt:variant>
      <vt:variant>
        <vt:i4>5</vt:i4>
      </vt:variant>
      <vt:variant>
        <vt:lpwstr>https://www.education.gov.au/download/19865/first-five-years-project-child-and-family-characteristics/43112/document/pdf</vt:lpwstr>
      </vt:variant>
      <vt:variant>
        <vt:lpwstr/>
      </vt:variant>
      <vt:variant>
        <vt:i4>7274555</vt:i4>
      </vt:variant>
      <vt:variant>
        <vt:i4>114</vt:i4>
      </vt:variant>
      <vt:variant>
        <vt:i4>0</vt:i4>
      </vt:variant>
      <vt:variant>
        <vt:i4>5</vt:i4>
      </vt:variant>
      <vt:variant>
        <vt:lpwstr>https://www.education.gov.au/integrated-data-research/first-five-years-project</vt:lpwstr>
      </vt:variant>
      <vt:variant>
        <vt:lpwstr/>
      </vt:variant>
      <vt:variant>
        <vt:i4>6029391</vt:i4>
      </vt:variant>
      <vt:variant>
        <vt:i4>111</vt:i4>
      </vt:variant>
      <vt:variant>
        <vt:i4>0</vt:i4>
      </vt:variant>
      <vt:variant>
        <vt:i4>5</vt:i4>
      </vt:variant>
      <vt:variant>
        <vt:lpwstr>https://www.indigenoushpf.gov.au/</vt:lpwstr>
      </vt:variant>
      <vt:variant>
        <vt:lpwstr/>
      </vt:variant>
      <vt:variant>
        <vt:i4>196693</vt:i4>
      </vt:variant>
      <vt:variant>
        <vt:i4>108</vt:i4>
      </vt:variant>
      <vt:variant>
        <vt:i4>0</vt:i4>
      </vt:variant>
      <vt:variant>
        <vt:i4>5</vt:i4>
      </vt:variant>
      <vt:variant>
        <vt:lpwstr>https://www.aihw.gov.au/reports/indigenous-australians/first-nations-wellbeing-measures/contents/social-and-emotional-wellbeing-gathering</vt:lpwstr>
      </vt:variant>
      <vt:variant>
        <vt:lpwstr/>
      </vt:variant>
      <vt:variant>
        <vt:i4>8061043</vt:i4>
      </vt:variant>
      <vt:variant>
        <vt:i4>105</vt:i4>
      </vt:variant>
      <vt:variant>
        <vt:i4>0</vt:i4>
      </vt:variant>
      <vt:variant>
        <vt:i4>5</vt:i4>
      </vt:variant>
      <vt:variant>
        <vt:lpwstr>https://www.dss.gov.au/long-term-research/resource/decade-data-findings-first-10-years-footprints-time-2020</vt:lpwstr>
      </vt:variant>
      <vt:variant>
        <vt:lpwstr/>
      </vt:variant>
      <vt:variant>
        <vt:i4>56</vt:i4>
      </vt:variant>
      <vt:variant>
        <vt:i4>102</vt:i4>
      </vt:variant>
      <vt:variant>
        <vt:i4>0</vt:i4>
      </vt:variant>
      <vt:variant>
        <vt:i4>5</vt:i4>
      </vt:variant>
      <vt:variant>
        <vt:lpwstr>https://www.yardhurawalani.com.au/wp-content/uploads/2025/01/Referendum-Mental-Health-Report_Nov2024.pdf</vt:lpwstr>
      </vt:variant>
      <vt:variant>
        <vt:lpwstr/>
      </vt:variant>
      <vt:variant>
        <vt:i4>7340093</vt:i4>
      </vt:variant>
      <vt:variant>
        <vt:i4>99</vt:i4>
      </vt:variant>
      <vt:variant>
        <vt:i4>0</vt:i4>
      </vt:variant>
      <vt:variant>
        <vt:i4>5</vt:i4>
      </vt:variant>
      <vt:variant>
        <vt:lpwstr>https://mkstudy.com.au/</vt:lpwstr>
      </vt:variant>
      <vt:variant>
        <vt:lpwstr/>
      </vt:variant>
      <vt:variant>
        <vt:i4>4784147</vt:i4>
      </vt:variant>
      <vt:variant>
        <vt:i4>96</vt:i4>
      </vt:variant>
      <vt:variant>
        <vt:i4>0</vt:i4>
      </vt:variant>
      <vt:variant>
        <vt:i4>5</vt:i4>
      </vt:variant>
      <vt:variant>
        <vt:lpwstr>https://www.mentalhealthcommission.gov.au/national-suicide-prevention-outcomes-framework</vt:lpwstr>
      </vt:variant>
      <vt:variant>
        <vt:lpwstr/>
      </vt:variant>
      <vt:variant>
        <vt:i4>3014695</vt:i4>
      </vt:variant>
      <vt:variant>
        <vt:i4>93</vt:i4>
      </vt:variant>
      <vt:variant>
        <vt:i4>0</vt:i4>
      </vt:variant>
      <vt:variant>
        <vt:i4>5</vt:i4>
      </vt:variant>
      <vt:variant>
        <vt:lpwstr>https://www.mentalhealthcommission.gov.au/national-suicide-prevention-strategy</vt:lpwstr>
      </vt:variant>
      <vt:variant>
        <vt:lpwstr/>
      </vt:variant>
      <vt:variant>
        <vt:i4>1179726</vt:i4>
      </vt:variant>
      <vt:variant>
        <vt:i4>90</vt:i4>
      </vt:variant>
      <vt:variant>
        <vt:i4>0</vt:i4>
      </vt:variant>
      <vt:variant>
        <vt:i4>5</vt:i4>
      </vt:variant>
      <vt:variant>
        <vt:lpwstr>https://www.pc.gov.au/inquiries-and-research/mental-health-review/report/</vt:lpwstr>
      </vt:variant>
      <vt:variant>
        <vt:lpwstr/>
      </vt:variant>
      <vt:variant>
        <vt:i4>524300</vt:i4>
      </vt:variant>
      <vt:variant>
        <vt:i4>87</vt:i4>
      </vt:variant>
      <vt:variant>
        <vt:i4>0</vt:i4>
      </vt:variant>
      <vt:variant>
        <vt:i4>5</vt:i4>
      </vt:variant>
      <vt:variant>
        <vt:lpwstr>https://www.abs.gov.au/statistics/detailed-methodology-information/concepts-sources-methods/intergenerational-health-and-mental-health-study-concepts-sources-and-methods/2020-24</vt:lpwstr>
      </vt:variant>
      <vt:variant>
        <vt:lpwstr/>
      </vt:variant>
      <vt:variant>
        <vt:i4>1179692</vt:i4>
      </vt:variant>
      <vt:variant>
        <vt:i4>84</vt:i4>
      </vt:variant>
      <vt:variant>
        <vt:i4>0</vt:i4>
      </vt:variant>
      <vt:variant>
        <vt:i4>5</vt:i4>
      </vt:variant>
      <vt:variant>
        <vt:lpwstr>https://www.datocms-assets.com/144433/1774826336-26073-chf-national-consumer-sentiment-survey-2_web.pdf</vt:lpwstr>
      </vt:variant>
      <vt:variant>
        <vt:lpwstr/>
      </vt:variant>
      <vt:variant>
        <vt:i4>5570634</vt:i4>
      </vt:variant>
      <vt:variant>
        <vt:i4>81</vt:i4>
      </vt:variant>
      <vt:variant>
        <vt:i4>0</vt:i4>
      </vt:variant>
      <vt:variant>
        <vt:i4>5</vt:i4>
      </vt:variant>
      <vt:variant>
        <vt:lpwstr>http://www.mentalhealthcommission.gov.au/</vt:lpwstr>
      </vt:variant>
      <vt:variant>
        <vt:lpwstr/>
      </vt:variant>
      <vt:variant>
        <vt:i4>5570634</vt:i4>
      </vt:variant>
      <vt:variant>
        <vt:i4>78</vt:i4>
      </vt:variant>
      <vt:variant>
        <vt:i4>0</vt:i4>
      </vt:variant>
      <vt:variant>
        <vt:i4>5</vt:i4>
      </vt:variant>
      <vt:variant>
        <vt:lpwstr>http://www.mentalhealthcommission.gov.au/</vt:lpwstr>
      </vt:variant>
      <vt:variant>
        <vt:lpwstr/>
      </vt:variant>
      <vt:variant>
        <vt:i4>458756</vt:i4>
      </vt:variant>
      <vt:variant>
        <vt:i4>75</vt:i4>
      </vt:variant>
      <vt:variant>
        <vt:i4>0</vt:i4>
      </vt:variant>
      <vt:variant>
        <vt:i4>5</vt:i4>
      </vt:variant>
      <vt:variant>
        <vt:lpwstr>http://www.mentalhealthcommission.gov.au/find-support</vt:lpwstr>
      </vt:variant>
      <vt:variant>
        <vt:lpwstr/>
      </vt:variant>
      <vt:variant>
        <vt:i4>1966140</vt:i4>
      </vt:variant>
      <vt:variant>
        <vt:i4>68</vt:i4>
      </vt:variant>
      <vt:variant>
        <vt:i4>0</vt:i4>
      </vt:variant>
      <vt:variant>
        <vt:i4>5</vt:i4>
      </vt:variant>
      <vt:variant>
        <vt:lpwstr/>
      </vt:variant>
      <vt:variant>
        <vt:lpwstr>_Toc236816948</vt:lpwstr>
      </vt:variant>
      <vt:variant>
        <vt:i4>1966140</vt:i4>
      </vt:variant>
      <vt:variant>
        <vt:i4>62</vt:i4>
      </vt:variant>
      <vt:variant>
        <vt:i4>0</vt:i4>
      </vt:variant>
      <vt:variant>
        <vt:i4>5</vt:i4>
      </vt:variant>
      <vt:variant>
        <vt:lpwstr/>
      </vt:variant>
      <vt:variant>
        <vt:lpwstr>_Toc236816947</vt:lpwstr>
      </vt:variant>
      <vt:variant>
        <vt:i4>1966140</vt:i4>
      </vt:variant>
      <vt:variant>
        <vt:i4>56</vt:i4>
      </vt:variant>
      <vt:variant>
        <vt:i4>0</vt:i4>
      </vt:variant>
      <vt:variant>
        <vt:i4>5</vt:i4>
      </vt:variant>
      <vt:variant>
        <vt:lpwstr/>
      </vt:variant>
      <vt:variant>
        <vt:lpwstr>_Toc236816946</vt:lpwstr>
      </vt:variant>
      <vt:variant>
        <vt:i4>1966140</vt:i4>
      </vt:variant>
      <vt:variant>
        <vt:i4>50</vt:i4>
      </vt:variant>
      <vt:variant>
        <vt:i4>0</vt:i4>
      </vt:variant>
      <vt:variant>
        <vt:i4>5</vt:i4>
      </vt:variant>
      <vt:variant>
        <vt:lpwstr/>
      </vt:variant>
      <vt:variant>
        <vt:lpwstr>_Toc236816945</vt:lpwstr>
      </vt:variant>
      <vt:variant>
        <vt:i4>1966140</vt:i4>
      </vt:variant>
      <vt:variant>
        <vt:i4>44</vt:i4>
      </vt:variant>
      <vt:variant>
        <vt:i4>0</vt:i4>
      </vt:variant>
      <vt:variant>
        <vt:i4>5</vt:i4>
      </vt:variant>
      <vt:variant>
        <vt:lpwstr/>
      </vt:variant>
      <vt:variant>
        <vt:lpwstr>_Toc236816944</vt:lpwstr>
      </vt:variant>
      <vt:variant>
        <vt:i4>1966140</vt:i4>
      </vt:variant>
      <vt:variant>
        <vt:i4>38</vt:i4>
      </vt:variant>
      <vt:variant>
        <vt:i4>0</vt:i4>
      </vt:variant>
      <vt:variant>
        <vt:i4>5</vt:i4>
      </vt:variant>
      <vt:variant>
        <vt:lpwstr/>
      </vt:variant>
      <vt:variant>
        <vt:lpwstr>_Toc236816943</vt:lpwstr>
      </vt:variant>
      <vt:variant>
        <vt:i4>1966140</vt:i4>
      </vt:variant>
      <vt:variant>
        <vt:i4>32</vt:i4>
      </vt:variant>
      <vt:variant>
        <vt:i4>0</vt:i4>
      </vt:variant>
      <vt:variant>
        <vt:i4>5</vt:i4>
      </vt:variant>
      <vt:variant>
        <vt:lpwstr/>
      </vt:variant>
      <vt:variant>
        <vt:lpwstr>_Toc236816942</vt:lpwstr>
      </vt:variant>
      <vt:variant>
        <vt:i4>1966140</vt:i4>
      </vt:variant>
      <vt:variant>
        <vt:i4>26</vt:i4>
      </vt:variant>
      <vt:variant>
        <vt:i4>0</vt:i4>
      </vt:variant>
      <vt:variant>
        <vt:i4>5</vt:i4>
      </vt:variant>
      <vt:variant>
        <vt:lpwstr/>
      </vt:variant>
      <vt:variant>
        <vt:lpwstr>_Toc236816941</vt:lpwstr>
      </vt:variant>
      <vt:variant>
        <vt:i4>1966140</vt:i4>
      </vt:variant>
      <vt:variant>
        <vt:i4>20</vt:i4>
      </vt:variant>
      <vt:variant>
        <vt:i4>0</vt:i4>
      </vt:variant>
      <vt:variant>
        <vt:i4>5</vt:i4>
      </vt:variant>
      <vt:variant>
        <vt:lpwstr/>
      </vt:variant>
      <vt:variant>
        <vt:lpwstr>_Toc236816940</vt:lpwstr>
      </vt:variant>
      <vt:variant>
        <vt:i4>1638460</vt:i4>
      </vt:variant>
      <vt:variant>
        <vt:i4>14</vt:i4>
      </vt:variant>
      <vt:variant>
        <vt:i4>0</vt:i4>
      </vt:variant>
      <vt:variant>
        <vt:i4>5</vt:i4>
      </vt:variant>
      <vt:variant>
        <vt:lpwstr/>
      </vt:variant>
      <vt:variant>
        <vt:lpwstr>_Toc236816939</vt:lpwstr>
      </vt:variant>
      <vt:variant>
        <vt:i4>1638460</vt:i4>
      </vt:variant>
      <vt:variant>
        <vt:i4>8</vt:i4>
      </vt:variant>
      <vt:variant>
        <vt:i4>0</vt:i4>
      </vt:variant>
      <vt:variant>
        <vt:i4>5</vt:i4>
      </vt:variant>
      <vt:variant>
        <vt:lpwstr/>
      </vt:variant>
      <vt:variant>
        <vt:lpwstr>_Toc236816938</vt:lpwstr>
      </vt:variant>
      <vt:variant>
        <vt:i4>1638460</vt:i4>
      </vt:variant>
      <vt:variant>
        <vt:i4>2</vt:i4>
      </vt:variant>
      <vt:variant>
        <vt:i4>0</vt:i4>
      </vt:variant>
      <vt:variant>
        <vt:i4>5</vt:i4>
      </vt:variant>
      <vt:variant>
        <vt:lpwstr/>
      </vt:variant>
      <vt:variant>
        <vt:lpwstr>_Toc236816937</vt:lpwstr>
      </vt:variant>
      <vt:variant>
        <vt:i4>5111908</vt:i4>
      </vt:variant>
      <vt:variant>
        <vt:i4>3</vt:i4>
      </vt:variant>
      <vt:variant>
        <vt:i4>0</vt:i4>
      </vt:variant>
      <vt:variant>
        <vt:i4>5</vt:i4>
      </vt:variant>
      <vt:variant>
        <vt:lpwstr>mailto:Kate.FESTER@MentalHealthCommission.gov.au</vt:lpwstr>
      </vt:variant>
      <vt:variant>
        <vt:lpwstr/>
      </vt:variant>
      <vt:variant>
        <vt:i4>5111908</vt:i4>
      </vt:variant>
      <vt:variant>
        <vt:i4>0</vt:i4>
      </vt:variant>
      <vt:variant>
        <vt:i4>0</vt:i4>
      </vt:variant>
      <vt:variant>
        <vt:i4>5</vt:i4>
      </vt:variant>
      <vt:variant>
        <vt:lpwstr>mailto:Kate.FESTER@MentalHealthCommission.gov.au</vt:lpwstr>
      </vt:variant>
      <vt:variant>
        <vt:lpwstr/>
      </vt:variant>
      <vt:variant>
        <vt:i4>262158</vt:i4>
      </vt:variant>
      <vt:variant>
        <vt:i4>330</vt:i4>
      </vt:variant>
      <vt:variant>
        <vt:i4>0</vt:i4>
      </vt:variant>
      <vt:variant>
        <vt:i4>5</vt:i4>
      </vt:variant>
      <vt:variant>
        <vt:lpwstr>https://www.who.int/news-room/fact-sheets/detail/mental-disorders</vt:lpwstr>
      </vt:variant>
      <vt:variant>
        <vt:lpwstr/>
      </vt:variant>
      <vt:variant>
        <vt:i4>3538999</vt:i4>
      </vt:variant>
      <vt:variant>
        <vt:i4>327</vt:i4>
      </vt:variant>
      <vt:variant>
        <vt:i4>0</vt:i4>
      </vt:variant>
      <vt:variant>
        <vt:i4>5</vt:i4>
      </vt:variant>
      <vt:variant>
        <vt:lpwstr>https://www.health.gov.au/resources/publications/national-mental-health-and-suicide-prevention-evaluation-framework?language=en</vt:lpwstr>
      </vt:variant>
      <vt:variant>
        <vt:lpwstr/>
      </vt:variant>
      <vt:variant>
        <vt:i4>3014710</vt:i4>
      </vt:variant>
      <vt:variant>
        <vt:i4>324</vt:i4>
      </vt:variant>
      <vt:variant>
        <vt:i4>0</vt:i4>
      </vt:variant>
      <vt:variant>
        <vt:i4>5</vt:i4>
      </vt:variant>
      <vt:variant>
        <vt:lpwstr>https://acem.org.au/Content-Sources/Advancing-Emergency-Medicine/Better-Outcomes-for-Patients/Access-Block-(1)/State-of-Emergency-2022</vt:lpwstr>
      </vt:variant>
      <vt:variant>
        <vt:lpwstr/>
      </vt:variant>
      <vt:variant>
        <vt:i4>1966174</vt:i4>
      </vt:variant>
      <vt:variant>
        <vt:i4>321</vt:i4>
      </vt:variant>
      <vt:variant>
        <vt:i4>0</vt:i4>
      </vt:variant>
      <vt:variant>
        <vt:i4>5</vt:i4>
      </vt:variant>
      <vt:variant>
        <vt:lpwstr>https://doi.org/10.1177/10398562231195438</vt:lpwstr>
      </vt:variant>
      <vt:variant>
        <vt:lpwstr/>
      </vt:variant>
      <vt:variant>
        <vt:i4>8192127</vt:i4>
      </vt:variant>
      <vt:variant>
        <vt:i4>318</vt:i4>
      </vt:variant>
      <vt:variant>
        <vt:i4>0</vt:i4>
      </vt:variant>
      <vt:variant>
        <vt:i4>5</vt:i4>
      </vt:variant>
      <vt:variant>
        <vt:lpwstr>https://www.amhocn.org/training-and-service-development/experience-measures/application-for-use</vt:lpwstr>
      </vt:variant>
      <vt:variant>
        <vt:lpwstr/>
      </vt:variant>
      <vt:variant>
        <vt:i4>1900629</vt:i4>
      </vt:variant>
      <vt:variant>
        <vt:i4>315</vt:i4>
      </vt:variant>
      <vt:variant>
        <vt:i4>0</vt:i4>
      </vt:variant>
      <vt:variant>
        <vt:i4>5</vt:i4>
      </vt:variant>
      <vt:variant>
        <vt:lpwstr>https://doi.org/10.1177/10398562251335547</vt:lpwstr>
      </vt:variant>
      <vt:variant>
        <vt:lpwstr/>
      </vt:variant>
      <vt:variant>
        <vt:i4>2949238</vt:i4>
      </vt:variant>
      <vt:variant>
        <vt:i4>312</vt:i4>
      </vt:variant>
      <vt:variant>
        <vt:i4>0</vt:i4>
      </vt:variant>
      <vt:variant>
        <vt:i4>5</vt:i4>
      </vt:variant>
      <vt:variant>
        <vt:lpwstr>https://nmhca.org.au/peer-association-faq/</vt:lpwstr>
      </vt:variant>
      <vt:variant>
        <vt:lpwstr/>
      </vt:variant>
      <vt:variant>
        <vt:i4>2556017</vt:i4>
      </vt:variant>
      <vt:variant>
        <vt:i4>309</vt:i4>
      </vt:variant>
      <vt:variant>
        <vt:i4>0</vt:i4>
      </vt:variant>
      <vt:variant>
        <vt:i4>5</vt:i4>
      </vt:variant>
      <vt:variant>
        <vt:lpwstr>https://srcentre.com.au/project-lived-experience-peer-workforce-census/</vt:lpwstr>
      </vt:variant>
      <vt:variant>
        <vt:lpwstr/>
      </vt:variant>
      <vt:variant>
        <vt:i4>3866683</vt:i4>
      </vt:variant>
      <vt:variant>
        <vt:i4>306</vt:i4>
      </vt:variant>
      <vt:variant>
        <vt:i4>0</vt:i4>
      </vt:variant>
      <vt:variant>
        <vt:i4>5</vt:i4>
      </vt:variant>
      <vt:variant>
        <vt:lpwstr>https://headspace.org.au/our-impact/evaluation-research-reports/annual-reports/</vt:lpwstr>
      </vt:variant>
      <vt:variant>
        <vt:lpwstr/>
      </vt:variant>
      <vt:variant>
        <vt:i4>1376259</vt:i4>
      </vt:variant>
      <vt:variant>
        <vt:i4>303</vt:i4>
      </vt:variant>
      <vt:variant>
        <vt:i4>0</vt:i4>
      </vt:variant>
      <vt:variant>
        <vt:i4>5</vt:i4>
      </vt:variant>
      <vt:variant>
        <vt:lpwstr>https://hwd.health.gov.au/resources/primary/psychiatry-supply-and-demand-compendium-report-updated-november-2025.pdf</vt:lpwstr>
      </vt:variant>
      <vt:variant>
        <vt:lpwstr/>
      </vt:variant>
      <vt:variant>
        <vt:i4>2228277</vt:i4>
      </vt:variant>
      <vt:variant>
        <vt:i4>300</vt:i4>
      </vt:variant>
      <vt:variant>
        <vt:i4>0</vt:i4>
      </vt:variant>
      <vt:variant>
        <vt:i4>5</vt:i4>
      </vt:variant>
      <vt:variant>
        <vt:lpwstr>https://archive.budget.gov.au/2025-26/myefo/download/myefo-2025-26.pdf</vt:lpwstr>
      </vt:variant>
      <vt:variant>
        <vt:lpwstr/>
      </vt:variant>
      <vt:variant>
        <vt:i4>1376335</vt:i4>
      </vt:variant>
      <vt:variant>
        <vt:i4>297</vt:i4>
      </vt:variant>
      <vt:variant>
        <vt:i4>0</vt:i4>
      </vt:variant>
      <vt:variant>
        <vt:i4>5</vt:i4>
      </vt:variant>
      <vt:variant>
        <vt:lpwstr>https://vccmhw.vic.gov.au/dam/jcr:58338139-abde-4baf-814e-7ecd26c4cb8c/NMHCCF_RPMHS_12%C6%92 (1).pdf</vt:lpwstr>
      </vt:variant>
      <vt:variant>
        <vt:lpwstr/>
      </vt:variant>
      <vt:variant>
        <vt:i4>7209058</vt:i4>
      </vt:variant>
      <vt:variant>
        <vt:i4>294</vt:i4>
      </vt:variant>
      <vt:variant>
        <vt:i4>0</vt:i4>
      </vt:variant>
      <vt:variant>
        <vt:i4>5</vt:i4>
      </vt:variant>
      <vt:variant>
        <vt:lpwstr>https://justiceaction.org.au/10th-national-seclusion-and-restraint-reduction-forum/</vt:lpwstr>
      </vt:variant>
      <vt:variant>
        <vt:lpwstr/>
      </vt:variant>
      <vt:variant>
        <vt:i4>3538985</vt:i4>
      </vt:variant>
      <vt:variant>
        <vt:i4>291</vt:i4>
      </vt:variant>
      <vt:variant>
        <vt:i4>0</vt:i4>
      </vt:variant>
      <vt:variant>
        <vt:i4>5</vt:i4>
      </vt:variant>
      <vt:variant>
        <vt:lpwstr>https://nmhca.org.au/__static/jdj5jdewjes5chi2z1zwa1fvvwnyrlcw/2024-human-rights-report-final.pdf</vt:lpwstr>
      </vt:variant>
      <vt:variant>
        <vt:lpwstr/>
      </vt:variant>
      <vt:variant>
        <vt:i4>786520</vt:i4>
      </vt:variant>
      <vt:variant>
        <vt:i4>288</vt:i4>
      </vt:variant>
      <vt:variant>
        <vt:i4>0</vt:i4>
      </vt:variant>
      <vt:variant>
        <vt:i4>5</vt:i4>
      </vt:variant>
      <vt:variant>
        <vt:lpwstr>https://www.who.int/publications/b/58680</vt:lpwstr>
      </vt:variant>
      <vt:variant>
        <vt:lpwstr/>
      </vt:variant>
      <vt:variant>
        <vt:i4>1704027</vt:i4>
      </vt:variant>
      <vt:variant>
        <vt:i4>285</vt:i4>
      </vt:variant>
      <vt:variant>
        <vt:i4>0</vt:i4>
      </vt:variant>
      <vt:variant>
        <vt:i4>5</vt:i4>
      </vt:variant>
      <vt:variant>
        <vt:lpwstr>https://www.mentalhealthcommission.gov.au/sites/default/files/2024-04/position-statement-on-seclusion-and-restraint-in-mental-health.pdf</vt:lpwstr>
      </vt:variant>
      <vt:variant>
        <vt:lpwstr/>
      </vt:variant>
      <vt:variant>
        <vt:i4>655443</vt:i4>
      </vt:variant>
      <vt:variant>
        <vt:i4>282</vt:i4>
      </vt:variant>
      <vt:variant>
        <vt:i4>0</vt:i4>
      </vt:variant>
      <vt:variant>
        <vt:i4>5</vt:i4>
      </vt:variant>
      <vt:variant>
        <vt:lpwstr>https://www.health.gov.au/sites/default/files/2023-10/national-mental-health-workforce-strategy-2022-2032.pdf</vt:lpwstr>
      </vt:variant>
      <vt:variant>
        <vt:lpwstr/>
      </vt:variant>
      <vt:variant>
        <vt:i4>4325406</vt:i4>
      </vt:variant>
      <vt:variant>
        <vt:i4>279</vt:i4>
      </vt:variant>
      <vt:variant>
        <vt:i4>0</vt:i4>
      </vt:variant>
      <vt:variant>
        <vt:i4>5</vt:i4>
      </vt:variant>
      <vt:variant>
        <vt:lpwstr>https://www.aihw.gov.au/mental-health/monitoring/performance-indicators/community-indicators</vt:lpwstr>
      </vt:variant>
      <vt:variant>
        <vt:lpwstr/>
      </vt:variant>
      <vt:variant>
        <vt:i4>4063320</vt:i4>
      </vt:variant>
      <vt:variant>
        <vt:i4>276</vt:i4>
      </vt:variant>
      <vt:variant>
        <vt:i4>0</vt:i4>
      </vt:variant>
      <vt:variant>
        <vt:i4>5</vt:i4>
      </vt:variant>
      <vt:variant>
        <vt:lpwstr>https://www.safetyandquality.gov.au/sites/default/files/resources/attachments//nsqmh_standards_for_cmos_-_2022.pdf</vt:lpwstr>
      </vt:variant>
      <vt:variant>
        <vt:lpwstr/>
      </vt:variant>
      <vt:variant>
        <vt:i4>5898258</vt:i4>
      </vt:variant>
      <vt:variant>
        <vt:i4>273</vt:i4>
      </vt:variant>
      <vt:variant>
        <vt:i4>0</vt:i4>
      </vt:variant>
      <vt:variant>
        <vt:i4>5</vt:i4>
      </vt:variant>
      <vt:variant>
        <vt:lpwstr>https://www.health.gov.au/sites/default/files/2022-12/conclusions-and-recommendations-evaluation-of-the-better-access-initiative.pdf</vt:lpwstr>
      </vt:variant>
      <vt:variant>
        <vt:lpwstr/>
      </vt:variant>
      <vt:variant>
        <vt:i4>6357029</vt:i4>
      </vt:variant>
      <vt:variant>
        <vt:i4>270</vt:i4>
      </vt:variant>
      <vt:variant>
        <vt:i4>0</vt:i4>
      </vt:variant>
      <vt:variant>
        <vt:i4>5</vt:i4>
      </vt:variant>
      <vt:variant>
        <vt:lpwstr>https://www.racgp.org.au/the-racgp/faculties/rural/advocacy-and-research/position-statements/provision-of-mental-health-services-in-rural-austr</vt:lpwstr>
      </vt:variant>
      <vt:variant>
        <vt:lpwstr/>
      </vt:variant>
      <vt:variant>
        <vt:i4>2228273</vt:i4>
      </vt:variant>
      <vt:variant>
        <vt:i4>267</vt:i4>
      </vt:variant>
      <vt:variant>
        <vt:i4>0</vt:i4>
      </vt:variant>
      <vt:variant>
        <vt:i4>5</vt:i4>
      </vt:variant>
      <vt:variant>
        <vt:lpwstr>https://doi.org/10.1186/s12913-023-10034-4</vt:lpwstr>
      </vt:variant>
      <vt:variant>
        <vt:lpwstr/>
      </vt:variant>
      <vt:variant>
        <vt:i4>655364</vt:i4>
      </vt:variant>
      <vt:variant>
        <vt:i4>264</vt:i4>
      </vt:variant>
      <vt:variant>
        <vt:i4>0</vt:i4>
      </vt:variant>
      <vt:variant>
        <vt:i4>5</vt:i4>
      </vt:variant>
      <vt:variant>
        <vt:lpwstr>https://www.mentalhealthcommission.gov.au/sites/default/files/2026-06/submission-on-the-national-disability-insurance-scheme-amendment-securing-the-ndis-for-future-generations-bill-2026.pdf</vt:lpwstr>
      </vt:variant>
      <vt:variant>
        <vt:lpwstr/>
      </vt:variant>
      <vt:variant>
        <vt:i4>6357059</vt:i4>
      </vt:variant>
      <vt:variant>
        <vt:i4>261</vt:i4>
      </vt:variant>
      <vt:variant>
        <vt:i4>0</vt:i4>
      </vt:variant>
      <vt:variant>
        <vt:i4>5</vt:i4>
      </vt:variant>
      <vt:variant>
        <vt:lpwstr>https://parlinfo.aph.gov.au/parlInfo/search/display/display.w3p;query=Id%3A%22legislation%2Fbills%2Fr7487_first-reps%2F0000%22;rec=0</vt:lpwstr>
      </vt:variant>
      <vt:variant>
        <vt:lpwstr/>
      </vt:variant>
      <vt:variant>
        <vt:i4>786511</vt:i4>
      </vt:variant>
      <vt:variant>
        <vt:i4>258</vt:i4>
      </vt:variant>
      <vt:variant>
        <vt:i4>0</vt:i4>
      </vt:variant>
      <vt:variant>
        <vt:i4>5</vt:i4>
      </vt:variant>
      <vt:variant>
        <vt:lpwstr>https://grattan.edu.au/report/bridging-the-gap-meeting-the-needs-of-australians-with-psychosocial-disability/</vt:lpwstr>
      </vt:variant>
      <vt:variant>
        <vt:lpwstr/>
      </vt:variant>
      <vt:variant>
        <vt:i4>7667834</vt:i4>
      </vt:variant>
      <vt:variant>
        <vt:i4>255</vt:i4>
      </vt:variant>
      <vt:variant>
        <vt:i4>0</vt:i4>
      </vt:variant>
      <vt:variant>
        <vt:i4>5</vt:i4>
      </vt:variant>
      <vt:variant>
        <vt:lpwstr>https://www.health.gov.au/resources/publications/analysis-of-unmet-need-for-psychosocial-supports-outside-of-the-national-disability-insurance-scheme-final-report?language=en</vt:lpwstr>
      </vt:variant>
      <vt:variant>
        <vt:lpwstr/>
      </vt:variant>
      <vt:variant>
        <vt:i4>2424871</vt:i4>
      </vt:variant>
      <vt:variant>
        <vt:i4>252</vt:i4>
      </vt:variant>
      <vt:variant>
        <vt:i4>0</vt:i4>
      </vt:variant>
      <vt:variant>
        <vt:i4>5</vt:i4>
      </vt:variant>
      <vt:variant>
        <vt:lpwstr>https://www.lifeline.org.au/sites/default/files/2025-11/lifeline-annual-report-2025.pdf</vt:lpwstr>
      </vt:variant>
      <vt:variant>
        <vt:lpwstr/>
      </vt:variant>
      <vt:variant>
        <vt:i4>2031634</vt:i4>
      </vt:variant>
      <vt:variant>
        <vt:i4>249</vt:i4>
      </vt:variant>
      <vt:variant>
        <vt:i4>0</vt:i4>
      </vt:variant>
      <vt:variant>
        <vt:i4>5</vt:i4>
      </vt:variant>
      <vt:variant>
        <vt:lpwstr>https://www.health.gov.au/news/medicare-mental-health-check-in-online-now</vt:lpwstr>
      </vt:variant>
      <vt:variant>
        <vt:lpwstr/>
      </vt:variant>
      <vt:variant>
        <vt:i4>5963897</vt:i4>
      </vt:variant>
      <vt:variant>
        <vt:i4>246</vt:i4>
      </vt:variant>
      <vt:variant>
        <vt:i4>0</vt:i4>
      </vt:variant>
      <vt:variant>
        <vt:i4>5</vt:i4>
      </vt:variant>
      <vt:variant>
        <vt:lpwstr>https://headspace.org.au/assets/Reports/Annual-reports/Headspace-Annual-Report-2025_WEB.pdf</vt:lpwstr>
      </vt:variant>
      <vt:variant>
        <vt:lpwstr/>
      </vt:variant>
      <vt:variant>
        <vt:i4>5636189</vt:i4>
      </vt:variant>
      <vt:variant>
        <vt:i4>243</vt:i4>
      </vt:variant>
      <vt:variant>
        <vt:i4>0</vt:i4>
      </vt:variant>
      <vt:variant>
        <vt:i4>5</vt:i4>
      </vt:variant>
      <vt:variant>
        <vt:lpwstr>https://www.aihw.gov.au/mental-health/monitoring/mental-health-services-activity-monitoring/mental-health-crisis-support</vt:lpwstr>
      </vt:variant>
      <vt:variant>
        <vt:lpwstr/>
      </vt:variant>
      <vt:variant>
        <vt:i4>1179726</vt:i4>
      </vt:variant>
      <vt:variant>
        <vt:i4>240</vt:i4>
      </vt:variant>
      <vt:variant>
        <vt:i4>0</vt:i4>
      </vt:variant>
      <vt:variant>
        <vt:i4>5</vt:i4>
      </vt:variant>
      <vt:variant>
        <vt:lpwstr>https://www.pc.gov.au/inquiries-and-research/mental-health-review/report/</vt:lpwstr>
      </vt:variant>
      <vt:variant>
        <vt:lpwstr/>
      </vt:variant>
      <vt:variant>
        <vt:i4>6619255</vt:i4>
      </vt:variant>
      <vt:variant>
        <vt:i4>237</vt:i4>
      </vt:variant>
      <vt:variant>
        <vt:i4>0</vt:i4>
      </vt:variant>
      <vt:variant>
        <vt:i4>5</vt:i4>
      </vt:variant>
      <vt:variant>
        <vt:lpwstr>https://www.aihw.gov.au/reports/alcohol-other-drug-treatment-services/alcohol-other-drug-treatment-services-aus/contents/key-findings/drugs-of-concern</vt:lpwstr>
      </vt:variant>
      <vt:variant>
        <vt:lpwstr/>
      </vt:variant>
      <vt:variant>
        <vt:i4>8192075</vt:i4>
      </vt:variant>
      <vt:variant>
        <vt:i4>234</vt:i4>
      </vt:variant>
      <vt:variant>
        <vt:i4>0</vt:i4>
      </vt:variant>
      <vt:variant>
        <vt:i4>5</vt:i4>
      </vt:variant>
      <vt:variant>
        <vt:lpwstr>https://apo.org.au/sites/default/files/resource-files/2017-05/apo-nid180741_1.pdf</vt:lpwstr>
      </vt:variant>
      <vt:variant>
        <vt:lpwstr/>
      </vt:variant>
      <vt:variant>
        <vt:i4>6619191</vt:i4>
      </vt:variant>
      <vt:variant>
        <vt:i4>231</vt:i4>
      </vt:variant>
      <vt:variant>
        <vt:i4>0</vt:i4>
      </vt:variant>
      <vt:variant>
        <vt:i4>5</vt:i4>
      </vt:variant>
      <vt:variant>
        <vt:lpwstr>https://www.aedc.gov.au/resources/detail/early-childhood-development-and-mental-health-outcomes</vt:lpwstr>
      </vt:variant>
      <vt:variant>
        <vt:lpwstr/>
      </vt:variant>
      <vt:variant>
        <vt:i4>1048656</vt:i4>
      </vt:variant>
      <vt:variant>
        <vt:i4>228</vt:i4>
      </vt:variant>
      <vt:variant>
        <vt:i4>0</vt:i4>
      </vt:variant>
      <vt:variant>
        <vt:i4>5</vt:i4>
      </vt:variant>
      <vt:variant>
        <vt:lpwstr>https://doi.org/10.1177/00048674241292961</vt:lpwstr>
      </vt:variant>
      <vt:variant>
        <vt:lpwstr/>
      </vt:variant>
      <vt:variant>
        <vt:i4>3080242</vt:i4>
      </vt:variant>
      <vt:variant>
        <vt:i4>225</vt:i4>
      </vt:variant>
      <vt:variant>
        <vt:i4>0</vt:i4>
      </vt:variant>
      <vt:variant>
        <vt:i4>5</vt:i4>
      </vt:variant>
      <vt:variant>
        <vt:lpwstr>https://www.aihw.gov.au/reports/burden-of-disease/australian-burden-of-disease-study-2024/contents/summary</vt:lpwstr>
      </vt:variant>
      <vt:variant>
        <vt:lpwstr/>
      </vt:variant>
      <vt:variant>
        <vt:i4>7077950</vt:i4>
      </vt:variant>
      <vt:variant>
        <vt:i4>222</vt:i4>
      </vt:variant>
      <vt:variant>
        <vt:i4>0</vt:i4>
      </vt:variant>
      <vt:variant>
        <vt:i4>5</vt:i4>
      </vt:variant>
      <vt:variant>
        <vt:lpwstr>https://www.pc.gov.au/inquiries-and-research/mental-health-review/</vt:lpwstr>
      </vt:variant>
      <vt:variant>
        <vt:lpwstr/>
      </vt:variant>
      <vt:variant>
        <vt:i4>3604513</vt:i4>
      </vt:variant>
      <vt:variant>
        <vt:i4>219</vt:i4>
      </vt:variant>
      <vt:variant>
        <vt:i4>0</vt:i4>
      </vt:variant>
      <vt:variant>
        <vt:i4>5</vt:i4>
      </vt:variant>
      <vt:variant>
        <vt:lpwstr>https://www.health.gov.au/ministers/the-hon-mark-butler-mp/media/national-suicide-prevention-strategy-and-69-million-for-suicide-prevention-initiatives?language=en</vt:lpwstr>
      </vt:variant>
      <vt:variant>
        <vt:lpwstr/>
      </vt:variant>
      <vt:variant>
        <vt:i4>3014695</vt:i4>
      </vt:variant>
      <vt:variant>
        <vt:i4>216</vt:i4>
      </vt:variant>
      <vt:variant>
        <vt:i4>0</vt:i4>
      </vt:variant>
      <vt:variant>
        <vt:i4>5</vt:i4>
      </vt:variant>
      <vt:variant>
        <vt:lpwstr>https://www.mentalhealthcommission.gov.au/national-suicide-prevention-strategy</vt:lpwstr>
      </vt:variant>
      <vt:variant>
        <vt:lpwstr/>
      </vt:variant>
      <vt:variant>
        <vt:i4>196699</vt:i4>
      </vt:variant>
      <vt:variant>
        <vt:i4>213</vt:i4>
      </vt:variant>
      <vt:variant>
        <vt:i4>0</vt:i4>
      </vt:variant>
      <vt:variant>
        <vt:i4>5</vt:i4>
      </vt:variant>
      <vt:variant>
        <vt:lpwstr>https://www.psychologyboard.gov.au/News/2025-12-01-Psychologists-Code-of-conduct.aspx</vt:lpwstr>
      </vt:variant>
      <vt:variant>
        <vt:lpwstr/>
      </vt:variant>
      <vt:variant>
        <vt:i4>1638465</vt:i4>
      </vt:variant>
      <vt:variant>
        <vt:i4>210</vt:i4>
      </vt:variant>
      <vt:variant>
        <vt:i4>0</vt:i4>
      </vt:variant>
      <vt:variant>
        <vt:i4>5</vt:i4>
      </vt:variant>
      <vt:variant>
        <vt:lpwstr>https://www.health.gov.au/news/now-available-national-standards-for-counsellors-and-psychotherapists?language=en</vt:lpwstr>
      </vt:variant>
      <vt:variant>
        <vt:lpwstr/>
      </vt:variant>
      <vt:variant>
        <vt:i4>5111809</vt:i4>
      </vt:variant>
      <vt:variant>
        <vt:i4>207</vt:i4>
      </vt:variant>
      <vt:variant>
        <vt:i4>0</vt:i4>
      </vt:variant>
      <vt:variant>
        <vt:i4>5</vt:i4>
      </vt:variant>
      <vt:variant>
        <vt:lpwstr>https://www.health.gov.au/ministers/the-hon-emma-mcbride-mp/media/50-medicare-mental-health-centre-opens-in-campbelltown</vt:lpwstr>
      </vt:variant>
      <vt:variant>
        <vt:lpwstr/>
      </vt:variant>
      <vt:variant>
        <vt:i4>65557</vt:i4>
      </vt:variant>
      <vt:variant>
        <vt:i4>204</vt:i4>
      </vt:variant>
      <vt:variant>
        <vt:i4>0</vt:i4>
      </vt:variant>
      <vt:variant>
        <vt:i4>5</vt:i4>
      </vt:variant>
      <vt:variant>
        <vt:lpwstr>https://www.health.gov.au/ministers/the-hon-emma-mcbride-mp/media/national-headspace-day-funding-boost-to-improve-headspace-services</vt:lpwstr>
      </vt:variant>
      <vt:variant>
        <vt:lpwstr/>
      </vt:variant>
      <vt:variant>
        <vt:i4>1245279</vt:i4>
      </vt:variant>
      <vt:variant>
        <vt:i4>201</vt:i4>
      </vt:variant>
      <vt:variant>
        <vt:i4>0</vt:i4>
      </vt:variant>
      <vt:variant>
        <vt:i4>5</vt:i4>
      </vt:variant>
      <vt:variant>
        <vt:lpwstr>https://budget.gov.au/content/myefo/index.htm</vt:lpwstr>
      </vt:variant>
      <vt:variant>
        <vt:lpwstr/>
      </vt:variant>
      <vt:variant>
        <vt:i4>65539</vt:i4>
      </vt:variant>
      <vt:variant>
        <vt:i4>198</vt:i4>
      </vt:variant>
      <vt:variant>
        <vt:i4>0</vt:i4>
      </vt:variant>
      <vt:variant>
        <vt:i4>5</vt:i4>
      </vt:variant>
      <vt:variant>
        <vt:lpwstr>https://www.health.gov.au/ministers/the-hon-mark-butler-mp/media/budget-2025-26-building-a-stronger-medicare-with-a-history-making-health-budget</vt:lpwstr>
      </vt:variant>
      <vt:variant>
        <vt:lpwstr/>
      </vt:variant>
      <vt:variant>
        <vt:i4>4456450</vt:i4>
      </vt:variant>
      <vt:variant>
        <vt:i4>195</vt:i4>
      </vt:variant>
      <vt:variant>
        <vt:i4>0</vt:i4>
      </vt:variant>
      <vt:variant>
        <vt:i4>5</vt:i4>
      </vt:variant>
      <vt:variant>
        <vt:lpwstr>https://consultations.health.gov.au/mental-health-access-branch/mhsp-peer-workforce-association/</vt:lpwstr>
      </vt:variant>
      <vt:variant>
        <vt:lpwstr/>
      </vt:variant>
      <vt:variant>
        <vt:i4>7077966</vt:i4>
      </vt:variant>
      <vt:variant>
        <vt:i4>192</vt:i4>
      </vt:variant>
      <vt:variant>
        <vt:i4>0</vt:i4>
      </vt:variant>
      <vt:variant>
        <vt:i4>5</vt:i4>
      </vt:variant>
      <vt:variant>
        <vt:lpwstr>https://www.flourishaustralia.org.au/sites/default/files/2025-10/peer_workforce_framework_2025561.pdf</vt:lpwstr>
      </vt:variant>
      <vt:variant>
        <vt:lpwstr/>
      </vt:variant>
      <vt:variant>
        <vt:i4>2687074</vt:i4>
      </vt:variant>
      <vt:variant>
        <vt:i4>189</vt:i4>
      </vt:variant>
      <vt:variant>
        <vt:i4>0</vt:i4>
      </vt:variant>
      <vt:variant>
        <vt:i4>5</vt:i4>
      </vt:variant>
      <vt:variant>
        <vt:lpwstr>https://www.tacsi.org.au/our-work/project/realising-the-potential-peer-to-peer</vt:lpwstr>
      </vt:variant>
      <vt:variant>
        <vt:lpwstr/>
      </vt:variant>
      <vt:variant>
        <vt:i4>4849741</vt:i4>
      </vt:variant>
      <vt:variant>
        <vt:i4>186</vt:i4>
      </vt:variant>
      <vt:variant>
        <vt:i4>0</vt:i4>
      </vt:variant>
      <vt:variant>
        <vt:i4>5</vt:i4>
      </vt:variant>
      <vt:variant>
        <vt:lpwstr>https://www.safeworkaustralia.gov.au/media-centre/evidence-matters/2025/best-practice-review-shaping-future-australias-whs-model-laws</vt:lpwstr>
      </vt:variant>
      <vt:variant>
        <vt:lpwstr/>
      </vt:variant>
      <vt:variant>
        <vt:i4>1572870</vt:i4>
      </vt:variant>
      <vt:variant>
        <vt:i4>183</vt:i4>
      </vt:variant>
      <vt:variant>
        <vt:i4>0</vt:i4>
      </vt:variant>
      <vt:variant>
        <vt:i4>5</vt:i4>
      </vt:variant>
      <vt:variant>
        <vt:lpwstr>https://www.premier.vic.gov.au/sites/default/files/2025-10/251001-Protecting-the-Mental-Health-of-Workers-in-Victoria.pdf</vt:lpwstr>
      </vt:variant>
      <vt:variant>
        <vt:lpwstr/>
      </vt:variant>
      <vt:variant>
        <vt:i4>6684786</vt:i4>
      </vt:variant>
      <vt:variant>
        <vt:i4>180</vt:i4>
      </vt:variant>
      <vt:variant>
        <vt:i4>0</vt:i4>
      </vt:variant>
      <vt:variant>
        <vt:i4>5</vt:i4>
      </vt:variant>
      <vt:variant>
        <vt:lpwstr>https://www.nsw.gov.au/ministerial-releases/protecting-workers-compensation-for-future-generations</vt:lpwstr>
      </vt:variant>
      <vt:variant>
        <vt:lpwstr/>
      </vt:variant>
      <vt:variant>
        <vt:i4>6750248</vt:i4>
      </vt:variant>
      <vt:variant>
        <vt:i4>177</vt:i4>
      </vt:variant>
      <vt:variant>
        <vt:i4>0</vt:i4>
      </vt:variant>
      <vt:variant>
        <vt:i4>5</vt:i4>
      </vt:variant>
      <vt:variant>
        <vt:lpwstr>https://www.jobsandskills.gov.au/news/connecting-impact-jobs-and-skills-report-2025</vt:lpwstr>
      </vt:variant>
      <vt:variant>
        <vt:lpwstr/>
      </vt:variant>
      <vt:variant>
        <vt:i4>5832731</vt:i4>
      </vt:variant>
      <vt:variant>
        <vt:i4>174</vt:i4>
      </vt:variant>
      <vt:variant>
        <vt:i4>0</vt:i4>
      </vt:variant>
      <vt:variant>
        <vt:i4>5</vt:i4>
      </vt:variant>
      <vt:variant>
        <vt:lpwstr>https://psychology.org.au/about-us/news-and-media/media-releases/2025/peak-psychology-body-urges-consideration-as-ai-gro</vt:lpwstr>
      </vt:variant>
      <vt:variant>
        <vt:lpwstr/>
      </vt:variant>
      <vt:variant>
        <vt:i4>3473455</vt:i4>
      </vt:variant>
      <vt:variant>
        <vt:i4>171</vt:i4>
      </vt:variant>
      <vt:variant>
        <vt:i4>0</vt:i4>
      </vt:variant>
      <vt:variant>
        <vt:i4>5</vt:i4>
      </vt:variant>
      <vt:variant>
        <vt:lpwstr>https://www.ahri.com.au/wp-content/uploads/Hybrid-and-Flexible-Working-Report-2025.pdf</vt:lpwstr>
      </vt:variant>
      <vt:variant>
        <vt:lpwstr/>
      </vt:variant>
      <vt:variant>
        <vt:i4>3407991</vt:i4>
      </vt:variant>
      <vt:variant>
        <vt:i4>168</vt:i4>
      </vt:variant>
      <vt:variant>
        <vt:i4>0</vt:i4>
      </vt:variant>
      <vt:variant>
        <vt:i4>5</vt:i4>
      </vt:variant>
      <vt:variant>
        <vt:lpwstr>https://data.safeworkaustralia.gov.au/insights/key-whs-statistics-australia/latest-release</vt:lpwstr>
      </vt:variant>
      <vt:variant>
        <vt:lpwstr/>
      </vt:variant>
      <vt:variant>
        <vt:i4>66</vt:i4>
      </vt:variant>
      <vt:variant>
        <vt:i4>165</vt:i4>
      </vt:variant>
      <vt:variant>
        <vt:i4>0</vt:i4>
      </vt:variant>
      <vt:variant>
        <vt:i4>5</vt:i4>
      </vt:variant>
      <vt:variant>
        <vt:lpwstr>https://www.safetysure.com.au/research/mental-health-workplace-claims-australia-2025-statistics/</vt:lpwstr>
      </vt:variant>
      <vt:variant>
        <vt:lpwstr/>
      </vt:variant>
      <vt:variant>
        <vt:i4>7536685</vt:i4>
      </vt:variant>
      <vt:variant>
        <vt:i4>162</vt:i4>
      </vt:variant>
      <vt:variant>
        <vt:i4>0</vt:i4>
      </vt:variant>
      <vt:variant>
        <vt:i4>5</vt:i4>
      </vt:variant>
      <vt:variant>
        <vt:lpwstr>https://www.esafety.gov.au/newsroom/media-releases/esafety-moves-against-services-used-to-nudify-australian-school-children</vt:lpwstr>
      </vt:variant>
      <vt:variant>
        <vt:lpwstr/>
      </vt:variant>
      <vt:variant>
        <vt:i4>65622</vt:i4>
      </vt:variant>
      <vt:variant>
        <vt:i4>159</vt:i4>
      </vt:variant>
      <vt:variant>
        <vt:i4>0</vt:i4>
      </vt:variant>
      <vt:variant>
        <vt:i4>5</vt:i4>
      </vt:variant>
      <vt:variant>
        <vt:lpwstr>https://www.esafety.gov.au/about-us/industry-regulation/social-media-age-restrictions-hub</vt:lpwstr>
      </vt:variant>
      <vt:variant>
        <vt:lpwstr/>
      </vt:variant>
      <vt:variant>
        <vt:i4>2949173</vt:i4>
      </vt:variant>
      <vt:variant>
        <vt:i4>156</vt:i4>
      </vt:variant>
      <vt:variant>
        <vt:i4>0</vt:i4>
      </vt:variant>
      <vt:variant>
        <vt:i4>5</vt:i4>
      </vt:variant>
      <vt:variant>
        <vt:lpwstr>https://www.minister.industry.gov.au/ministers/charlton/media-releases/establishment-australian-ai-safety-institute</vt:lpwstr>
      </vt:variant>
      <vt:variant>
        <vt:lpwstr/>
      </vt:variant>
      <vt:variant>
        <vt:i4>1310751</vt:i4>
      </vt:variant>
      <vt:variant>
        <vt:i4>153</vt:i4>
      </vt:variant>
      <vt:variant>
        <vt:i4>0</vt:i4>
      </vt:variant>
      <vt:variant>
        <vt:i4>5</vt:i4>
      </vt:variant>
      <vt:variant>
        <vt:lpwstr>https://www.tga.gov.au/news/news-articles/tga-seeks-input-digital-mental-health-tools</vt:lpwstr>
      </vt:variant>
      <vt:variant>
        <vt:lpwstr/>
      </vt:variant>
      <vt:variant>
        <vt:i4>3932274</vt:i4>
      </vt:variant>
      <vt:variant>
        <vt:i4>150</vt:i4>
      </vt:variant>
      <vt:variant>
        <vt:i4>0</vt:i4>
      </vt:variant>
      <vt:variant>
        <vt:i4>5</vt:i4>
      </vt:variant>
      <vt:variant>
        <vt:lpwstr>https://www.tga.gov.au/products/medical-devices/software-and-artificial-intelligence-ai/manufacturing/artificial-intelligence-ai-and-medical-device-software-regulation</vt:lpwstr>
      </vt:variant>
      <vt:variant>
        <vt:lpwstr/>
      </vt:variant>
      <vt:variant>
        <vt:i4>1310751</vt:i4>
      </vt:variant>
      <vt:variant>
        <vt:i4>147</vt:i4>
      </vt:variant>
      <vt:variant>
        <vt:i4>0</vt:i4>
      </vt:variant>
      <vt:variant>
        <vt:i4>5</vt:i4>
      </vt:variant>
      <vt:variant>
        <vt:lpwstr>https://www.tga.gov.au/news/news-articles/tga-seeks-input-digital-mental-health-tools</vt:lpwstr>
      </vt:variant>
      <vt:variant>
        <vt:lpwstr/>
      </vt:variant>
      <vt:variant>
        <vt:i4>2293801</vt:i4>
      </vt:variant>
      <vt:variant>
        <vt:i4>144</vt:i4>
      </vt:variant>
      <vt:variant>
        <vt:i4>0</vt:i4>
      </vt:variant>
      <vt:variant>
        <vt:i4>5</vt:i4>
      </vt:variant>
      <vt:variant>
        <vt:lpwstr>https://www.orygen.org.au/About/News-And-Events/2025/Over-half-of-Australians-exposed-to-self-harm-and</vt:lpwstr>
      </vt:variant>
      <vt:variant>
        <vt:lpwstr/>
      </vt:variant>
      <vt:variant>
        <vt:i4>3604518</vt:i4>
      </vt:variant>
      <vt:variant>
        <vt:i4>141</vt:i4>
      </vt:variant>
      <vt:variant>
        <vt:i4>0</vt:i4>
      </vt:variant>
      <vt:variant>
        <vt:i4>5</vt:i4>
      </vt:variant>
      <vt:variant>
        <vt:lpwstr>https://www.esafety.gov.au/sites/default/files/2025-07/Digital-use-and-risk-Online-platform-engagement-10-to-15.pdf?v=1773369896752</vt:lpwstr>
      </vt:variant>
      <vt:variant>
        <vt:lpwstr/>
      </vt:variant>
      <vt:variant>
        <vt:i4>3211317</vt:i4>
      </vt:variant>
      <vt:variant>
        <vt:i4>138</vt:i4>
      </vt:variant>
      <vt:variant>
        <vt:i4>0</vt:i4>
      </vt:variant>
      <vt:variant>
        <vt:i4>5</vt:i4>
      </vt:variant>
      <vt:variant>
        <vt:lpwstr>https://journals.sagepub.com/doi/10.1177/00048674251389790</vt:lpwstr>
      </vt:variant>
      <vt:variant>
        <vt:lpwstr/>
      </vt:variant>
      <vt:variant>
        <vt:i4>1769567</vt:i4>
      </vt:variant>
      <vt:variant>
        <vt:i4>135</vt:i4>
      </vt:variant>
      <vt:variant>
        <vt:i4>0</vt:i4>
      </vt:variant>
      <vt:variant>
        <vt:i4>5</vt:i4>
      </vt:variant>
      <vt:variant>
        <vt:lpwstr>https://yougov.com/articles/53225-two-in-five-aussies-feel-lonely-and-many-are-turning-to-ai</vt:lpwstr>
      </vt:variant>
      <vt:variant>
        <vt:lpwstr/>
      </vt:variant>
      <vt:variant>
        <vt:i4>2752521</vt:i4>
      </vt:variant>
      <vt:variant>
        <vt:i4>132</vt:i4>
      </vt:variant>
      <vt:variant>
        <vt:i4>0</vt:i4>
      </vt:variant>
      <vt:variant>
        <vt:i4>5</vt:i4>
      </vt:variant>
      <vt:variant>
        <vt:lpwstr>https://digitalinclusionindex.org.au/wp-content/uploads/2025/10/ADII-Report-2025_V6-Remediated.pdf</vt:lpwstr>
      </vt:variant>
      <vt:variant>
        <vt:lpwstr/>
      </vt:variant>
      <vt:variant>
        <vt:i4>5308431</vt:i4>
      </vt:variant>
      <vt:variant>
        <vt:i4>129</vt:i4>
      </vt:variant>
      <vt:variant>
        <vt:i4>0</vt:i4>
      </vt:variant>
      <vt:variant>
        <vt:i4>5</vt:i4>
      </vt:variant>
      <vt:variant>
        <vt:lpwstr>https://scanloninstitute.org.au/mapping-social-cohesion-2025/</vt:lpwstr>
      </vt:variant>
      <vt:variant>
        <vt:lpwstr/>
      </vt:variant>
      <vt:variant>
        <vt:i4>6684771</vt:i4>
      </vt:variant>
      <vt:variant>
        <vt:i4>126</vt:i4>
      </vt:variant>
      <vt:variant>
        <vt:i4>0</vt:i4>
      </vt:variant>
      <vt:variant>
        <vt:i4>5</vt:i4>
      </vt:variant>
      <vt:variant>
        <vt:lpwstr>https://www.oni.gov.au/news/asio-annual-threat-assessment-2025</vt:lpwstr>
      </vt:variant>
      <vt:variant>
        <vt:lpwstr/>
      </vt:variant>
      <vt:variant>
        <vt:i4>2228324</vt:i4>
      </vt:variant>
      <vt:variant>
        <vt:i4>123</vt:i4>
      </vt:variant>
      <vt:variant>
        <vt:i4>0</vt:i4>
      </vt:variant>
      <vt:variant>
        <vt:i4>5</vt:i4>
      </vt:variant>
      <vt:variant>
        <vt:lpwstr>https://www.acma.gov.au/sites/default/files/2025-09/Digital platforms efforts to combat disinformation and misinformation_4th report to government_0.pdf</vt:lpwstr>
      </vt:variant>
      <vt:variant>
        <vt:lpwstr/>
      </vt:variant>
      <vt:variant>
        <vt:i4>2293795</vt:i4>
      </vt:variant>
      <vt:variant>
        <vt:i4>120</vt:i4>
      </vt:variant>
      <vt:variant>
        <vt:i4>0</vt:i4>
      </vt:variant>
      <vt:variant>
        <vt:i4>5</vt:i4>
      </vt:variant>
      <vt:variant>
        <vt:lpwstr>https://asc.royalcommission.gov.au/</vt:lpwstr>
      </vt:variant>
      <vt:variant>
        <vt:lpwstr/>
      </vt:variant>
      <vt:variant>
        <vt:i4>5308431</vt:i4>
      </vt:variant>
      <vt:variant>
        <vt:i4>117</vt:i4>
      </vt:variant>
      <vt:variant>
        <vt:i4>0</vt:i4>
      </vt:variant>
      <vt:variant>
        <vt:i4>5</vt:i4>
      </vt:variant>
      <vt:variant>
        <vt:lpwstr>https://scanloninstitute.org.au/mapping-social-cohesion-2025/</vt:lpwstr>
      </vt:variant>
      <vt:variant>
        <vt:lpwstr/>
      </vt:variant>
      <vt:variant>
        <vt:i4>524353</vt:i4>
      </vt:variant>
      <vt:variant>
        <vt:i4>114</vt:i4>
      </vt:variant>
      <vt:variant>
        <vt:i4>0</vt:i4>
      </vt:variant>
      <vt:variant>
        <vt:i4>5</vt:i4>
      </vt:variant>
      <vt:variant>
        <vt:lpwstr>https://humanrights.gov.au/resource-hub/search-all-our-publications/reports-and-projects/projects2/seen-and-heard</vt:lpwstr>
      </vt:variant>
      <vt:variant>
        <vt:lpwstr/>
      </vt:variant>
      <vt:variant>
        <vt:i4>5308431</vt:i4>
      </vt:variant>
      <vt:variant>
        <vt:i4>111</vt:i4>
      </vt:variant>
      <vt:variant>
        <vt:i4>0</vt:i4>
      </vt:variant>
      <vt:variant>
        <vt:i4>5</vt:i4>
      </vt:variant>
      <vt:variant>
        <vt:lpwstr>https://scanloninstitute.org.au/mapping-social-cohesion-2025/</vt:lpwstr>
      </vt:variant>
      <vt:variant>
        <vt:lpwstr/>
      </vt:variant>
      <vt:variant>
        <vt:i4>6422575</vt:i4>
      </vt:variant>
      <vt:variant>
        <vt:i4>108</vt:i4>
      </vt:variant>
      <vt:variant>
        <vt:i4>0</vt:i4>
      </vt:variant>
      <vt:variant>
        <vt:i4>5</vt:i4>
      </vt:variant>
      <vt:variant>
        <vt:lpwstr>https://www.aihw.gov.au/reports/youth-justice/youth-detention-population-in-australia-2025/contents/summary</vt:lpwstr>
      </vt:variant>
      <vt:variant>
        <vt:lpwstr>10-13</vt:lpwstr>
      </vt:variant>
      <vt:variant>
        <vt:i4>5242946</vt:i4>
      </vt:variant>
      <vt:variant>
        <vt:i4>105</vt:i4>
      </vt:variant>
      <vt:variant>
        <vt:i4>0</vt:i4>
      </vt:variant>
      <vt:variant>
        <vt:i4>5</vt:i4>
      </vt:variant>
      <vt:variant>
        <vt:lpwstr>https://www.aic.gov.au/sites/default/files/2025-12/sr57_deaths_in_custody_in_australia_2024-25.pdf</vt:lpwstr>
      </vt:variant>
      <vt:variant>
        <vt:lpwstr/>
      </vt:variant>
      <vt:variant>
        <vt:i4>4456477</vt:i4>
      </vt:variant>
      <vt:variant>
        <vt:i4>102</vt:i4>
      </vt:variant>
      <vt:variant>
        <vt:i4>0</vt:i4>
      </vt:variant>
      <vt:variant>
        <vt:i4>5</vt:i4>
      </vt:variant>
      <vt:variant>
        <vt:lpwstr>https://www.abs.gov.au/statistics/people/crime-and-justice/prisoners-australia/latest-release</vt:lpwstr>
      </vt:variant>
      <vt:variant>
        <vt:lpwstr/>
      </vt:variant>
      <vt:variant>
        <vt:i4>2818091</vt:i4>
      </vt:variant>
      <vt:variant>
        <vt:i4>99</vt:i4>
      </vt:variant>
      <vt:variant>
        <vt:i4>0</vt:i4>
      </vt:variant>
      <vt:variant>
        <vt:i4>5</vt:i4>
      </vt:variant>
      <vt:variant>
        <vt:lpwstr>https://www.ohchr.org/en/press-releases/2025/12/australia-un-working-group-raises-major-concerns-about-detention-indigenous</vt:lpwstr>
      </vt:variant>
      <vt:variant>
        <vt:lpwstr/>
      </vt:variant>
      <vt:variant>
        <vt:i4>8323178</vt:i4>
      </vt:variant>
      <vt:variant>
        <vt:i4>96</vt:i4>
      </vt:variant>
      <vt:variant>
        <vt:i4>0</vt:i4>
      </vt:variant>
      <vt:variant>
        <vt:i4>5</vt:i4>
      </vt:variant>
      <vt:variant>
        <vt:lpwstr>https://newshub.medianet.com.au/2025/10/100-calls-a-day-unprecedented-surge-in-calls-to-indigenous-crisis-support-line/125462/</vt:lpwstr>
      </vt:variant>
      <vt:variant>
        <vt:lpwstr/>
      </vt:variant>
      <vt:variant>
        <vt:i4>2490473</vt:i4>
      </vt:variant>
      <vt:variant>
        <vt:i4>93</vt:i4>
      </vt:variant>
      <vt:variant>
        <vt:i4>0</vt:i4>
      </vt:variant>
      <vt:variant>
        <vt:i4>5</vt:i4>
      </vt:variant>
      <vt:variant>
        <vt:lpwstr>https://humanrights.gov.au/resource-hub/by-resource-type/publications/race/health-inequities-australia</vt:lpwstr>
      </vt:variant>
      <vt:variant>
        <vt:lpwstr/>
      </vt:variant>
      <vt:variant>
        <vt:i4>7274619</vt:i4>
      </vt:variant>
      <vt:variant>
        <vt:i4>90</vt:i4>
      </vt:variant>
      <vt:variant>
        <vt:i4>0</vt:i4>
      </vt:variant>
      <vt:variant>
        <vt:i4>5</vt:i4>
      </vt:variant>
      <vt:variant>
        <vt:lpwstr>https://humanrights.gov.au/media/documents-files-PDFs/strategic-communications/Racism-at-Uni-Report.pdf</vt:lpwstr>
      </vt:variant>
      <vt:variant>
        <vt:lpwstr/>
      </vt:variant>
      <vt:variant>
        <vt:i4>7995489</vt:i4>
      </vt:variant>
      <vt:variant>
        <vt:i4>87</vt:i4>
      </vt:variant>
      <vt:variant>
        <vt:i4>0</vt:i4>
      </vt:variant>
      <vt:variant>
        <vt:i4>5</vt:i4>
      </vt:variant>
      <vt:variant>
        <vt:lpwstr>https://callitout.com.au/wp-content/uploads/2025/02/Jumbunna-Call-It-Out-Annual-Report-2023-2024-Final.pdf</vt:lpwstr>
      </vt:variant>
      <vt:variant>
        <vt:lpwstr/>
      </vt:variant>
      <vt:variant>
        <vt:i4>6029329</vt:i4>
      </vt:variant>
      <vt:variant>
        <vt:i4>84</vt:i4>
      </vt:variant>
      <vt:variant>
        <vt:i4>0</vt:i4>
      </vt:variant>
      <vt:variant>
        <vt:i4>5</vt:i4>
      </vt:variant>
      <vt:variant>
        <vt:lpwstr>https://www1.racgp.org.au/newsgp/clinical/the-impact-of-climate-change-on-the-health-of-indi</vt:lpwstr>
      </vt:variant>
      <vt:variant>
        <vt:lpwstr/>
      </vt:variant>
      <vt:variant>
        <vt:i4>1572921</vt:i4>
      </vt:variant>
      <vt:variant>
        <vt:i4>81</vt:i4>
      </vt:variant>
      <vt:variant>
        <vt:i4>0</vt:i4>
      </vt:variant>
      <vt:variant>
        <vt:i4>5</vt:i4>
      </vt:variant>
      <vt:variant>
        <vt:lpwstr>https://www.raoen.org/wp-content/uploads/2025/10/State-of-the-Worlds-Indigenous-Peoples_Climate-Crisis_Volume-VI_April-2025.pdf</vt:lpwstr>
      </vt:variant>
      <vt:variant>
        <vt:lpwstr/>
      </vt:variant>
      <vt:variant>
        <vt:i4>131140</vt:i4>
      </vt:variant>
      <vt:variant>
        <vt:i4>78</vt:i4>
      </vt:variant>
      <vt:variant>
        <vt:i4>0</vt:i4>
      </vt:variant>
      <vt:variant>
        <vt:i4>5</vt:i4>
      </vt:variant>
      <vt:variant>
        <vt:lpwstr>https://www.un.org/en/desa/indigenous-peoples-sidelined-global-climate-fight-un-warns</vt:lpwstr>
      </vt:variant>
      <vt:variant>
        <vt:lpwstr/>
      </vt:variant>
      <vt:variant>
        <vt:i4>1245258</vt:i4>
      </vt:variant>
      <vt:variant>
        <vt:i4>75</vt:i4>
      </vt:variant>
      <vt:variant>
        <vt:i4>0</vt:i4>
      </vt:variant>
      <vt:variant>
        <vt:i4>5</vt:i4>
      </vt:variant>
      <vt:variant>
        <vt:lpwstr>https://www.climatecouncil.org.au/resources/climate-anxiety-toolkit/</vt:lpwstr>
      </vt:variant>
      <vt:variant>
        <vt:lpwstr/>
      </vt:variant>
      <vt:variant>
        <vt:i4>5963789</vt:i4>
      </vt:variant>
      <vt:variant>
        <vt:i4>72</vt:i4>
      </vt:variant>
      <vt:variant>
        <vt:i4>0</vt:i4>
      </vt:variant>
      <vt:variant>
        <vt:i4>5</vt:i4>
      </vt:variant>
      <vt:variant>
        <vt:lpwstr>https://www.health.gov.au/ministers/the-hon-mark-butler-mp/media/australia-endorses-belem-health-action-plan</vt:lpwstr>
      </vt:variant>
      <vt:variant>
        <vt:lpwstr/>
      </vt:variant>
      <vt:variant>
        <vt:i4>7667726</vt:i4>
      </vt:variant>
      <vt:variant>
        <vt:i4>69</vt:i4>
      </vt:variant>
      <vt:variant>
        <vt:i4>0</vt:i4>
      </vt:variant>
      <vt:variant>
        <vt:i4>5</vt:i4>
      </vt:variant>
      <vt:variant>
        <vt:lpwstr>https://www.dea.org.au/how_climate_change_affects_mental_health_in_australia</vt:lpwstr>
      </vt:variant>
      <vt:variant>
        <vt:lpwstr/>
      </vt:variant>
      <vt:variant>
        <vt:i4>2097211</vt:i4>
      </vt:variant>
      <vt:variant>
        <vt:i4>66</vt:i4>
      </vt:variant>
      <vt:variant>
        <vt:i4>0</vt:i4>
      </vt:variant>
      <vt:variant>
        <vt:i4>5</vt:i4>
      </vt:variant>
      <vt:variant>
        <vt:lpwstr>https://www.thelancet.com/journals/lanpsy/article/PIIS2215-0366(25)00274-3/abstract</vt:lpwstr>
      </vt:variant>
      <vt:variant>
        <vt:lpwstr/>
      </vt:variant>
      <vt:variant>
        <vt:i4>5505038</vt:i4>
      </vt:variant>
      <vt:variant>
        <vt:i4>63</vt:i4>
      </vt:variant>
      <vt:variant>
        <vt:i4>0</vt:i4>
      </vt:variant>
      <vt:variant>
        <vt:i4>5</vt:i4>
      </vt:variant>
      <vt:variant>
        <vt:lpwstr>https://www.acs.gov.au/pages/national-climate-risk-assessment</vt:lpwstr>
      </vt:variant>
      <vt:variant>
        <vt:lpwstr/>
      </vt:variant>
      <vt:variant>
        <vt:i4>6946863</vt:i4>
      </vt:variant>
      <vt:variant>
        <vt:i4>60</vt:i4>
      </vt:variant>
      <vt:variant>
        <vt:i4>0</vt:i4>
      </vt:variant>
      <vt:variant>
        <vt:i4>5</vt:i4>
      </vt:variant>
      <vt:variant>
        <vt:lpwstr>https://insurancecouncil.com.au/resource/extreme-weather-cost-3-5-billion-in-2025/</vt:lpwstr>
      </vt:variant>
      <vt:variant>
        <vt:lpwstr/>
      </vt:variant>
      <vt:variant>
        <vt:i4>5242953</vt:i4>
      </vt:variant>
      <vt:variant>
        <vt:i4>57</vt:i4>
      </vt:variant>
      <vt:variant>
        <vt:i4>0</vt:i4>
      </vt:variant>
      <vt:variant>
        <vt:i4>5</vt:i4>
      </vt:variant>
      <vt:variant>
        <vt:lpwstr>https://www.nema.gov.au/about-us/media-centre/2025-review-year-collaboration-coordination-and-capability-building</vt:lpwstr>
      </vt:variant>
      <vt:variant>
        <vt:lpwstr/>
      </vt:variant>
      <vt:variant>
        <vt:i4>2228326</vt:i4>
      </vt:variant>
      <vt:variant>
        <vt:i4>54</vt:i4>
      </vt:variant>
      <vt:variant>
        <vt:i4>0</vt:i4>
      </vt:variant>
      <vt:variant>
        <vt:i4>5</vt:i4>
      </vt:variant>
      <vt:variant>
        <vt:lpwstr>https://www.disasterassist.gov.au/find-a-disaster/australian-disasters?TermStoreId=1cafda66-8aac-4a45-95fa-3e03872913b6&amp;TermSetId=6bf6917e-779a-42ff-9f67-b0cbb112d3bf&amp;TermId=7d6b185c-0784-490c-a97a-93de0d0eb095</vt:lpwstr>
      </vt:variant>
      <vt:variant>
        <vt:lpwstr/>
      </vt:variant>
      <vt:variant>
        <vt:i4>1507396</vt:i4>
      </vt:variant>
      <vt:variant>
        <vt:i4>51</vt:i4>
      </vt:variant>
      <vt:variant>
        <vt:i4>0</vt:i4>
      </vt:variant>
      <vt:variant>
        <vt:i4>5</vt:i4>
      </vt:variant>
      <vt:variant>
        <vt:lpwstr>https://www.kidshelpline.com.au/about/impact-report?utm_source=linkedin&amp;utm_medium=social&amp;utm_campaign=yourtown%20|%20brand%20|%20impact%20report%20|%20kids%20helpline&amp;utm_content=image%20|%20stats</vt:lpwstr>
      </vt:variant>
      <vt:variant>
        <vt:lpwstr/>
      </vt:variant>
      <vt:variant>
        <vt:i4>5963854</vt:i4>
      </vt:variant>
      <vt:variant>
        <vt:i4>48</vt:i4>
      </vt:variant>
      <vt:variant>
        <vt:i4>0</vt:i4>
      </vt:variant>
      <vt:variant>
        <vt:i4>5</vt:i4>
      </vt:variant>
      <vt:variant>
        <vt:lpwstr>https://bmjopen.bmj.com/content/15/3/e087342</vt:lpwstr>
      </vt:variant>
      <vt:variant>
        <vt:lpwstr/>
      </vt:variant>
      <vt:variant>
        <vt:i4>2293795</vt:i4>
      </vt:variant>
      <vt:variant>
        <vt:i4>45</vt:i4>
      </vt:variant>
      <vt:variant>
        <vt:i4>0</vt:i4>
      </vt:variant>
      <vt:variant>
        <vt:i4>5</vt:i4>
      </vt:variant>
      <vt:variant>
        <vt:lpwstr>https://headspace.org.au/our-organisation/media-releases/nearly-half-of-young-australians-experiencing-high-levels-of-psychological-distress-but-more-are-seeking-support/</vt:lpwstr>
      </vt:variant>
      <vt:variant>
        <vt:lpwstr/>
      </vt:variant>
      <vt:variant>
        <vt:i4>5898324</vt:i4>
      </vt:variant>
      <vt:variant>
        <vt:i4>42</vt:i4>
      </vt:variant>
      <vt:variant>
        <vt:i4>0</vt:i4>
      </vt:variant>
      <vt:variant>
        <vt:i4>5</vt:i4>
      </vt:variant>
      <vt:variant>
        <vt:lpwstr>https://humanrights.gov.au/about-us/media-centre/media-releases/lgbtqia/concerns-queenslands-call-on-gender-affirming-healthcare-will-cause-harm-and-distress</vt:lpwstr>
      </vt:variant>
      <vt:variant>
        <vt:lpwstr/>
      </vt:variant>
      <vt:variant>
        <vt:i4>2949242</vt:i4>
      </vt:variant>
      <vt:variant>
        <vt:i4>39</vt:i4>
      </vt:variant>
      <vt:variant>
        <vt:i4>0</vt:i4>
      </vt:variant>
      <vt:variant>
        <vt:i4>5</vt:i4>
      </vt:variant>
      <vt:variant>
        <vt:lpwstr>https://equalityaustralia.org.au/lgbtiq-community-groups-and-health-experts-cautiously-welcome-treatment-review-for-trans-and-gender-diverse-young-people/</vt:lpwstr>
      </vt:variant>
      <vt:variant>
        <vt:lpwstr/>
      </vt:variant>
      <vt:variant>
        <vt:i4>3801172</vt:i4>
      </vt:variant>
      <vt:variant>
        <vt:i4>36</vt:i4>
      </vt:variant>
      <vt:variant>
        <vt:i4>0</vt:i4>
      </vt:variant>
      <vt:variant>
        <vt:i4>5</vt:i4>
      </vt:variant>
      <vt:variant>
        <vt:lpwstr>https://www.lgbtiqhealth.org.au/access_to_gender-affirming_care_young_people_in_aust_feb_25</vt:lpwstr>
      </vt:variant>
      <vt:variant>
        <vt:lpwstr/>
      </vt:variant>
      <vt:variant>
        <vt:i4>6684718</vt:i4>
      </vt:variant>
      <vt:variant>
        <vt:i4>33</vt:i4>
      </vt:variant>
      <vt:variant>
        <vt:i4>0</vt:i4>
      </vt:variant>
      <vt:variant>
        <vt:i4>5</vt:i4>
      </vt:variant>
      <vt:variant>
        <vt:lpwstr>https://createsend.com/t/t-23D4D55AA0B65A882540EF23F30FEDED</vt:lpwstr>
      </vt:variant>
      <vt:variant>
        <vt:lpwstr/>
      </vt:variant>
      <vt:variant>
        <vt:i4>7077941</vt:i4>
      </vt:variant>
      <vt:variant>
        <vt:i4>30</vt:i4>
      </vt:variant>
      <vt:variant>
        <vt:i4>0</vt:i4>
      </vt:variant>
      <vt:variant>
        <vt:i4>5</vt:i4>
      </vt:variant>
      <vt:variant>
        <vt:lpwstr>https://statements.qld.gov.au/statements/104227</vt:lpwstr>
      </vt:variant>
      <vt:variant>
        <vt:lpwstr/>
      </vt:variant>
      <vt:variant>
        <vt:i4>4980814</vt:i4>
      </vt:variant>
      <vt:variant>
        <vt:i4>27</vt:i4>
      </vt:variant>
      <vt:variant>
        <vt:i4>0</vt:i4>
      </vt:variant>
      <vt:variant>
        <vt:i4>5</vt:i4>
      </vt:variant>
      <vt:variant>
        <vt:lpwstr>https://www.health.gov.au/ministers/the-hon-mark-butler-mp/media/health-care-for-trans-and-gender-diverse-australian-children-and-adolescents</vt:lpwstr>
      </vt:variant>
      <vt:variant>
        <vt:lpwstr/>
      </vt:variant>
      <vt:variant>
        <vt:i4>6488173</vt:i4>
      </vt:variant>
      <vt:variant>
        <vt:i4>24</vt:i4>
      </vt:variant>
      <vt:variant>
        <vt:i4>0</vt:i4>
      </vt:variant>
      <vt:variant>
        <vt:i4>5</vt:i4>
      </vt:variant>
      <vt:variant>
        <vt:lpwstr>https://grattan.edu.au/news/every-day-matters-improving-school-attendance-in-australia/</vt:lpwstr>
      </vt:variant>
      <vt:variant>
        <vt:lpwstr/>
      </vt:variant>
      <vt:variant>
        <vt:i4>8192041</vt:i4>
      </vt:variant>
      <vt:variant>
        <vt:i4>21</vt:i4>
      </vt:variant>
      <vt:variant>
        <vt:i4>0</vt:i4>
      </vt:variant>
      <vt:variant>
        <vt:i4>5</vt:i4>
      </vt:variant>
      <vt:variant>
        <vt:lpwstr>https://www.acara.edu.au/reporting/national-report-on-schooling-in-australia/student-attendance</vt:lpwstr>
      </vt:variant>
      <vt:variant>
        <vt:lpwstr/>
      </vt:variant>
      <vt:variant>
        <vt:i4>5505035</vt:i4>
      </vt:variant>
      <vt:variant>
        <vt:i4>18</vt:i4>
      </vt:variant>
      <vt:variant>
        <vt:i4>0</vt:i4>
      </vt:variant>
      <vt:variant>
        <vt:i4>5</vt:i4>
      </vt:variant>
      <vt:variant>
        <vt:lpwstr>https://www.beyondblue.org.au/about/media/media-releases/1-in-2-Australians-Facing-Workplace-Burnout</vt:lpwstr>
      </vt:variant>
      <vt:variant>
        <vt:lpwstr/>
      </vt:variant>
      <vt:variant>
        <vt:i4>131167</vt:i4>
      </vt:variant>
      <vt:variant>
        <vt:i4>15</vt:i4>
      </vt:variant>
      <vt:variant>
        <vt:i4>0</vt:i4>
      </vt:variant>
      <vt:variant>
        <vt:i4>5</vt:i4>
      </vt:variant>
      <vt:variant>
        <vt:lpwstr>https://www.sydney.edu.au/news-opinion/news/2025/08/04/more-than-40-percent-of-young-aussies-are-lonely-as-experts-call-for-national-loneliness-strategy.html</vt:lpwstr>
      </vt:variant>
      <vt:variant>
        <vt:lpwstr/>
      </vt:variant>
      <vt:variant>
        <vt:i4>6422627</vt:i4>
      </vt:variant>
      <vt:variant>
        <vt:i4>12</vt:i4>
      </vt:variant>
      <vt:variant>
        <vt:i4>0</vt:i4>
      </vt:variant>
      <vt:variant>
        <vt:i4>5</vt:i4>
      </vt:variant>
      <vt:variant>
        <vt:lpwstr>https://lens.monash.edu/housing-insecure-work-and-mental-health-australias-young-people-are-losing-faith-in-the-future/</vt:lpwstr>
      </vt:variant>
      <vt:variant>
        <vt:lpwstr/>
      </vt:variant>
      <vt:variant>
        <vt:i4>3932277</vt:i4>
      </vt:variant>
      <vt:variant>
        <vt:i4>9</vt:i4>
      </vt:variant>
      <vt:variant>
        <vt:i4>0</vt:i4>
      </vt:variant>
      <vt:variant>
        <vt:i4>5</vt:i4>
      </vt:variant>
      <vt:variant>
        <vt:lpwstr>https://prod.missionaustralia.com.au/media-centre/media-releases/2025/young-australians-call-for-action-on-cost-of-living-mission-australias-2025-youth-survey/</vt:lpwstr>
      </vt:variant>
      <vt:variant>
        <vt:lpwstr/>
      </vt:variant>
      <vt:variant>
        <vt:i4>7798837</vt:i4>
      </vt:variant>
      <vt:variant>
        <vt:i4>6</vt:i4>
      </vt:variant>
      <vt:variant>
        <vt:i4>0</vt:i4>
      </vt:variant>
      <vt:variant>
        <vt:i4>5</vt:i4>
      </vt:variant>
      <vt:variant>
        <vt:lpwstr>https://australianhealthcareindex.com.au/australian-healthcare-index-september-2025-report/</vt:lpwstr>
      </vt:variant>
      <vt:variant>
        <vt:lpwstr/>
      </vt:variant>
      <vt:variant>
        <vt:i4>4390918</vt:i4>
      </vt:variant>
      <vt:variant>
        <vt:i4>3</vt:i4>
      </vt:variant>
      <vt:variant>
        <vt:i4>0</vt:i4>
      </vt:variant>
      <vt:variant>
        <vt:i4>5</vt:i4>
      </vt:variant>
      <vt:variant>
        <vt:lpwstr>https://www.aihw.gov.au/reports/australias-welfare/housing-affordability</vt:lpwstr>
      </vt:variant>
      <vt:variant>
        <vt:lpwstr/>
      </vt:variant>
      <vt:variant>
        <vt:i4>3801194</vt:i4>
      </vt:variant>
      <vt:variant>
        <vt:i4>0</vt:i4>
      </vt:variant>
      <vt:variant>
        <vt:i4>0</vt:i4>
      </vt:variant>
      <vt:variant>
        <vt:i4>5</vt:i4>
      </vt:variant>
      <vt:variant>
        <vt:lpwstr>https://www.abs.gov.au/statistics/economy/price-indexes-and-inflation/selected-living-cost-indexes-australia/latest-release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BRYSON, Kate</dc:creator>
  <cp:keywords/>
  <dc:description/>
  <cp:lastModifiedBy>Katja Matters</cp:lastModifiedBy>
  <cp:revision>2</cp:revision>
  <cp:lastPrinted>2026-08-19T07:04:00Z</cp:lastPrinted>
  <dcterms:created xsi:type="dcterms:W3CDTF">2026-08-19T07:06:00Z</dcterms:created>
  <dcterms:modified xsi:type="dcterms:W3CDTF">2026-08-19T07:06:00Z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660d7382,690e6bfd,132a339c,2af769f0,62a1cd50,1e77c9c6,3b3e7a7,505958b5,735061e6,1c7c7a82,677732ba,532958bc,79b4cf41,1350cca,4d430b47,30fd15e7,4a8896be,57ccd010,6af354cf,398d8543,1ead339f,43bc4c69,7e26f754</vt:lpwstr>
  </property>
  <property fmtid="{D5CDD505-2E9C-101B-9397-08002B2CF9AE}" pid="3" name="ClassificationContentMarkingHeaderShapeIds-1">
    <vt:lpwstr>128cf9e3</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33e51704,5a7aad5e,5f00dc9d,65115395,778008cf,4000d30c,37e91366,1d279c71,7e93eb74,3b9a34c</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2026-08-10T07:42:01Z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68c92be3-16a1-4a91-8f42-065caffd862f</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y fmtid="{D5CDD505-2E9C-101B-9397-08002B2CF9AE}" pid="17" name="ContentTypeId">
    <vt:lpwstr>0x01010060285F36FEBE614FA7F0E9B7930440E6</vt:lpwstr>
  </property>
</Properties>
</file>